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44B49" w14:textId="20C1BC59" w:rsidR="00F84617" w:rsidRDefault="00F84617" w:rsidP="00F84617">
      <w:r w:rsidRPr="00F84617">
        <w:rPr>
          <w:noProof/>
        </w:rPr>
        <w:drawing>
          <wp:anchor distT="0" distB="0" distL="114300" distR="114300" simplePos="0" relativeHeight="251664384" behindDoc="1" locked="0" layoutInCell="1" allowOverlap="1" wp14:anchorId="732BE9C6" wp14:editId="76E0E0C6">
            <wp:simplePos x="0" y="0"/>
            <wp:positionH relativeFrom="column">
              <wp:posOffset>-899795</wp:posOffset>
            </wp:positionH>
            <wp:positionV relativeFrom="paragraph">
              <wp:posOffset>-890270</wp:posOffset>
            </wp:positionV>
            <wp:extent cx="7534275" cy="12090393"/>
            <wp:effectExtent l="0" t="0" r="0" b="6985"/>
            <wp:wrapNone/>
            <wp:docPr id="227048119" name="Slika 5" descr="Slika, ki vsebuje besede besedilo, oblikovanje,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8119" name="Slika 5" descr="Slika, ki vsebuje besede besedilo, oblikovanje, posnetek zaslona, pisava&#10;&#10;Vsebina, ustvarjena z UI, morda ni pravil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7701" cy="12111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0F547" w14:textId="77777777" w:rsidR="006D17EF" w:rsidRDefault="006D17EF" w:rsidP="00F84617"/>
    <w:p w14:paraId="08A5632F" w14:textId="77777777" w:rsidR="006D17EF" w:rsidRDefault="006D17EF" w:rsidP="00F84617"/>
    <w:p w14:paraId="1F9EFD78" w14:textId="77777777" w:rsidR="006D17EF" w:rsidRDefault="006D17EF" w:rsidP="00F84617"/>
    <w:p w14:paraId="7A70C059" w14:textId="77777777" w:rsidR="006D17EF" w:rsidRDefault="006D17EF" w:rsidP="00F84617"/>
    <w:p w14:paraId="79703D89" w14:textId="77777777" w:rsidR="006D17EF" w:rsidRDefault="006D17EF" w:rsidP="00F84617"/>
    <w:p w14:paraId="2826028E" w14:textId="77777777" w:rsidR="006D17EF" w:rsidRDefault="006D17EF" w:rsidP="00F84617"/>
    <w:p w14:paraId="189B6EB7" w14:textId="77777777" w:rsidR="006D17EF" w:rsidRDefault="006D17EF" w:rsidP="00F84617"/>
    <w:p w14:paraId="134A7669" w14:textId="77777777" w:rsidR="006D17EF" w:rsidRDefault="006D17EF" w:rsidP="00F84617"/>
    <w:p w14:paraId="556DBF99" w14:textId="77777777" w:rsidR="006D17EF" w:rsidRDefault="006D17EF" w:rsidP="00F84617"/>
    <w:p w14:paraId="609225E1" w14:textId="77777777" w:rsidR="006D17EF" w:rsidRDefault="006D17EF" w:rsidP="00F84617"/>
    <w:p w14:paraId="3A4A1AEB" w14:textId="77777777" w:rsidR="006D17EF" w:rsidRDefault="006D17EF" w:rsidP="00F84617"/>
    <w:p w14:paraId="7B5AD857" w14:textId="77777777" w:rsidR="006D17EF" w:rsidRDefault="006D17EF" w:rsidP="00F84617"/>
    <w:p w14:paraId="6494B603" w14:textId="77777777" w:rsidR="006D17EF" w:rsidRDefault="006D17EF" w:rsidP="00F84617"/>
    <w:p w14:paraId="7A89E349" w14:textId="77777777" w:rsidR="006D17EF" w:rsidRDefault="006D17EF" w:rsidP="00F84617"/>
    <w:p w14:paraId="60F8CE81" w14:textId="77777777" w:rsidR="006D17EF" w:rsidRDefault="006D17EF" w:rsidP="00F84617"/>
    <w:p w14:paraId="4715A5C5" w14:textId="77777777" w:rsidR="006D17EF" w:rsidRDefault="006D17EF" w:rsidP="00F84617"/>
    <w:p w14:paraId="2BB7BCF1" w14:textId="77777777" w:rsidR="006D17EF" w:rsidRDefault="006D17EF" w:rsidP="00F84617"/>
    <w:p w14:paraId="7D6D4732" w14:textId="77777777" w:rsidR="006D17EF" w:rsidRDefault="006D17EF" w:rsidP="00F84617"/>
    <w:p w14:paraId="1C67591C" w14:textId="77777777" w:rsidR="006D17EF" w:rsidRDefault="006D17EF" w:rsidP="00F84617"/>
    <w:p w14:paraId="743D572C" w14:textId="77777777" w:rsidR="006D17EF" w:rsidRDefault="006D17EF" w:rsidP="00F84617"/>
    <w:p w14:paraId="4C6F14EA" w14:textId="77777777" w:rsidR="006D17EF" w:rsidRDefault="006D17EF" w:rsidP="00F84617"/>
    <w:p w14:paraId="0C70E84C" w14:textId="77777777" w:rsidR="006D17EF" w:rsidRDefault="006D17EF" w:rsidP="00F84617"/>
    <w:p w14:paraId="3DA4669D" w14:textId="77777777" w:rsidR="006D17EF" w:rsidRDefault="006D17EF" w:rsidP="00F84617"/>
    <w:p w14:paraId="3C9FDDB4" w14:textId="77777777" w:rsidR="006D17EF" w:rsidRDefault="006D17EF" w:rsidP="00F84617"/>
    <w:p w14:paraId="63B81EAC" w14:textId="77777777" w:rsidR="006D17EF" w:rsidRDefault="006D17EF" w:rsidP="00F84617"/>
    <w:p w14:paraId="54FAB1BF" w14:textId="77777777" w:rsidR="006D17EF" w:rsidRDefault="006D17EF" w:rsidP="00F84617"/>
    <w:p w14:paraId="0011148E" w14:textId="77777777" w:rsidR="006D17EF" w:rsidRDefault="006D17EF" w:rsidP="00F84617"/>
    <w:p w14:paraId="145DB6F1" w14:textId="77777777" w:rsidR="006D17EF" w:rsidRDefault="006D17EF" w:rsidP="00F84617"/>
    <w:p w14:paraId="319F32C5" w14:textId="77777777" w:rsidR="006D17EF" w:rsidRDefault="006D17EF" w:rsidP="00F84617"/>
    <w:p w14:paraId="0B5B9C4F" w14:textId="77777777" w:rsidR="006D17EF" w:rsidRDefault="006D17EF" w:rsidP="00F84617"/>
    <w:p w14:paraId="070C3F9D" w14:textId="77777777" w:rsidR="006D17EF" w:rsidRDefault="006D17EF" w:rsidP="00F84617"/>
    <w:p w14:paraId="69B5D6E7" w14:textId="77777777" w:rsidR="006D17EF" w:rsidRDefault="006D17EF" w:rsidP="00F84617"/>
    <w:p w14:paraId="70819D63" w14:textId="77777777" w:rsidR="006D17EF" w:rsidRDefault="006D17EF" w:rsidP="00F84617"/>
    <w:p w14:paraId="3D00B26B" w14:textId="77777777" w:rsidR="006D17EF" w:rsidRDefault="006D17EF" w:rsidP="00F84617"/>
    <w:p w14:paraId="739865C3" w14:textId="77777777" w:rsidR="006D17EF" w:rsidRDefault="006D17EF" w:rsidP="00F84617"/>
    <w:p w14:paraId="5D9D9F1E" w14:textId="77777777" w:rsidR="006D17EF" w:rsidRDefault="006D17EF" w:rsidP="00F84617"/>
    <w:p w14:paraId="6ADFC2F9" w14:textId="77777777" w:rsidR="006D17EF" w:rsidRDefault="006D17EF" w:rsidP="00F84617"/>
    <w:p w14:paraId="4E1128E6" w14:textId="77777777" w:rsidR="006D17EF" w:rsidRDefault="006D17EF" w:rsidP="00F84617"/>
    <w:sdt>
      <w:sdtPr>
        <w:rPr>
          <w:rFonts w:ascii="Calibri" w:eastAsiaTheme="minorHAnsi" w:hAnsi="Calibri" w:cs="Calibri"/>
          <w:color w:val="auto"/>
          <w:sz w:val="24"/>
          <w:szCs w:val="24"/>
          <w:lang w:eastAsia="en-US"/>
        </w:rPr>
        <w:id w:val="-1422557838"/>
        <w:docPartObj>
          <w:docPartGallery w:val="Table of Contents"/>
          <w:docPartUnique/>
        </w:docPartObj>
      </w:sdtPr>
      <w:sdtEndPr>
        <w:rPr>
          <w:b/>
          <w:bCs/>
        </w:rPr>
      </w:sdtEndPr>
      <w:sdtContent>
        <w:p w14:paraId="1E69C1A4" w14:textId="77777777" w:rsidR="00695AE2" w:rsidRPr="00666601" w:rsidRDefault="00695AE2" w:rsidP="00695AE2">
          <w:pPr>
            <w:pStyle w:val="NaslovTOC"/>
            <w:rPr>
              <w:rFonts w:ascii="Calibri" w:hAnsi="Calibri" w:cs="Calibri"/>
              <w:b/>
              <w:bCs/>
              <w:color w:val="007466"/>
              <w:sz w:val="28"/>
              <w:szCs w:val="28"/>
            </w:rPr>
          </w:pPr>
          <w:r w:rsidRPr="00666601">
            <w:rPr>
              <w:rFonts w:ascii="Calibri" w:hAnsi="Calibri" w:cs="Calibri"/>
              <w:b/>
              <w:bCs/>
              <w:color w:val="007466"/>
              <w:sz w:val="28"/>
              <w:szCs w:val="28"/>
            </w:rPr>
            <w:t>Kazalo:</w:t>
          </w:r>
        </w:p>
        <w:p w14:paraId="5A367DAE" w14:textId="77777777" w:rsidR="00695AE2" w:rsidRPr="00695AE2" w:rsidRDefault="00695AE2" w:rsidP="00695AE2">
          <w:pPr>
            <w:rPr>
              <w:lang w:eastAsia="sl-SI"/>
            </w:rPr>
          </w:pPr>
        </w:p>
        <w:p w14:paraId="10A7465D" w14:textId="1C42021D" w:rsidR="000300A6" w:rsidRDefault="00695AE2">
          <w:pPr>
            <w:pStyle w:val="Kazalovsebine1"/>
            <w:rPr>
              <w:rStyle w:val="Hiperpovezava"/>
              <w:noProof/>
            </w:rPr>
          </w:pPr>
          <w:r>
            <w:fldChar w:fldCharType="begin"/>
          </w:r>
          <w:r>
            <w:instrText xml:space="preserve"> TOC \o "1-6" \h \z \u </w:instrText>
          </w:r>
          <w:r>
            <w:fldChar w:fldCharType="separate"/>
          </w:r>
          <w:hyperlink w:anchor="_Toc223093690" w:history="1">
            <w:r w:rsidR="000300A6" w:rsidRPr="00E14024">
              <w:rPr>
                <w:rStyle w:val="Hiperpovezava"/>
                <w:rFonts w:cstheme="minorHAnsi"/>
                <w:noProof/>
              </w:rPr>
              <w:t>PREDGOVOR</w:t>
            </w:r>
            <w:r w:rsidR="000300A6">
              <w:rPr>
                <w:noProof/>
                <w:webHidden/>
              </w:rPr>
              <w:tab/>
            </w:r>
            <w:r w:rsidR="000300A6">
              <w:rPr>
                <w:noProof/>
                <w:webHidden/>
              </w:rPr>
              <w:fldChar w:fldCharType="begin"/>
            </w:r>
            <w:r w:rsidR="000300A6">
              <w:rPr>
                <w:noProof/>
                <w:webHidden/>
              </w:rPr>
              <w:instrText xml:space="preserve"> PAGEREF _Toc223093690 \h </w:instrText>
            </w:r>
            <w:r w:rsidR="000300A6">
              <w:rPr>
                <w:noProof/>
                <w:webHidden/>
              </w:rPr>
            </w:r>
            <w:r w:rsidR="000300A6">
              <w:rPr>
                <w:noProof/>
                <w:webHidden/>
              </w:rPr>
              <w:fldChar w:fldCharType="separate"/>
            </w:r>
            <w:r w:rsidR="00A76D9F">
              <w:rPr>
                <w:noProof/>
                <w:webHidden/>
              </w:rPr>
              <w:t>17</w:t>
            </w:r>
            <w:r w:rsidR="000300A6">
              <w:rPr>
                <w:noProof/>
                <w:webHidden/>
              </w:rPr>
              <w:fldChar w:fldCharType="end"/>
            </w:r>
          </w:hyperlink>
        </w:p>
        <w:p w14:paraId="780F3376" w14:textId="686B5E32" w:rsidR="005F37AA" w:rsidRDefault="005F37AA" w:rsidP="005F37AA">
          <w:pPr>
            <w:pStyle w:val="Kazalovsebine1"/>
            <w:tabs>
              <w:tab w:val="left" w:pos="788"/>
            </w:tabs>
            <w:rPr>
              <w:rFonts w:asciiTheme="minorHAnsi" w:hAnsiTheme="minorHAnsi" w:cstheme="minorBidi"/>
              <w:noProof/>
              <w:kern w:val="2"/>
              <w:sz w:val="24"/>
              <w:szCs w:val="24"/>
              <w14:ligatures w14:val="standardContextual"/>
            </w:rPr>
          </w:pPr>
          <w:hyperlink w:anchor="_Toc223093691" w:history="1">
            <w:r>
              <w:rPr>
                <w:rStyle w:val="Hiperpovezava"/>
                <w:noProof/>
              </w:rPr>
              <w:t>I. SPLOŠNI STATISTIČNI DEL</w:t>
            </w:r>
            <w:r>
              <w:rPr>
                <w:noProof/>
                <w:webHidden/>
              </w:rPr>
              <w:tab/>
            </w:r>
            <w:r>
              <w:rPr>
                <w:noProof/>
                <w:webHidden/>
              </w:rPr>
              <w:fldChar w:fldCharType="begin"/>
            </w:r>
            <w:r>
              <w:rPr>
                <w:noProof/>
                <w:webHidden/>
              </w:rPr>
              <w:instrText xml:space="preserve"> PAGEREF _Toc223093691 \h </w:instrText>
            </w:r>
            <w:r>
              <w:rPr>
                <w:noProof/>
                <w:webHidden/>
              </w:rPr>
            </w:r>
            <w:r>
              <w:rPr>
                <w:noProof/>
                <w:webHidden/>
              </w:rPr>
              <w:fldChar w:fldCharType="separate"/>
            </w:r>
            <w:r w:rsidR="00A76D9F">
              <w:rPr>
                <w:noProof/>
                <w:webHidden/>
              </w:rPr>
              <w:t>20</w:t>
            </w:r>
            <w:r>
              <w:rPr>
                <w:noProof/>
                <w:webHidden/>
              </w:rPr>
              <w:fldChar w:fldCharType="end"/>
            </w:r>
          </w:hyperlink>
        </w:p>
        <w:p w14:paraId="7C431634" w14:textId="5DCB6924"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691" w:history="1">
            <w:r w:rsidRPr="00E14024">
              <w:rPr>
                <w:rStyle w:val="Hiperpovezava"/>
                <w:noProof/>
              </w:rPr>
              <w:t>1</w:t>
            </w:r>
            <w:r>
              <w:rPr>
                <w:rFonts w:asciiTheme="minorHAnsi" w:hAnsiTheme="minorHAnsi" w:cstheme="minorBidi"/>
                <w:noProof/>
                <w:kern w:val="2"/>
                <w:sz w:val="24"/>
                <w:szCs w:val="24"/>
                <w14:ligatures w14:val="standardContextual"/>
              </w:rPr>
              <w:tab/>
            </w:r>
            <w:r w:rsidRPr="00E14024">
              <w:rPr>
                <w:rStyle w:val="Hiperpovezava"/>
                <w:noProof/>
              </w:rPr>
              <w:t>PREDSTAVITEV DRŽAVNEGA ODVETNIŠTVA REPUBLIKE SLOVENIJE</w:t>
            </w:r>
            <w:r>
              <w:rPr>
                <w:noProof/>
                <w:webHidden/>
              </w:rPr>
              <w:tab/>
            </w:r>
            <w:r>
              <w:rPr>
                <w:noProof/>
                <w:webHidden/>
              </w:rPr>
              <w:fldChar w:fldCharType="begin"/>
            </w:r>
            <w:r>
              <w:rPr>
                <w:noProof/>
                <w:webHidden/>
              </w:rPr>
              <w:instrText xml:space="preserve"> PAGEREF _Toc223093691 \h </w:instrText>
            </w:r>
            <w:r>
              <w:rPr>
                <w:noProof/>
                <w:webHidden/>
              </w:rPr>
            </w:r>
            <w:r>
              <w:rPr>
                <w:noProof/>
                <w:webHidden/>
              </w:rPr>
              <w:fldChar w:fldCharType="separate"/>
            </w:r>
            <w:r w:rsidR="00A76D9F">
              <w:rPr>
                <w:noProof/>
                <w:webHidden/>
              </w:rPr>
              <w:t>20</w:t>
            </w:r>
            <w:r>
              <w:rPr>
                <w:noProof/>
                <w:webHidden/>
              </w:rPr>
              <w:fldChar w:fldCharType="end"/>
            </w:r>
          </w:hyperlink>
        </w:p>
        <w:p w14:paraId="34B7C07A" w14:textId="4E8F7C6C"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692" w:history="1">
            <w:r w:rsidRPr="00E14024">
              <w:rPr>
                <w:rStyle w:val="Hiperpovezava"/>
                <w:noProof/>
              </w:rPr>
              <w:t>1.1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Pravna ureditev delovanja Državnega odvetništva Republike Slovenije</w:t>
            </w:r>
            <w:r>
              <w:rPr>
                <w:noProof/>
                <w:webHidden/>
              </w:rPr>
              <w:tab/>
            </w:r>
            <w:r>
              <w:rPr>
                <w:noProof/>
                <w:webHidden/>
              </w:rPr>
              <w:fldChar w:fldCharType="begin"/>
            </w:r>
            <w:r>
              <w:rPr>
                <w:noProof/>
                <w:webHidden/>
              </w:rPr>
              <w:instrText xml:space="preserve"> PAGEREF _Toc223093692 \h </w:instrText>
            </w:r>
            <w:r>
              <w:rPr>
                <w:noProof/>
                <w:webHidden/>
              </w:rPr>
            </w:r>
            <w:r>
              <w:rPr>
                <w:noProof/>
                <w:webHidden/>
              </w:rPr>
              <w:fldChar w:fldCharType="separate"/>
            </w:r>
            <w:r w:rsidR="00A76D9F">
              <w:rPr>
                <w:noProof/>
                <w:webHidden/>
              </w:rPr>
              <w:t>20</w:t>
            </w:r>
            <w:r>
              <w:rPr>
                <w:noProof/>
                <w:webHidden/>
              </w:rPr>
              <w:fldChar w:fldCharType="end"/>
            </w:r>
          </w:hyperlink>
        </w:p>
        <w:p w14:paraId="085FDE44" w14:textId="65098CD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693" w:history="1">
            <w:r w:rsidRPr="00E14024">
              <w:rPr>
                <w:rStyle w:val="Hiperpovezava"/>
              </w:rPr>
              <w:t>1.1.1</w:t>
            </w:r>
            <w:r>
              <w:rPr>
                <w:rFonts w:asciiTheme="minorHAnsi" w:eastAsiaTheme="minorEastAsia" w:hAnsiTheme="minorHAnsi" w:cstheme="minorBidi"/>
                <w:kern w:val="2"/>
                <w:sz w:val="24"/>
                <w:szCs w:val="24"/>
                <w:lang w:eastAsia="sl-SI"/>
                <w14:ligatures w14:val="standardContextual"/>
              </w:rPr>
              <w:tab/>
            </w:r>
            <w:r w:rsidRPr="00E14024">
              <w:rPr>
                <w:rStyle w:val="Hiperpovezava"/>
              </w:rPr>
              <w:t>Ustanovitev Državnega odvetništva Republike Slovenije</w:t>
            </w:r>
            <w:r>
              <w:rPr>
                <w:webHidden/>
              </w:rPr>
              <w:tab/>
            </w:r>
            <w:r>
              <w:rPr>
                <w:webHidden/>
              </w:rPr>
              <w:fldChar w:fldCharType="begin"/>
            </w:r>
            <w:r>
              <w:rPr>
                <w:webHidden/>
              </w:rPr>
              <w:instrText xml:space="preserve"> PAGEREF _Toc223093693 \h </w:instrText>
            </w:r>
            <w:r>
              <w:rPr>
                <w:webHidden/>
              </w:rPr>
            </w:r>
            <w:r>
              <w:rPr>
                <w:webHidden/>
              </w:rPr>
              <w:fldChar w:fldCharType="separate"/>
            </w:r>
            <w:r w:rsidR="00A76D9F">
              <w:rPr>
                <w:webHidden/>
              </w:rPr>
              <w:t>20</w:t>
            </w:r>
            <w:r>
              <w:rPr>
                <w:webHidden/>
              </w:rPr>
              <w:fldChar w:fldCharType="end"/>
            </w:r>
          </w:hyperlink>
        </w:p>
        <w:p w14:paraId="60DE974A" w14:textId="288B5AF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694" w:history="1">
            <w:r w:rsidRPr="00E14024">
              <w:rPr>
                <w:rStyle w:val="Hiperpovezava"/>
              </w:rPr>
              <w:t>1.1.2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Pristojnosti in naloge Državnega odvetništva RS</w:t>
            </w:r>
            <w:r>
              <w:rPr>
                <w:webHidden/>
              </w:rPr>
              <w:tab/>
            </w:r>
            <w:r>
              <w:rPr>
                <w:webHidden/>
              </w:rPr>
              <w:fldChar w:fldCharType="begin"/>
            </w:r>
            <w:r>
              <w:rPr>
                <w:webHidden/>
              </w:rPr>
              <w:instrText xml:space="preserve"> PAGEREF _Toc223093694 \h </w:instrText>
            </w:r>
            <w:r>
              <w:rPr>
                <w:webHidden/>
              </w:rPr>
            </w:r>
            <w:r>
              <w:rPr>
                <w:webHidden/>
              </w:rPr>
              <w:fldChar w:fldCharType="separate"/>
            </w:r>
            <w:r w:rsidR="00A76D9F">
              <w:rPr>
                <w:webHidden/>
              </w:rPr>
              <w:t>20</w:t>
            </w:r>
            <w:r>
              <w:rPr>
                <w:webHidden/>
              </w:rPr>
              <w:fldChar w:fldCharType="end"/>
            </w:r>
          </w:hyperlink>
        </w:p>
        <w:p w14:paraId="565EE1C0" w14:textId="2095CE88"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695" w:history="1">
            <w:r w:rsidRPr="00E14024">
              <w:rPr>
                <w:rStyle w:val="Hiperpovezava"/>
                <w:noProof/>
              </w:rPr>
              <w:t>1.2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bCs/>
                <w:noProof/>
              </w:rPr>
              <w:t>O</w:t>
            </w:r>
            <w:r w:rsidRPr="00E14024">
              <w:rPr>
                <w:rStyle w:val="Hiperpovezava"/>
                <w:noProof/>
              </w:rPr>
              <w:t>rganiziranost Državnega odvetništva RS</w:t>
            </w:r>
            <w:r>
              <w:rPr>
                <w:noProof/>
                <w:webHidden/>
              </w:rPr>
              <w:tab/>
            </w:r>
            <w:r>
              <w:rPr>
                <w:noProof/>
                <w:webHidden/>
              </w:rPr>
              <w:fldChar w:fldCharType="begin"/>
            </w:r>
            <w:r>
              <w:rPr>
                <w:noProof/>
                <w:webHidden/>
              </w:rPr>
              <w:instrText xml:space="preserve"> PAGEREF _Toc223093695 \h </w:instrText>
            </w:r>
            <w:r>
              <w:rPr>
                <w:noProof/>
                <w:webHidden/>
              </w:rPr>
            </w:r>
            <w:r>
              <w:rPr>
                <w:noProof/>
                <w:webHidden/>
              </w:rPr>
              <w:fldChar w:fldCharType="separate"/>
            </w:r>
            <w:r w:rsidR="00A76D9F">
              <w:rPr>
                <w:noProof/>
                <w:webHidden/>
              </w:rPr>
              <w:t>22</w:t>
            </w:r>
            <w:r>
              <w:rPr>
                <w:noProof/>
                <w:webHidden/>
              </w:rPr>
              <w:fldChar w:fldCharType="end"/>
            </w:r>
          </w:hyperlink>
        </w:p>
        <w:p w14:paraId="110763DC" w14:textId="43DF03BC"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696" w:history="1">
            <w:r w:rsidRPr="00E14024">
              <w:rPr>
                <w:rStyle w:val="Hiperpovezava"/>
                <w:noProof/>
              </w:rPr>
              <w:t>1.3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Državno odvetništvo RS kot pomemben in zgodovinsko pogojen gradnik pravosodnega sistema Republike Slovenije</w:t>
            </w:r>
            <w:r>
              <w:rPr>
                <w:noProof/>
                <w:webHidden/>
              </w:rPr>
              <w:tab/>
            </w:r>
            <w:r>
              <w:rPr>
                <w:noProof/>
                <w:webHidden/>
              </w:rPr>
              <w:fldChar w:fldCharType="begin"/>
            </w:r>
            <w:r>
              <w:rPr>
                <w:noProof/>
                <w:webHidden/>
              </w:rPr>
              <w:instrText xml:space="preserve"> PAGEREF _Toc223093696 \h </w:instrText>
            </w:r>
            <w:r>
              <w:rPr>
                <w:noProof/>
                <w:webHidden/>
              </w:rPr>
            </w:r>
            <w:r>
              <w:rPr>
                <w:noProof/>
                <w:webHidden/>
              </w:rPr>
              <w:fldChar w:fldCharType="separate"/>
            </w:r>
            <w:r w:rsidR="00A76D9F">
              <w:rPr>
                <w:noProof/>
                <w:webHidden/>
              </w:rPr>
              <w:t>27</w:t>
            </w:r>
            <w:r>
              <w:rPr>
                <w:noProof/>
                <w:webHidden/>
              </w:rPr>
              <w:fldChar w:fldCharType="end"/>
            </w:r>
          </w:hyperlink>
        </w:p>
        <w:p w14:paraId="638EB1FB" w14:textId="3AB7EA33"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697" w:history="1">
            <w:r w:rsidRPr="00E14024">
              <w:rPr>
                <w:rStyle w:val="Hiperpovezava"/>
                <w:rFonts w:eastAsiaTheme="majorEastAsia"/>
              </w:rPr>
              <w:t>1.3.1</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Theme="majorEastAsia"/>
              </w:rPr>
              <w:t>Zgodovinski razvoj institucije zastopnika države</w:t>
            </w:r>
            <w:r>
              <w:rPr>
                <w:webHidden/>
              </w:rPr>
              <w:tab/>
            </w:r>
            <w:r>
              <w:rPr>
                <w:webHidden/>
              </w:rPr>
              <w:fldChar w:fldCharType="begin"/>
            </w:r>
            <w:r>
              <w:rPr>
                <w:webHidden/>
              </w:rPr>
              <w:instrText xml:space="preserve"> PAGEREF _Toc223093697 \h </w:instrText>
            </w:r>
            <w:r>
              <w:rPr>
                <w:webHidden/>
              </w:rPr>
            </w:r>
            <w:r>
              <w:rPr>
                <w:webHidden/>
              </w:rPr>
              <w:fldChar w:fldCharType="separate"/>
            </w:r>
            <w:r w:rsidR="00A76D9F">
              <w:rPr>
                <w:webHidden/>
              </w:rPr>
              <w:t>27</w:t>
            </w:r>
            <w:r>
              <w:rPr>
                <w:webHidden/>
              </w:rPr>
              <w:fldChar w:fldCharType="end"/>
            </w:r>
          </w:hyperlink>
        </w:p>
        <w:p w14:paraId="744ED9D3" w14:textId="74246AEC"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698" w:history="1">
            <w:r w:rsidRPr="00E14024">
              <w:rPr>
                <w:rStyle w:val="Hiperpovezava"/>
              </w:rPr>
              <w:t>1.3.2</w:t>
            </w:r>
            <w:r>
              <w:rPr>
                <w:rFonts w:asciiTheme="minorHAnsi" w:eastAsiaTheme="minorEastAsia" w:hAnsiTheme="minorHAnsi" w:cstheme="minorBidi"/>
                <w:kern w:val="2"/>
                <w:sz w:val="24"/>
                <w:szCs w:val="24"/>
                <w:lang w:eastAsia="sl-SI"/>
                <w14:ligatures w14:val="standardContextual"/>
              </w:rPr>
              <w:tab/>
            </w:r>
            <w:r w:rsidRPr="00E14024">
              <w:rPr>
                <w:rStyle w:val="Hiperpovezava"/>
              </w:rPr>
              <w:t>Državno odvetništvo RS kot ustavnopravna kategorija</w:t>
            </w:r>
            <w:r>
              <w:rPr>
                <w:webHidden/>
              </w:rPr>
              <w:tab/>
            </w:r>
            <w:r>
              <w:rPr>
                <w:webHidden/>
              </w:rPr>
              <w:fldChar w:fldCharType="begin"/>
            </w:r>
            <w:r>
              <w:rPr>
                <w:webHidden/>
              </w:rPr>
              <w:instrText xml:space="preserve"> PAGEREF _Toc223093698 \h </w:instrText>
            </w:r>
            <w:r>
              <w:rPr>
                <w:webHidden/>
              </w:rPr>
            </w:r>
            <w:r>
              <w:rPr>
                <w:webHidden/>
              </w:rPr>
              <w:fldChar w:fldCharType="separate"/>
            </w:r>
            <w:r w:rsidR="00A76D9F">
              <w:rPr>
                <w:webHidden/>
              </w:rPr>
              <w:t>28</w:t>
            </w:r>
            <w:r>
              <w:rPr>
                <w:webHidden/>
              </w:rPr>
              <w:fldChar w:fldCharType="end"/>
            </w:r>
          </w:hyperlink>
        </w:p>
        <w:p w14:paraId="10076639" w14:textId="4FEBA8A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699" w:history="1">
            <w:r w:rsidRPr="00E14024">
              <w:rPr>
                <w:rStyle w:val="Hiperpovezava"/>
              </w:rPr>
              <w:t>1.3.3</w:t>
            </w:r>
            <w:r>
              <w:rPr>
                <w:rFonts w:asciiTheme="minorHAnsi" w:eastAsiaTheme="minorEastAsia" w:hAnsiTheme="minorHAnsi" w:cstheme="minorBidi"/>
                <w:kern w:val="2"/>
                <w:sz w:val="24"/>
                <w:szCs w:val="24"/>
                <w:lang w:eastAsia="sl-SI"/>
                <w14:ligatures w14:val="standardContextual"/>
              </w:rPr>
              <w:tab/>
            </w:r>
            <w:r w:rsidRPr="00E14024">
              <w:rPr>
                <w:rStyle w:val="Hiperpovezava"/>
              </w:rPr>
              <w:t>Vloga Državnega odvetništva RS pri varovanju človekovih pravic in utrjevanju vladavine prava</w:t>
            </w:r>
            <w:r>
              <w:rPr>
                <w:webHidden/>
              </w:rPr>
              <w:tab/>
            </w:r>
            <w:r>
              <w:rPr>
                <w:webHidden/>
              </w:rPr>
              <w:fldChar w:fldCharType="begin"/>
            </w:r>
            <w:r>
              <w:rPr>
                <w:webHidden/>
              </w:rPr>
              <w:instrText xml:space="preserve"> PAGEREF _Toc223093699 \h </w:instrText>
            </w:r>
            <w:r>
              <w:rPr>
                <w:webHidden/>
              </w:rPr>
            </w:r>
            <w:r>
              <w:rPr>
                <w:webHidden/>
              </w:rPr>
              <w:fldChar w:fldCharType="separate"/>
            </w:r>
            <w:r w:rsidR="00A76D9F">
              <w:rPr>
                <w:webHidden/>
              </w:rPr>
              <w:t>30</w:t>
            </w:r>
            <w:r>
              <w:rPr>
                <w:webHidden/>
              </w:rPr>
              <w:fldChar w:fldCharType="end"/>
            </w:r>
          </w:hyperlink>
        </w:p>
        <w:p w14:paraId="06E941D9" w14:textId="1ECBF82B"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700" w:history="1">
            <w:r w:rsidRPr="00E14024">
              <w:rPr>
                <w:rStyle w:val="Hiperpovezava"/>
                <w:rFonts w:eastAsia="Times New Roman"/>
                <w:noProof/>
              </w:rPr>
              <w:t>2</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KADROVSKO STANJE DRŽAVNEGA ODVETNIŠTVA RS</w:t>
            </w:r>
            <w:r>
              <w:rPr>
                <w:noProof/>
                <w:webHidden/>
              </w:rPr>
              <w:tab/>
            </w:r>
            <w:r>
              <w:rPr>
                <w:noProof/>
                <w:webHidden/>
              </w:rPr>
              <w:fldChar w:fldCharType="begin"/>
            </w:r>
            <w:r>
              <w:rPr>
                <w:noProof/>
                <w:webHidden/>
              </w:rPr>
              <w:instrText xml:space="preserve"> PAGEREF _Toc223093700 \h </w:instrText>
            </w:r>
            <w:r>
              <w:rPr>
                <w:noProof/>
                <w:webHidden/>
              </w:rPr>
            </w:r>
            <w:r>
              <w:rPr>
                <w:noProof/>
                <w:webHidden/>
              </w:rPr>
              <w:fldChar w:fldCharType="separate"/>
            </w:r>
            <w:r w:rsidR="00A76D9F">
              <w:rPr>
                <w:noProof/>
                <w:webHidden/>
              </w:rPr>
              <w:t>32</w:t>
            </w:r>
            <w:r>
              <w:rPr>
                <w:noProof/>
                <w:webHidden/>
              </w:rPr>
              <w:fldChar w:fldCharType="end"/>
            </w:r>
          </w:hyperlink>
        </w:p>
        <w:p w14:paraId="3D8FCA98" w14:textId="14E05856"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701" w:history="1">
            <w:r w:rsidRPr="00E14024">
              <w:rPr>
                <w:rStyle w:val="Hiperpovezava"/>
                <w:rFonts w:eastAsia="Times New Roman"/>
                <w:noProof/>
              </w:rPr>
              <w:t>3</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IZOBRAŽEVALNE DEJAVNOSTI DRŽAVNEGA ODVETNIŠTVA RS</w:t>
            </w:r>
            <w:r>
              <w:rPr>
                <w:noProof/>
                <w:webHidden/>
              </w:rPr>
              <w:tab/>
            </w:r>
            <w:r>
              <w:rPr>
                <w:noProof/>
                <w:webHidden/>
              </w:rPr>
              <w:fldChar w:fldCharType="begin"/>
            </w:r>
            <w:r>
              <w:rPr>
                <w:noProof/>
                <w:webHidden/>
              </w:rPr>
              <w:instrText xml:space="preserve"> PAGEREF _Toc223093701 \h </w:instrText>
            </w:r>
            <w:r>
              <w:rPr>
                <w:noProof/>
                <w:webHidden/>
              </w:rPr>
            </w:r>
            <w:r>
              <w:rPr>
                <w:noProof/>
                <w:webHidden/>
              </w:rPr>
              <w:fldChar w:fldCharType="separate"/>
            </w:r>
            <w:r w:rsidR="00A76D9F">
              <w:rPr>
                <w:noProof/>
                <w:webHidden/>
              </w:rPr>
              <w:t>33</w:t>
            </w:r>
            <w:r>
              <w:rPr>
                <w:noProof/>
                <w:webHidden/>
              </w:rPr>
              <w:fldChar w:fldCharType="end"/>
            </w:r>
          </w:hyperlink>
        </w:p>
        <w:p w14:paraId="505BFBDD" w14:textId="6BB86751"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02" w:history="1">
            <w:r w:rsidRPr="00E14024">
              <w:rPr>
                <w:rStyle w:val="Hiperpovezava"/>
                <w:noProof/>
              </w:rPr>
              <w:t>3.1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Izobraževanje zaposlenih na Državnem odvetništvu RS</w:t>
            </w:r>
            <w:r>
              <w:rPr>
                <w:noProof/>
                <w:webHidden/>
              </w:rPr>
              <w:tab/>
            </w:r>
            <w:r>
              <w:rPr>
                <w:noProof/>
                <w:webHidden/>
              </w:rPr>
              <w:fldChar w:fldCharType="begin"/>
            </w:r>
            <w:r>
              <w:rPr>
                <w:noProof/>
                <w:webHidden/>
              </w:rPr>
              <w:instrText xml:space="preserve"> PAGEREF _Toc223093702 \h </w:instrText>
            </w:r>
            <w:r>
              <w:rPr>
                <w:noProof/>
                <w:webHidden/>
              </w:rPr>
            </w:r>
            <w:r>
              <w:rPr>
                <w:noProof/>
                <w:webHidden/>
              </w:rPr>
              <w:fldChar w:fldCharType="separate"/>
            </w:r>
            <w:r w:rsidR="00A76D9F">
              <w:rPr>
                <w:noProof/>
                <w:webHidden/>
              </w:rPr>
              <w:t>33</w:t>
            </w:r>
            <w:r>
              <w:rPr>
                <w:noProof/>
                <w:webHidden/>
              </w:rPr>
              <w:fldChar w:fldCharType="end"/>
            </w:r>
          </w:hyperlink>
        </w:p>
        <w:p w14:paraId="73DA3489" w14:textId="3D24A11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03" w:history="1">
            <w:r w:rsidRPr="00E14024">
              <w:rPr>
                <w:rStyle w:val="Hiperpovezava"/>
              </w:rPr>
              <w:t>3.1.1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_Toc223093703 \h </w:instrText>
            </w:r>
            <w:r>
              <w:rPr>
                <w:webHidden/>
              </w:rPr>
            </w:r>
            <w:r>
              <w:rPr>
                <w:webHidden/>
              </w:rPr>
              <w:fldChar w:fldCharType="separate"/>
            </w:r>
            <w:r w:rsidR="00A76D9F">
              <w:rPr>
                <w:webHidden/>
              </w:rPr>
              <w:t>33</w:t>
            </w:r>
            <w:r>
              <w:rPr>
                <w:webHidden/>
              </w:rPr>
              <w:fldChar w:fldCharType="end"/>
            </w:r>
          </w:hyperlink>
        </w:p>
        <w:p w14:paraId="151E5127" w14:textId="633B0FB4"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04" w:history="1">
            <w:r w:rsidRPr="00E14024">
              <w:rPr>
                <w:rStyle w:val="Hiperpovezava"/>
              </w:rPr>
              <w:t>3.1.2</w:t>
            </w:r>
            <w:r>
              <w:rPr>
                <w:rFonts w:asciiTheme="minorHAnsi" w:eastAsiaTheme="minorEastAsia" w:hAnsiTheme="minorHAnsi" w:cstheme="minorBidi"/>
                <w:kern w:val="2"/>
                <w:sz w:val="24"/>
                <w:szCs w:val="24"/>
                <w:lang w:eastAsia="sl-SI"/>
                <w14:ligatures w14:val="standardContextual"/>
              </w:rPr>
              <w:tab/>
            </w:r>
            <w:r w:rsidRPr="00E14024">
              <w:rPr>
                <w:rStyle w:val="Hiperpovezava"/>
              </w:rPr>
              <w:t>Udeležba na izobraževanjih in usposabljanjih v letu 2025</w:t>
            </w:r>
            <w:r>
              <w:rPr>
                <w:webHidden/>
              </w:rPr>
              <w:tab/>
            </w:r>
            <w:r>
              <w:rPr>
                <w:webHidden/>
              </w:rPr>
              <w:fldChar w:fldCharType="begin"/>
            </w:r>
            <w:r>
              <w:rPr>
                <w:webHidden/>
              </w:rPr>
              <w:instrText xml:space="preserve"> PAGEREF _Toc223093704 \h </w:instrText>
            </w:r>
            <w:r>
              <w:rPr>
                <w:webHidden/>
              </w:rPr>
            </w:r>
            <w:r>
              <w:rPr>
                <w:webHidden/>
              </w:rPr>
              <w:fldChar w:fldCharType="separate"/>
            </w:r>
            <w:r w:rsidR="00A76D9F">
              <w:rPr>
                <w:webHidden/>
              </w:rPr>
              <w:t>34</w:t>
            </w:r>
            <w:r>
              <w:rPr>
                <w:webHidden/>
              </w:rPr>
              <w:fldChar w:fldCharType="end"/>
            </w:r>
          </w:hyperlink>
        </w:p>
        <w:p w14:paraId="471BEF81" w14:textId="17DAE56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05" w:history="1">
            <w:r w:rsidRPr="00E14024">
              <w:rPr>
                <w:rStyle w:val="Hiperpovezava"/>
              </w:rPr>
              <w:t>3.1.2.1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caps w:val="0"/>
              </w:rPr>
              <w:t xml:space="preserve">Pregled </w:t>
            </w:r>
            <w:r>
              <w:rPr>
                <w:rStyle w:val="Hiperpovezava"/>
                <w:caps w:val="0"/>
              </w:rPr>
              <w:t>u</w:t>
            </w:r>
            <w:r w:rsidRPr="00E14024">
              <w:rPr>
                <w:rStyle w:val="Hiperpovezava"/>
                <w:caps w:val="0"/>
              </w:rPr>
              <w:t>deležb</w:t>
            </w:r>
            <w:r>
              <w:rPr>
                <w:webHidden/>
              </w:rPr>
              <w:tab/>
            </w:r>
            <w:r>
              <w:rPr>
                <w:webHidden/>
              </w:rPr>
              <w:fldChar w:fldCharType="begin"/>
            </w:r>
            <w:r>
              <w:rPr>
                <w:webHidden/>
              </w:rPr>
              <w:instrText xml:space="preserve"> PAGEREF _Toc223093705 \h </w:instrText>
            </w:r>
            <w:r>
              <w:rPr>
                <w:webHidden/>
              </w:rPr>
            </w:r>
            <w:r>
              <w:rPr>
                <w:webHidden/>
              </w:rPr>
              <w:fldChar w:fldCharType="separate"/>
            </w:r>
            <w:r w:rsidR="00A76D9F">
              <w:rPr>
                <w:webHidden/>
              </w:rPr>
              <w:t>34</w:t>
            </w:r>
            <w:r>
              <w:rPr>
                <w:webHidden/>
              </w:rPr>
              <w:fldChar w:fldCharType="end"/>
            </w:r>
          </w:hyperlink>
        </w:p>
        <w:p w14:paraId="15BFF365" w14:textId="42B57E67"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06" w:history="1">
            <w:r w:rsidRPr="00E14024">
              <w:rPr>
                <w:rStyle w:val="Hiperpovezava"/>
              </w:rPr>
              <w:t>3.1.2.2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Dnevi Državnega odvetništva RS</w:t>
            </w:r>
            <w:r>
              <w:rPr>
                <w:webHidden/>
              </w:rPr>
              <w:tab/>
            </w:r>
            <w:r>
              <w:rPr>
                <w:webHidden/>
              </w:rPr>
              <w:fldChar w:fldCharType="begin"/>
            </w:r>
            <w:r>
              <w:rPr>
                <w:webHidden/>
              </w:rPr>
              <w:instrText xml:space="preserve"> PAGEREF _Toc223093706 \h </w:instrText>
            </w:r>
            <w:r>
              <w:rPr>
                <w:webHidden/>
              </w:rPr>
            </w:r>
            <w:r>
              <w:rPr>
                <w:webHidden/>
              </w:rPr>
              <w:fldChar w:fldCharType="separate"/>
            </w:r>
            <w:r w:rsidR="00A76D9F">
              <w:rPr>
                <w:webHidden/>
              </w:rPr>
              <w:t>38</w:t>
            </w:r>
            <w:r>
              <w:rPr>
                <w:webHidden/>
              </w:rPr>
              <w:fldChar w:fldCharType="end"/>
            </w:r>
          </w:hyperlink>
        </w:p>
        <w:p w14:paraId="7FE920C3" w14:textId="076E6C0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07" w:history="1">
            <w:r w:rsidRPr="00E14024">
              <w:rPr>
                <w:rStyle w:val="Hiperpovezava"/>
              </w:rPr>
              <w:t>3.1.2.3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Šola Državnega odvetništva RS 2025</w:t>
            </w:r>
            <w:r>
              <w:rPr>
                <w:webHidden/>
              </w:rPr>
              <w:tab/>
            </w:r>
            <w:r>
              <w:rPr>
                <w:webHidden/>
              </w:rPr>
              <w:fldChar w:fldCharType="begin"/>
            </w:r>
            <w:r>
              <w:rPr>
                <w:webHidden/>
              </w:rPr>
              <w:instrText xml:space="preserve"> PAGEREF _Toc223093707 \h </w:instrText>
            </w:r>
            <w:r>
              <w:rPr>
                <w:webHidden/>
              </w:rPr>
            </w:r>
            <w:r>
              <w:rPr>
                <w:webHidden/>
              </w:rPr>
              <w:fldChar w:fldCharType="separate"/>
            </w:r>
            <w:r w:rsidR="00A76D9F">
              <w:rPr>
                <w:webHidden/>
              </w:rPr>
              <w:t>42</w:t>
            </w:r>
            <w:r>
              <w:rPr>
                <w:webHidden/>
              </w:rPr>
              <w:fldChar w:fldCharType="end"/>
            </w:r>
          </w:hyperlink>
        </w:p>
        <w:p w14:paraId="2D9AC616" w14:textId="5679F29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08" w:history="1">
            <w:r w:rsidRPr="00E14024">
              <w:rPr>
                <w:rStyle w:val="Hiperpovezava"/>
              </w:rPr>
              <w:t>3.1.3</w:t>
            </w:r>
            <w:r>
              <w:rPr>
                <w:rFonts w:asciiTheme="minorHAnsi" w:eastAsiaTheme="minorEastAsia" w:hAnsiTheme="minorHAnsi" w:cstheme="minorBidi"/>
                <w:kern w:val="2"/>
                <w:sz w:val="24"/>
                <w:szCs w:val="24"/>
                <w:lang w:eastAsia="sl-SI"/>
                <w14:ligatures w14:val="standardContextual"/>
              </w:rPr>
              <w:tab/>
            </w:r>
            <w:r w:rsidRPr="00E14024">
              <w:rPr>
                <w:rStyle w:val="Hiperpovezava"/>
              </w:rPr>
              <w:t>Skrb za prenos znanja in usposabljanje znotraj Državnega odvetništva RS</w:t>
            </w:r>
            <w:r>
              <w:rPr>
                <w:webHidden/>
              </w:rPr>
              <w:tab/>
            </w:r>
            <w:r>
              <w:rPr>
                <w:webHidden/>
              </w:rPr>
              <w:fldChar w:fldCharType="begin"/>
            </w:r>
            <w:r>
              <w:rPr>
                <w:webHidden/>
              </w:rPr>
              <w:instrText xml:space="preserve"> PAGEREF _Toc223093708 \h </w:instrText>
            </w:r>
            <w:r>
              <w:rPr>
                <w:webHidden/>
              </w:rPr>
            </w:r>
            <w:r>
              <w:rPr>
                <w:webHidden/>
              </w:rPr>
              <w:fldChar w:fldCharType="separate"/>
            </w:r>
            <w:r w:rsidR="00A76D9F">
              <w:rPr>
                <w:webHidden/>
              </w:rPr>
              <w:t>43</w:t>
            </w:r>
            <w:r>
              <w:rPr>
                <w:webHidden/>
              </w:rPr>
              <w:fldChar w:fldCharType="end"/>
            </w:r>
          </w:hyperlink>
        </w:p>
        <w:p w14:paraId="25AE0D8A" w14:textId="5EEAC18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09" w:history="1">
            <w:r w:rsidRPr="00E14024">
              <w:rPr>
                <w:rStyle w:val="Hiperpovezava"/>
              </w:rPr>
              <w:t>3.1.3.1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_Toc223093709 \h </w:instrText>
            </w:r>
            <w:r>
              <w:rPr>
                <w:webHidden/>
              </w:rPr>
            </w:r>
            <w:r>
              <w:rPr>
                <w:webHidden/>
              </w:rPr>
              <w:fldChar w:fldCharType="separate"/>
            </w:r>
            <w:r w:rsidR="00A76D9F">
              <w:rPr>
                <w:webHidden/>
              </w:rPr>
              <w:t>43</w:t>
            </w:r>
            <w:r>
              <w:rPr>
                <w:webHidden/>
              </w:rPr>
              <w:fldChar w:fldCharType="end"/>
            </w:r>
          </w:hyperlink>
        </w:p>
        <w:p w14:paraId="214A2EEB" w14:textId="45BA3BD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10" w:history="1">
            <w:r w:rsidRPr="00E14024">
              <w:rPr>
                <w:rStyle w:val="Hiperpovezava"/>
                <w:rFonts w:eastAsia="Calibri"/>
              </w:rPr>
              <w:t>3.1.3.2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Uvedba intervizije na Državnem odvetništvu RS</w:t>
            </w:r>
            <w:r>
              <w:rPr>
                <w:webHidden/>
              </w:rPr>
              <w:tab/>
            </w:r>
            <w:r>
              <w:rPr>
                <w:webHidden/>
              </w:rPr>
              <w:fldChar w:fldCharType="begin"/>
            </w:r>
            <w:r>
              <w:rPr>
                <w:webHidden/>
              </w:rPr>
              <w:instrText xml:space="preserve"> PAGEREF _Toc223093710 \h </w:instrText>
            </w:r>
            <w:r>
              <w:rPr>
                <w:webHidden/>
              </w:rPr>
            </w:r>
            <w:r>
              <w:rPr>
                <w:webHidden/>
              </w:rPr>
              <w:fldChar w:fldCharType="separate"/>
            </w:r>
            <w:r w:rsidR="00A76D9F">
              <w:rPr>
                <w:webHidden/>
              </w:rPr>
              <w:t>43</w:t>
            </w:r>
            <w:r>
              <w:rPr>
                <w:webHidden/>
              </w:rPr>
              <w:fldChar w:fldCharType="end"/>
            </w:r>
          </w:hyperlink>
        </w:p>
        <w:p w14:paraId="35F6A14C" w14:textId="4E80F34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11" w:history="1">
            <w:r w:rsidRPr="00E14024">
              <w:rPr>
                <w:rStyle w:val="Hiperpovezava"/>
              </w:rPr>
              <w:t>3.1.3.3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Usposabljanje kandidatov za državnega odvetnika</w:t>
            </w:r>
            <w:r>
              <w:rPr>
                <w:webHidden/>
              </w:rPr>
              <w:tab/>
            </w:r>
            <w:r>
              <w:rPr>
                <w:webHidden/>
              </w:rPr>
              <w:fldChar w:fldCharType="begin"/>
            </w:r>
            <w:r>
              <w:rPr>
                <w:webHidden/>
              </w:rPr>
              <w:instrText xml:space="preserve"> PAGEREF _Toc223093711 \h </w:instrText>
            </w:r>
            <w:r>
              <w:rPr>
                <w:webHidden/>
              </w:rPr>
            </w:r>
            <w:r>
              <w:rPr>
                <w:webHidden/>
              </w:rPr>
              <w:fldChar w:fldCharType="separate"/>
            </w:r>
            <w:r w:rsidR="00A76D9F">
              <w:rPr>
                <w:webHidden/>
              </w:rPr>
              <w:t>44</w:t>
            </w:r>
            <w:r>
              <w:rPr>
                <w:webHidden/>
              </w:rPr>
              <w:fldChar w:fldCharType="end"/>
            </w:r>
          </w:hyperlink>
        </w:p>
        <w:p w14:paraId="5196B5BA" w14:textId="1B41AC0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12" w:history="1">
            <w:r w:rsidRPr="00E14024">
              <w:rPr>
                <w:rStyle w:val="Hiperpovezava"/>
              </w:rPr>
              <w:t>3.1.3.3.1</w:t>
            </w:r>
            <w:r>
              <w:rPr>
                <w:rFonts w:asciiTheme="minorHAnsi" w:eastAsiaTheme="minorEastAsia" w:hAnsiTheme="minorHAnsi" w:cstheme="minorBidi"/>
                <w:kern w:val="2"/>
                <w:sz w:val="24"/>
                <w:szCs w:val="24"/>
                <w:lang w:eastAsia="sl-SI"/>
                <w14:ligatures w14:val="standardContextual"/>
              </w:rPr>
              <w:tab/>
            </w:r>
            <w:r w:rsidRPr="00E14024">
              <w:rPr>
                <w:rStyle w:val="Hiperpovezava"/>
              </w:rPr>
              <w:t>Moduli za usposabljanje kandidatov za državnega odvetnika</w:t>
            </w:r>
            <w:r>
              <w:rPr>
                <w:webHidden/>
              </w:rPr>
              <w:tab/>
            </w:r>
            <w:r>
              <w:rPr>
                <w:webHidden/>
              </w:rPr>
              <w:fldChar w:fldCharType="begin"/>
            </w:r>
            <w:r>
              <w:rPr>
                <w:webHidden/>
              </w:rPr>
              <w:instrText xml:space="preserve"> PAGEREF _Toc223093712 \h </w:instrText>
            </w:r>
            <w:r>
              <w:rPr>
                <w:webHidden/>
              </w:rPr>
            </w:r>
            <w:r>
              <w:rPr>
                <w:webHidden/>
              </w:rPr>
              <w:fldChar w:fldCharType="separate"/>
            </w:r>
            <w:r w:rsidR="00A76D9F">
              <w:rPr>
                <w:webHidden/>
              </w:rPr>
              <w:t>44</w:t>
            </w:r>
            <w:r>
              <w:rPr>
                <w:webHidden/>
              </w:rPr>
              <w:fldChar w:fldCharType="end"/>
            </w:r>
          </w:hyperlink>
        </w:p>
        <w:p w14:paraId="1DC68799" w14:textId="51BC5A0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13" w:history="1">
            <w:r w:rsidRPr="00E14024">
              <w:rPr>
                <w:rStyle w:val="Hiperpovezava"/>
              </w:rPr>
              <w:t>3.1.3.3.2</w:t>
            </w:r>
            <w:r>
              <w:rPr>
                <w:rFonts w:asciiTheme="minorHAnsi" w:eastAsiaTheme="minorEastAsia" w:hAnsiTheme="minorHAnsi" w:cstheme="minorBidi"/>
                <w:kern w:val="2"/>
                <w:sz w:val="24"/>
                <w:szCs w:val="24"/>
                <w:lang w:eastAsia="sl-SI"/>
                <w14:ligatures w14:val="standardContextual"/>
              </w:rPr>
              <w:tab/>
            </w:r>
            <w:r w:rsidRPr="00E14024">
              <w:rPr>
                <w:rStyle w:val="Hiperpovezava"/>
              </w:rPr>
              <w:t>Razporeditev kandidatov za državnega odvetnika na Mednarodni oddelek</w:t>
            </w:r>
            <w:r>
              <w:rPr>
                <w:webHidden/>
              </w:rPr>
              <w:tab/>
            </w:r>
            <w:r>
              <w:rPr>
                <w:webHidden/>
              </w:rPr>
              <w:fldChar w:fldCharType="begin"/>
            </w:r>
            <w:r>
              <w:rPr>
                <w:webHidden/>
              </w:rPr>
              <w:instrText xml:space="preserve"> PAGEREF _Toc223093713 \h </w:instrText>
            </w:r>
            <w:r>
              <w:rPr>
                <w:webHidden/>
              </w:rPr>
            </w:r>
            <w:r>
              <w:rPr>
                <w:webHidden/>
              </w:rPr>
              <w:fldChar w:fldCharType="separate"/>
            </w:r>
            <w:r w:rsidR="00A76D9F">
              <w:rPr>
                <w:webHidden/>
              </w:rPr>
              <w:t>44</w:t>
            </w:r>
            <w:r>
              <w:rPr>
                <w:webHidden/>
              </w:rPr>
              <w:fldChar w:fldCharType="end"/>
            </w:r>
          </w:hyperlink>
        </w:p>
        <w:p w14:paraId="644CC90E" w14:textId="6180EF2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14" w:history="1">
            <w:r w:rsidRPr="00E14024">
              <w:rPr>
                <w:rStyle w:val="Hiperpovezava"/>
                <w:lang w:eastAsia="sl-SI"/>
              </w:rPr>
              <w:t>3.1.3.3.3</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Sodelovanje v delovnih skupinah</w:t>
            </w:r>
            <w:r>
              <w:rPr>
                <w:webHidden/>
              </w:rPr>
              <w:tab/>
            </w:r>
            <w:r>
              <w:rPr>
                <w:webHidden/>
              </w:rPr>
              <w:fldChar w:fldCharType="begin"/>
            </w:r>
            <w:r>
              <w:rPr>
                <w:webHidden/>
              </w:rPr>
              <w:instrText xml:space="preserve"> PAGEREF _Toc223093714 \h </w:instrText>
            </w:r>
            <w:r>
              <w:rPr>
                <w:webHidden/>
              </w:rPr>
            </w:r>
            <w:r>
              <w:rPr>
                <w:webHidden/>
              </w:rPr>
              <w:fldChar w:fldCharType="separate"/>
            </w:r>
            <w:r w:rsidR="00A76D9F">
              <w:rPr>
                <w:webHidden/>
              </w:rPr>
              <w:t>45</w:t>
            </w:r>
            <w:r>
              <w:rPr>
                <w:webHidden/>
              </w:rPr>
              <w:fldChar w:fldCharType="end"/>
            </w:r>
          </w:hyperlink>
        </w:p>
        <w:p w14:paraId="70C9FB12" w14:textId="78713554"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15" w:history="1">
            <w:r w:rsidRPr="00E14024">
              <w:rPr>
                <w:rStyle w:val="Hiperpovezava"/>
              </w:rPr>
              <w:t>3.1.3.3.4</w:t>
            </w:r>
            <w:r>
              <w:rPr>
                <w:rFonts w:asciiTheme="minorHAnsi" w:eastAsiaTheme="minorEastAsia" w:hAnsiTheme="minorHAnsi" w:cstheme="minorBidi"/>
                <w:kern w:val="2"/>
                <w:sz w:val="24"/>
                <w:szCs w:val="24"/>
                <w:lang w:eastAsia="sl-SI"/>
                <w14:ligatures w14:val="standardContextual"/>
              </w:rPr>
              <w:tab/>
            </w:r>
            <w:r w:rsidRPr="00E14024">
              <w:rPr>
                <w:rStyle w:val="Hiperpovezava"/>
              </w:rPr>
              <w:t>Interna izobraževanja in delavnice</w:t>
            </w:r>
            <w:r>
              <w:rPr>
                <w:webHidden/>
              </w:rPr>
              <w:tab/>
            </w:r>
            <w:r>
              <w:rPr>
                <w:webHidden/>
              </w:rPr>
              <w:fldChar w:fldCharType="begin"/>
            </w:r>
            <w:r>
              <w:rPr>
                <w:webHidden/>
              </w:rPr>
              <w:instrText xml:space="preserve"> PAGEREF _Toc223093715 \h </w:instrText>
            </w:r>
            <w:r>
              <w:rPr>
                <w:webHidden/>
              </w:rPr>
            </w:r>
            <w:r>
              <w:rPr>
                <w:webHidden/>
              </w:rPr>
              <w:fldChar w:fldCharType="separate"/>
            </w:r>
            <w:r w:rsidR="00A76D9F">
              <w:rPr>
                <w:webHidden/>
              </w:rPr>
              <w:t>45</w:t>
            </w:r>
            <w:r>
              <w:rPr>
                <w:webHidden/>
              </w:rPr>
              <w:fldChar w:fldCharType="end"/>
            </w:r>
          </w:hyperlink>
        </w:p>
        <w:p w14:paraId="0FB1CB57" w14:textId="6CB3628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16" w:history="1">
            <w:r w:rsidRPr="00E14024">
              <w:rPr>
                <w:rStyle w:val="Hiperpovezava"/>
              </w:rPr>
              <w:t>3.1.3.4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Interni natečaj za pridobitev dodatne izobrazbe</w:t>
            </w:r>
            <w:r>
              <w:rPr>
                <w:webHidden/>
              </w:rPr>
              <w:tab/>
            </w:r>
            <w:r>
              <w:rPr>
                <w:webHidden/>
              </w:rPr>
              <w:fldChar w:fldCharType="begin"/>
            </w:r>
            <w:r>
              <w:rPr>
                <w:webHidden/>
              </w:rPr>
              <w:instrText xml:space="preserve"> PAGEREF _Toc223093716 \h </w:instrText>
            </w:r>
            <w:r>
              <w:rPr>
                <w:webHidden/>
              </w:rPr>
            </w:r>
            <w:r>
              <w:rPr>
                <w:webHidden/>
              </w:rPr>
              <w:fldChar w:fldCharType="separate"/>
            </w:r>
            <w:r w:rsidR="00A76D9F">
              <w:rPr>
                <w:webHidden/>
              </w:rPr>
              <w:t>46</w:t>
            </w:r>
            <w:r>
              <w:rPr>
                <w:webHidden/>
              </w:rPr>
              <w:fldChar w:fldCharType="end"/>
            </w:r>
          </w:hyperlink>
        </w:p>
        <w:p w14:paraId="32D28E5D" w14:textId="299E0557"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17" w:history="1">
            <w:r w:rsidRPr="00E14024">
              <w:rPr>
                <w:rStyle w:val="Hiperpovezava"/>
                <w:noProof/>
              </w:rPr>
              <w:t>3.2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Obisk udeležencev programa izmenjav za sodnike in pravosodno osebje v okviru EJTN 2025</w:t>
            </w:r>
            <w:r>
              <w:rPr>
                <w:noProof/>
                <w:webHidden/>
              </w:rPr>
              <w:tab/>
            </w:r>
            <w:r>
              <w:rPr>
                <w:noProof/>
                <w:webHidden/>
              </w:rPr>
              <w:fldChar w:fldCharType="begin"/>
            </w:r>
            <w:r>
              <w:rPr>
                <w:noProof/>
                <w:webHidden/>
              </w:rPr>
              <w:instrText xml:space="preserve"> PAGEREF _Toc223093717 \h </w:instrText>
            </w:r>
            <w:r>
              <w:rPr>
                <w:noProof/>
                <w:webHidden/>
              </w:rPr>
            </w:r>
            <w:r>
              <w:rPr>
                <w:noProof/>
                <w:webHidden/>
              </w:rPr>
              <w:fldChar w:fldCharType="separate"/>
            </w:r>
            <w:r w:rsidR="00A76D9F">
              <w:rPr>
                <w:noProof/>
                <w:webHidden/>
              </w:rPr>
              <w:t>46</w:t>
            </w:r>
            <w:r>
              <w:rPr>
                <w:noProof/>
                <w:webHidden/>
              </w:rPr>
              <w:fldChar w:fldCharType="end"/>
            </w:r>
          </w:hyperlink>
        </w:p>
        <w:p w14:paraId="52AC63BF" w14:textId="59B010FA"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18" w:history="1">
            <w:r w:rsidRPr="00E14024">
              <w:rPr>
                <w:rStyle w:val="Hiperpovezava"/>
                <w:noProof/>
              </w:rPr>
              <w:t>3.3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Sodelovanje državnih odvetnikov kot predavateljev na različnih posvetovanjih in izobraževanjih</w:t>
            </w:r>
            <w:r>
              <w:rPr>
                <w:noProof/>
                <w:webHidden/>
              </w:rPr>
              <w:tab/>
            </w:r>
            <w:r>
              <w:rPr>
                <w:noProof/>
                <w:webHidden/>
              </w:rPr>
              <w:fldChar w:fldCharType="begin"/>
            </w:r>
            <w:r>
              <w:rPr>
                <w:noProof/>
                <w:webHidden/>
              </w:rPr>
              <w:instrText xml:space="preserve"> PAGEREF _Toc223093718 \h </w:instrText>
            </w:r>
            <w:r>
              <w:rPr>
                <w:noProof/>
                <w:webHidden/>
              </w:rPr>
            </w:r>
            <w:r>
              <w:rPr>
                <w:noProof/>
                <w:webHidden/>
              </w:rPr>
              <w:fldChar w:fldCharType="separate"/>
            </w:r>
            <w:r w:rsidR="00A76D9F">
              <w:rPr>
                <w:noProof/>
                <w:webHidden/>
              </w:rPr>
              <w:t>47</w:t>
            </w:r>
            <w:r>
              <w:rPr>
                <w:noProof/>
                <w:webHidden/>
              </w:rPr>
              <w:fldChar w:fldCharType="end"/>
            </w:r>
          </w:hyperlink>
        </w:p>
        <w:p w14:paraId="3A7B67AF" w14:textId="4E03066A"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19" w:history="1">
            <w:r w:rsidRPr="00E14024">
              <w:rPr>
                <w:rStyle w:val="Hiperpovezava"/>
                <w:rFonts w:eastAsia="Calibri"/>
              </w:rPr>
              <w:t>3.3.1</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Sodelovanje generalne državne odvetnice na konferenci z naslovom Umetna inteligenca v pravni praksi: Kaj manjka danes in kje je prihodnost (20. februar 2025)</w:t>
            </w:r>
            <w:r>
              <w:rPr>
                <w:webHidden/>
              </w:rPr>
              <w:tab/>
            </w:r>
            <w:r>
              <w:rPr>
                <w:webHidden/>
              </w:rPr>
              <w:fldChar w:fldCharType="begin"/>
            </w:r>
            <w:r>
              <w:rPr>
                <w:webHidden/>
              </w:rPr>
              <w:instrText xml:space="preserve"> PAGEREF _Toc223093719 \h </w:instrText>
            </w:r>
            <w:r>
              <w:rPr>
                <w:webHidden/>
              </w:rPr>
            </w:r>
            <w:r>
              <w:rPr>
                <w:webHidden/>
              </w:rPr>
              <w:fldChar w:fldCharType="separate"/>
            </w:r>
            <w:r w:rsidR="00A76D9F">
              <w:rPr>
                <w:webHidden/>
              </w:rPr>
              <w:t>47</w:t>
            </w:r>
            <w:r>
              <w:rPr>
                <w:webHidden/>
              </w:rPr>
              <w:fldChar w:fldCharType="end"/>
            </w:r>
          </w:hyperlink>
        </w:p>
        <w:p w14:paraId="2B45817D" w14:textId="314B26F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0" w:history="1">
            <w:r w:rsidRPr="00E14024">
              <w:rPr>
                <w:rStyle w:val="Hiperpovezava"/>
                <w:rFonts w:eastAsia="Calibri"/>
              </w:rPr>
              <w:t>3.3.2</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Otvoritveni dogodek kongresa VIAC CAN (28. februar 2025)</w:t>
            </w:r>
            <w:r>
              <w:rPr>
                <w:webHidden/>
              </w:rPr>
              <w:tab/>
            </w:r>
            <w:r>
              <w:rPr>
                <w:webHidden/>
              </w:rPr>
              <w:fldChar w:fldCharType="begin"/>
            </w:r>
            <w:r>
              <w:rPr>
                <w:webHidden/>
              </w:rPr>
              <w:instrText xml:space="preserve"> PAGEREF _Toc223093720 \h </w:instrText>
            </w:r>
            <w:r>
              <w:rPr>
                <w:webHidden/>
              </w:rPr>
            </w:r>
            <w:r>
              <w:rPr>
                <w:webHidden/>
              </w:rPr>
              <w:fldChar w:fldCharType="separate"/>
            </w:r>
            <w:r w:rsidR="00A76D9F">
              <w:rPr>
                <w:webHidden/>
              </w:rPr>
              <w:t>48</w:t>
            </w:r>
            <w:r>
              <w:rPr>
                <w:webHidden/>
              </w:rPr>
              <w:fldChar w:fldCharType="end"/>
            </w:r>
          </w:hyperlink>
        </w:p>
        <w:p w14:paraId="248554E1" w14:textId="5FE83E4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1" w:history="1">
            <w:r w:rsidRPr="00E14024">
              <w:rPr>
                <w:rStyle w:val="Hiperpovezava"/>
                <w:rFonts w:eastAsia="Calibri"/>
              </w:rPr>
              <w:t>3.3.3</w:t>
            </w:r>
            <w:r>
              <w:rPr>
                <w:rFonts w:asciiTheme="minorHAnsi" w:eastAsiaTheme="minorEastAsia" w:hAnsiTheme="minorHAnsi" w:cstheme="minorBidi"/>
                <w:kern w:val="2"/>
                <w:sz w:val="24"/>
                <w:szCs w:val="24"/>
                <w:lang w:eastAsia="sl-SI"/>
                <w14:ligatures w14:val="standardContextual"/>
              </w:rPr>
              <w:tab/>
            </w:r>
            <w:r w:rsidRPr="00E14024">
              <w:rPr>
                <w:rStyle w:val="Hiperpovezava"/>
              </w:rPr>
              <w:t xml:space="preserve">Predavanje </w:t>
            </w:r>
            <w:r w:rsidRPr="00E14024">
              <w:rPr>
                <w:rStyle w:val="Hiperpovezava"/>
                <w:rFonts w:eastAsia="Calibri"/>
              </w:rPr>
              <w:t>na Fakulteti za upravo (7. marec 2025)</w:t>
            </w:r>
            <w:r>
              <w:rPr>
                <w:webHidden/>
              </w:rPr>
              <w:tab/>
            </w:r>
            <w:r>
              <w:rPr>
                <w:webHidden/>
              </w:rPr>
              <w:fldChar w:fldCharType="begin"/>
            </w:r>
            <w:r>
              <w:rPr>
                <w:webHidden/>
              </w:rPr>
              <w:instrText xml:space="preserve"> PAGEREF _Toc223093721 \h </w:instrText>
            </w:r>
            <w:r>
              <w:rPr>
                <w:webHidden/>
              </w:rPr>
            </w:r>
            <w:r>
              <w:rPr>
                <w:webHidden/>
              </w:rPr>
              <w:fldChar w:fldCharType="separate"/>
            </w:r>
            <w:r w:rsidR="00A76D9F">
              <w:rPr>
                <w:webHidden/>
              </w:rPr>
              <w:t>48</w:t>
            </w:r>
            <w:r>
              <w:rPr>
                <w:webHidden/>
              </w:rPr>
              <w:fldChar w:fldCharType="end"/>
            </w:r>
          </w:hyperlink>
        </w:p>
        <w:p w14:paraId="2A16059F" w14:textId="0432190C"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2" w:history="1">
            <w:r w:rsidRPr="00E14024">
              <w:rPr>
                <w:rStyle w:val="Hiperpovezava"/>
                <w:rFonts w:eastAsia="Calibri"/>
              </w:rPr>
              <w:t>3.3.4</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34. Mednarodna konferenca Medicina, pravo in družba (27. marec 2025)</w:t>
            </w:r>
            <w:r>
              <w:rPr>
                <w:webHidden/>
              </w:rPr>
              <w:tab/>
            </w:r>
            <w:r>
              <w:rPr>
                <w:webHidden/>
              </w:rPr>
              <w:fldChar w:fldCharType="begin"/>
            </w:r>
            <w:r>
              <w:rPr>
                <w:webHidden/>
              </w:rPr>
              <w:instrText xml:space="preserve"> PAGEREF _Toc223093722 \h </w:instrText>
            </w:r>
            <w:r>
              <w:rPr>
                <w:webHidden/>
              </w:rPr>
            </w:r>
            <w:r>
              <w:rPr>
                <w:webHidden/>
              </w:rPr>
              <w:fldChar w:fldCharType="separate"/>
            </w:r>
            <w:r w:rsidR="00A76D9F">
              <w:rPr>
                <w:webHidden/>
              </w:rPr>
              <w:t>48</w:t>
            </w:r>
            <w:r>
              <w:rPr>
                <w:webHidden/>
              </w:rPr>
              <w:fldChar w:fldCharType="end"/>
            </w:r>
          </w:hyperlink>
        </w:p>
        <w:p w14:paraId="29E25BFC" w14:textId="077CCBB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3" w:history="1">
            <w:r w:rsidRPr="00E14024">
              <w:rPr>
                <w:rStyle w:val="Hiperpovezava"/>
                <w:rFonts w:eastAsia="Calibri"/>
              </w:rPr>
              <w:t>3.3.5</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Sodelovanje na konferenci o Digitalizaciji in umetni inteligenci v pravosodju (11. april 2025)</w:t>
            </w:r>
            <w:r>
              <w:rPr>
                <w:webHidden/>
              </w:rPr>
              <w:tab/>
            </w:r>
            <w:r>
              <w:rPr>
                <w:webHidden/>
              </w:rPr>
              <w:fldChar w:fldCharType="begin"/>
            </w:r>
            <w:r>
              <w:rPr>
                <w:webHidden/>
              </w:rPr>
              <w:instrText xml:space="preserve"> PAGEREF _Toc223093723 \h </w:instrText>
            </w:r>
            <w:r>
              <w:rPr>
                <w:webHidden/>
              </w:rPr>
            </w:r>
            <w:r>
              <w:rPr>
                <w:webHidden/>
              </w:rPr>
              <w:fldChar w:fldCharType="separate"/>
            </w:r>
            <w:r w:rsidR="00A76D9F">
              <w:rPr>
                <w:webHidden/>
              </w:rPr>
              <w:t>48</w:t>
            </w:r>
            <w:r>
              <w:rPr>
                <w:webHidden/>
              </w:rPr>
              <w:fldChar w:fldCharType="end"/>
            </w:r>
          </w:hyperlink>
        </w:p>
        <w:p w14:paraId="6BEFA75D" w14:textId="0D775F2D"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4" w:history="1">
            <w:r w:rsidRPr="00E14024">
              <w:rPr>
                <w:rStyle w:val="Hiperpovezava"/>
              </w:rPr>
              <w:t>3.3.6</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Predavanje na Dnevih delovnega in socialnega prava (29. in 30. maj 2025)</w:t>
            </w:r>
            <w:r>
              <w:rPr>
                <w:webHidden/>
              </w:rPr>
              <w:tab/>
            </w:r>
            <w:r>
              <w:rPr>
                <w:webHidden/>
              </w:rPr>
              <w:fldChar w:fldCharType="begin"/>
            </w:r>
            <w:r>
              <w:rPr>
                <w:webHidden/>
              </w:rPr>
              <w:instrText xml:space="preserve"> PAGEREF _Toc223093724 \h </w:instrText>
            </w:r>
            <w:r>
              <w:rPr>
                <w:webHidden/>
              </w:rPr>
            </w:r>
            <w:r>
              <w:rPr>
                <w:webHidden/>
              </w:rPr>
              <w:fldChar w:fldCharType="separate"/>
            </w:r>
            <w:r w:rsidR="00A76D9F">
              <w:rPr>
                <w:webHidden/>
              </w:rPr>
              <w:t>49</w:t>
            </w:r>
            <w:r>
              <w:rPr>
                <w:webHidden/>
              </w:rPr>
              <w:fldChar w:fldCharType="end"/>
            </w:r>
          </w:hyperlink>
        </w:p>
        <w:p w14:paraId="63F48C4D" w14:textId="68CDD51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5" w:history="1">
            <w:r w:rsidRPr="00E14024">
              <w:rPr>
                <w:rStyle w:val="Hiperpovezava"/>
                <w:rFonts w:eastAsia="Calibri"/>
              </w:rPr>
              <w:t>3.3.7</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Predavanje na Dnevih slovenskega sodstva (4. in 5. junij 2025)</w:t>
            </w:r>
            <w:r>
              <w:rPr>
                <w:webHidden/>
              </w:rPr>
              <w:tab/>
            </w:r>
            <w:r>
              <w:rPr>
                <w:webHidden/>
              </w:rPr>
              <w:fldChar w:fldCharType="begin"/>
            </w:r>
            <w:r>
              <w:rPr>
                <w:webHidden/>
              </w:rPr>
              <w:instrText xml:space="preserve"> PAGEREF _Toc223093725 \h </w:instrText>
            </w:r>
            <w:r>
              <w:rPr>
                <w:webHidden/>
              </w:rPr>
            </w:r>
            <w:r>
              <w:rPr>
                <w:webHidden/>
              </w:rPr>
              <w:fldChar w:fldCharType="separate"/>
            </w:r>
            <w:r w:rsidR="00A76D9F">
              <w:rPr>
                <w:webHidden/>
              </w:rPr>
              <w:t>49</w:t>
            </w:r>
            <w:r>
              <w:rPr>
                <w:webHidden/>
              </w:rPr>
              <w:fldChar w:fldCharType="end"/>
            </w:r>
          </w:hyperlink>
        </w:p>
        <w:p w14:paraId="37B74701" w14:textId="1547FA8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6" w:history="1">
            <w:r w:rsidRPr="00E14024">
              <w:rPr>
                <w:rStyle w:val="Hiperpovezava"/>
                <w:rFonts w:eastAsia="Calibri"/>
              </w:rPr>
              <w:t>3.3.8</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Upravna svetovalnica, Fakulteta za upravo (11. junij 2025)</w:t>
            </w:r>
            <w:r>
              <w:rPr>
                <w:webHidden/>
              </w:rPr>
              <w:tab/>
            </w:r>
            <w:r>
              <w:rPr>
                <w:webHidden/>
              </w:rPr>
              <w:fldChar w:fldCharType="begin"/>
            </w:r>
            <w:r>
              <w:rPr>
                <w:webHidden/>
              </w:rPr>
              <w:instrText xml:space="preserve"> PAGEREF _Toc223093726 \h </w:instrText>
            </w:r>
            <w:r>
              <w:rPr>
                <w:webHidden/>
              </w:rPr>
            </w:r>
            <w:r>
              <w:rPr>
                <w:webHidden/>
              </w:rPr>
              <w:fldChar w:fldCharType="separate"/>
            </w:r>
            <w:r w:rsidR="00A76D9F">
              <w:rPr>
                <w:webHidden/>
              </w:rPr>
              <w:t>49</w:t>
            </w:r>
            <w:r>
              <w:rPr>
                <w:webHidden/>
              </w:rPr>
              <w:fldChar w:fldCharType="end"/>
            </w:r>
          </w:hyperlink>
        </w:p>
        <w:p w14:paraId="0D2BD3D3" w14:textId="1CCFFEE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27" w:history="1">
            <w:r w:rsidRPr="00E14024">
              <w:rPr>
                <w:rStyle w:val="Hiperpovezava"/>
                <w:rFonts w:eastAsia="Calibri"/>
              </w:rPr>
              <w:t>3.3.9</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Sodelovanje na strokovnem posvetu Informacijskega pooblaščenca ob Svetovnem dnevu pravice vedeti (28. september 2025)</w:t>
            </w:r>
            <w:r>
              <w:rPr>
                <w:webHidden/>
              </w:rPr>
              <w:tab/>
            </w:r>
            <w:r>
              <w:rPr>
                <w:webHidden/>
              </w:rPr>
              <w:fldChar w:fldCharType="begin"/>
            </w:r>
            <w:r>
              <w:rPr>
                <w:webHidden/>
              </w:rPr>
              <w:instrText xml:space="preserve"> PAGEREF _Toc223093727 \h </w:instrText>
            </w:r>
            <w:r>
              <w:rPr>
                <w:webHidden/>
              </w:rPr>
            </w:r>
            <w:r>
              <w:rPr>
                <w:webHidden/>
              </w:rPr>
              <w:fldChar w:fldCharType="separate"/>
            </w:r>
            <w:r w:rsidR="00A76D9F">
              <w:rPr>
                <w:webHidden/>
              </w:rPr>
              <w:t>49</w:t>
            </w:r>
            <w:r>
              <w:rPr>
                <w:webHidden/>
              </w:rPr>
              <w:fldChar w:fldCharType="end"/>
            </w:r>
          </w:hyperlink>
        </w:p>
        <w:p w14:paraId="6569ECB0" w14:textId="3C05522D"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3728" w:history="1">
            <w:r w:rsidRPr="00E14024">
              <w:rPr>
                <w:rStyle w:val="Hiperpovezava"/>
                <w:rFonts w:eastAsia="Calibri"/>
              </w:rPr>
              <w:t>3.3.10</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Državno odvetništvo RS na 4. dnevih vojaških ved: »Vojaška doktrina, pravo in umetna inteligenca« (15. in 16. oktober 2025)</w:t>
            </w:r>
            <w:r>
              <w:rPr>
                <w:webHidden/>
              </w:rPr>
              <w:tab/>
            </w:r>
            <w:r>
              <w:rPr>
                <w:webHidden/>
              </w:rPr>
              <w:fldChar w:fldCharType="begin"/>
            </w:r>
            <w:r>
              <w:rPr>
                <w:webHidden/>
              </w:rPr>
              <w:instrText xml:space="preserve"> PAGEREF _Toc223093728 \h </w:instrText>
            </w:r>
            <w:r>
              <w:rPr>
                <w:webHidden/>
              </w:rPr>
            </w:r>
            <w:r>
              <w:rPr>
                <w:webHidden/>
              </w:rPr>
              <w:fldChar w:fldCharType="separate"/>
            </w:r>
            <w:r w:rsidR="00A76D9F">
              <w:rPr>
                <w:webHidden/>
              </w:rPr>
              <w:t>50</w:t>
            </w:r>
            <w:r>
              <w:rPr>
                <w:webHidden/>
              </w:rPr>
              <w:fldChar w:fldCharType="end"/>
            </w:r>
          </w:hyperlink>
        </w:p>
        <w:p w14:paraId="2BAA0E21" w14:textId="15851C98"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3729" w:history="1">
            <w:r w:rsidRPr="00E14024">
              <w:rPr>
                <w:rStyle w:val="Hiperpovezava"/>
                <w:rFonts w:eastAsia="Calibri"/>
              </w:rPr>
              <w:t>3.3.11</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51. Dnevi slovenskih pravnikov (16. in 17. oktober 2025)</w:t>
            </w:r>
            <w:r>
              <w:rPr>
                <w:webHidden/>
              </w:rPr>
              <w:tab/>
            </w:r>
            <w:r>
              <w:rPr>
                <w:webHidden/>
              </w:rPr>
              <w:fldChar w:fldCharType="begin"/>
            </w:r>
            <w:r>
              <w:rPr>
                <w:webHidden/>
              </w:rPr>
              <w:instrText xml:space="preserve"> PAGEREF _Toc223093729 \h </w:instrText>
            </w:r>
            <w:r>
              <w:rPr>
                <w:webHidden/>
              </w:rPr>
            </w:r>
            <w:r>
              <w:rPr>
                <w:webHidden/>
              </w:rPr>
              <w:fldChar w:fldCharType="separate"/>
            </w:r>
            <w:r w:rsidR="00A76D9F">
              <w:rPr>
                <w:webHidden/>
              </w:rPr>
              <w:t>50</w:t>
            </w:r>
            <w:r>
              <w:rPr>
                <w:webHidden/>
              </w:rPr>
              <w:fldChar w:fldCharType="end"/>
            </w:r>
          </w:hyperlink>
        </w:p>
        <w:p w14:paraId="35ECDAEF" w14:textId="4D8BE759"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3730" w:history="1">
            <w:r w:rsidRPr="00E14024">
              <w:rPr>
                <w:rStyle w:val="Hiperpovezava"/>
                <w:rFonts w:eastAsia="Calibri"/>
              </w:rPr>
              <w:t>3.3.12</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Predavanje na Gospodarskopravni šoli (22.  oktober 2025)</w:t>
            </w:r>
            <w:r>
              <w:rPr>
                <w:webHidden/>
              </w:rPr>
              <w:tab/>
            </w:r>
            <w:r>
              <w:rPr>
                <w:webHidden/>
              </w:rPr>
              <w:fldChar w:fldCharType="begin"/>
            </w:r>
            <w:r>
              <w:rPr>
                <w:webHidden/>
              </w:rPr>
              <w:instrText xml:space="preserve"> PAGEREF _Toc223093730 \h </w:instrText>
            </w:r>
            <w:r>
              <w:rPr>
                <w:webHidden/>
              </w:rPr>
            </w:r>
            <w:r>
              <w:rPr>
                <w:webHidden/>
              </w:rPr>
              <w:fldChar w:fldCharType="separate"/>
            </w:r>
            <w:r w:rsidR="00A76D9F">
              <w:rPr>
                <w:webHidden/>
              </w:rPr>
              <w:t>51</w:t>
            </w:r>
            <w:r>
              <w:rPr>
                <w:webHidden/>
              </w:rPr>
              <w:fldChar w:fldCharType="end"/>
            </w:r>
          </w:hyperlink>
        </w:p>
        <w:p w14:paraId="5A97DF96" w14:textId="5DA12711"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3731" w:history="1">
            <w:r w:rsidRPr="00E14024">
              <w:rPr>
                <w:rStyle w:val="Hiperpovezava"/>
                <w:rFonts w:eastAsia="Calibri"/>
              </w:rPr>
              <w:t>3.3.13</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Sodelovanje na okrogli mizi ob 75. obletnici Konvencije o varstvu človekovih pravic (25. november 2025)</w:t>
            </w:r>
            <w:r>
              <w:rPr>
                <w:webHidden/>
              </w:rPr>
              <w:tab/>
            </w:r>
            <w:r>
              <w:rPr>
                <w:webHidden/>
              </w:rPr>
              <w:fldChar w:fldCharType="begin"/>
            </w:r>
            <w:r>
              <w:rPr>
                <w:webHidden/>
              </w:rPr>
              <w:instrText xml:space="preserve"> PAGEREF _Toc223093731 \h </w:instrText>
            </w:r>
            <w:r>
              <w:rPr>
                <w:webHidden/>
              </w:rPr>
            </w:r>
            <w:r>
              <w:rPr>
                <w:webHidden/>
              </w:rPr>
              <w:fldChar w:fldCharType="separate"/>
            </w:r>
            <w:r w:rsidR="00A76D9F">
              <w:rPr>
                <w:webHidden/>
              </w:rPr>
              <w:t>51</w:t>
            </w:r>
            <w:r>
              <w:rPr>
                <w:webHidden/>
              </w:rPr>
              <w:fldChar w:fldCharType="end"/>
            </w:r>
          </w:hyperlink>
        </w:p>
        <w:p w14:paraId="0F695264" w14:textId="5149BF09"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3732" w:history="1">
            <w:r w:rsidRPr="00E14024">
              <w:rPr>
                <w:rStyle w:val="Hiperpovezava"/>
                <w:rFonts w:eastAsia="Calibri"/>
              </w:rPr>
              <w:t>3.3.14</w:t>
            </w:r>
            <w:r>
              <w:rPr>
                <w:rFonts w:asciiTheme="minorHAnsi" w:eastAsiaTheme="minorEastAsia" w:hAnsiTheme="minorHAnsi" w:cstheme="minorBidi"/>
                <w:kern w:val="2"/>
                <w:sz w:val="24"/>
                <w:szCs w:val="24"/>
                <w:lang w:eastAsia="sl-SI"/>
                <w14:ligatures w14:val="standardContextual"/>
              </w:rPr>
              <w:tab/>
            </w:r>
            <w:r w:rsidRPr="00E14024">
              <w:rPr>
                <w:rStyle w:val="Hiperpovezava"/>
              </w:rPr>
              <w:t>S</w:t>
            </w:r>
            <w:r w:rsidRPr="00E14024">
              <w:rPr>
                <w:rStyle w:val="Hiperpovezava"/>
                <w:rFonts w:eastAsia="Calibri"/>
              </w:rPr>
              <w:t>lovenska arbitražna konferenca 2025 (26. november 2025)</w:t>
            </w:r>
            <w:r>
              <w:rPr>
                <w:webHidden/>
              </w:rPr>
              <w:tab/>
            </w:r>
            <w:r>
              <w:rPr>
                <w:webHidden/>
              </w:rPr>
              <w:fldChar w:fldCharType="begin"/>
            </w:r>
            <w:r>
              <w:rPr>
                <w:webHidden/>
              </w:rPr>
              <w:instrText xml:space="preserve"> PAGEREF _Toc223093732 \h </w:instrText>
            </w:r>
            <w:r>
              <w:rPr>
                <w:webHidden/>
              </w:rPr>
            </w:r>
            <w:r>
              <w:rPr>
                <w:webHidden/>
              </w:rPr>
              <w:fldChar w:fldCharType="separate"/>
            </w:r>
            <w:r w:rsidR="00A76D9F">
              <w:rPr>
                <w:webHidden/>
              </w:rPr>
              <w:t>51</w:t>
            </w:r>
            <w:r>
              <w:rPr>
                <w:webHidden/>
              </w:rPr>
              <w:fldChar w:fldCharType="end"/>
            </w:r>
          </w:hyperlink>
        </w:p>
        <w:p w14:paraId="568A7216" w14:textId="518FF804"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33" w:history="1">
            <w:r w:rsidRPr="00E14024">
              <w:rPr>
                <w:rStyle w:val="Hiperpovezava"/>
                <w:noProof/>
                <w:lang w:eastAsia="sl-SI"/>
              </w:rPr>
              <w:t>3.4</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lang w:eastAsia="sl-SI"/>
              </w:rPr>
              <w:t>Prispevki Državnega odvetništva RS v strokovni literaturi</w:t>
            </w:r>
            <w:r>
              <w:rPr>
                <w:noProof/>
                <w:webHidden/>
              </w:rPr>
              <w:tab/>
            </w:r>
            <w:r>
              <w:rPr>
                <w:noProof/>
                <w:webHidden/>
              </w:rPr>
              <w:fldChar w:fldCharType="begin"/>
            </w:r>
            <w:r>
              <w:rPr>
                <w:noProof/>
                <w:webHidden/>
              </w:rPr>
              <w:instrText xml:space="preserve"> PAGEREF _Toc223093733 \h </w:instrText>
            </w:r>
            <w:r>
              <w:rPr>
                <w:noProof/>
                <w:webHidden/>
              </w:rPr>
            </w:r>
            <w:r>
              <w:rPr>
                <w:noProof/>
                <w:webHidden/>
              </w:rPr>
              <w:fldChar w:fldCharType="separate"/>
            </w:r>
            <w:r w:rsidR="00A76D9F">
              <w:rPr>
                <w:noProof/>
                <w:webHidden/>
              </w:rPr>
              <w:t>51</w:t>
            </w:r>
            <w:r>
              <w:rPr>
                <w:noProof/>
                <w:webHidden/>
              </w:rPr>
              <w:fldChar w:fldCharType="end"/>
            </w:r>
          </w:hyperlink>
        </w:p>
        <w:p w14:paraId="184792D5" w14:textId="492BD98F"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34" w:history="1">
            <w:r w:rsidRPr="00E14024">
              <w:rPr>
                <w:rStyle w:val="Hiperpovezava"/>
                <w:noProof/>
              </w:rPr>
              <w:t>3.5</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Pobuda Državnega odvetništva RS za organizacijo Šole pravosodnega osebja</w:t>
            </w:r>
            <w:r>
              <w:rPr>
                <w:noProof/>
                <w:webHidden/>
              </w:rPr>
              <w:tab/>
            </w:r>
            <w:r>
              <w:rPr>
                <w:noProof/>
                <w:webHidden/>
              </w:rPr>
              <w:fldChar w:fldCharType="begin"/>
            </w:r>
            <w:r>
              <w:rPr>
                <w:noProof/>
                <w:webHidden/>
              </w:rPr>
              <w:instrText xml:space="preserve"> PAGEREF _Toc223093734 \h </w:instrText>
            </w:r>
            <w:r>
              <w:rPr>
                <w:noProof/>
                <w:webHidden/>
              </w:rPr>
            </w:r>
            <w:r>
              <w:rPr>
                <w:noProof/>
                <w:webHidden/>
              </w:rPr>
              <w:fldChar w:fldCharType="separate"/>
            </w:r>
            <w:r w:rsidR="00A76D9F">
              <w:rPr>
                <w:noProof/>
                <w:webHidden/>
              </w:rPr>
              <w:t>52</w:t>
            </w:r>
            <w:r>
              <w:rPr>
                <w:noProof/>
                <w:webHidden/>
              </w:rPr>
              <w:fldChar w:fldCharType="end"/>
            </w:r>
          </w:hyperlink>
        </w:p>
        <w:p w14:paraId="0CD8AAE2" w14:textId="44D159D1"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735" w:history="1">
            <w:r w:rsidRPr="00E14024">
              <w:rPr>
                <w:rStyle w:val="Hiperpovezava"/>
                <w:rFonts w:eastAsia="Times New Roman"/>
                <w:noProof/>
              </w:rPr>
              <w:t>4</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IZVAJANJE NALOG</w:t>
            </w:r>
            <w:r>
              <w:rPr>
                <w:noProof/>
                <w:webHidden/>
              </w:rPr>
              <w:tab/>
            </w:r>
            <w:r>
              <w:rPr>
                <w:noProof/>
                <w:webHidden/>
              </w:rPr>
              <w:fldChar w:fldCharType="begin"/>
            </w:r>
            <w:r>
              <w:rPr>
                <w:noProof/>
                <w:webHidden/>
              </w:rPr>
              <w:instrText xml:space="preserve"> PAGEREF _Toc223093735 \h </w:instrText>
            </w:r>
            <w:r>
              <w:rPr>
                <w:noProof/>
                <w:webHidden/>
              </w:rPr>
            </w:r>
            <w:r>
              <w:rPr>
                <w:noProof/>
                <w:webHidden/>
              </w:rPr>
              <w:fldChar w:fldCharType="separate"/>
            </w:r>
            <w:r w:rsidR="00A76D9F">
              <w:rPr>
                <w:noProof/>
                <w:webHidden/>
              </w:rPr>
              <w:t>53</w:t>
            </w:r>
            <w:r>
              <w:rPr>
                <w:noProof/>
                <w:webHidden/>
              </w:rPr>
              <w:fldChar w:fldCharType="end"/>
            </w:r>
          </w:hyperlink>
        </w:p>
        <w:p w14:paraId="6F2047BC" w14:textId="061077DD"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36" w:history="1">
            <w:r w:rsidRPr="00E14024">
              <w:rPr>
                <w:rStyle w:val="Hiperpovezava"/>
                <w:noProof/>
              </w:rPr>
              <w:t>4.1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Problematika s področja poslovanja Državnega odvetništva RS</w:t>
            </w:r>
            <w:r>
              <w:rPr>
                <w:noProof/>
                <w:webHidden/>
              </w:rPr>
              <w:tab/>
            </w:r>
            <w:r>
              <w:rPr>
                <w:noProof/>
                <w:webHidden/>
              </w:rPr>
              <w:fldChar w:fldCharType="begin"/>
            </w:r>
            <w:r>
              <w:rPr>
                <w:noProof/>
                <w:webHidden/>
              </w:rPr>
              <w:instrText xml:space="preserve"> PAGEREF _Toc223093736 \h </w:instrText>
            </w:r>
            <w:r>
              <w:rPr>
                <w:noProof/>
                <w:webHidden/>
              </w:rPr>
            </w:r>
            <w:r>
              <w:rPr>
                <w:noProof/>
                <w:webHidden/>
              </w:rPr>
              <w:fldChar w:fldCharType="separate"/>
            </w:r>
            <w:r w:rsidR="00A76D9F">
              <w:rPr>
                <w:noProof/>
                <w:webHidden/>
              </w:rPr>
              <w:t>53</w:t>
            </w:r>
            <w:r>
              <w:rPr>
                <w:noProof/>
                <w:webHidden/>
              </w:rPr>
              <w:fldChar w:fldCharType="end"/>
            </w:r>
          </w:hyperlink>
        </w:p>
        <w:p w14:paraId="446CFADF" w14:textId="7A66F47A"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37" w:history="1">
            <w:r w:rsidRPr="00E14024">
              <w:rPr>
                <w:rStyle w:val="Hiperpovezava"/>
              </w:rPr>
              <w:t>4.1.1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_Toc223093737 \h </w:instrText>
            </w:r>
            <w:r>
              <w:rPr>
                <w:webHidden/>
              </w:rPr>
            </w:r>
            <w:r>
              <w:rPr>
                <w:webHidden/>
              </w:rPr>
              <w:fldChar w:fldCharType="separate"/>
            </w:r>
            <w:r w:rsidR="00A76D9F">
              <w:rPr>
                <w:webHidden/>
              </w:rPr>
              <w:t>53</w:t>
            </w:r>
            <w:r>
              <w:rPr>
                <w:webHidden/>
              </w:rPr>
              <w:fldChar w:fldCharType="end"/>
            </w:r>
          </w:hyperlink>
        </w:p>
        <w:p w14:paraId="23E1155B" w14:textId="40CBFD96"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38" w:history="1">
            <w:r w:rsidRPr="00E14024">
              <w:rPr>
                <w:rStyle w:val="Hiperpovezava"/>
              </w:rPr>
              <w:t>4.1.2</w:t>
            </w:r>
            <w:r>
              <w:rPr>
                <w:rFonts w:asciiTheme="minorHAnsi" w:eastAsiaTheme="minorEastAsia" w:hAnsiTheme="minorHAnsi" w:cstheme="minorBidi"/>
                <w:kern w:val="2"/>
                <w:sz w:val="24"/>
                <w:szCs w:val="24"/>
                <w:lang w:eastAsia="sl-SI"/>
                <w14:ligatures w14:val="standardContextual"/>
              </w:rPr>
              <w:tab/>
            </w:r>
            <w:r w:rsidRPr="00E14024">
              <w:rPr>
                <w:rStyle w:val="Hiperpovezava"/>
              </w:rPr>
              <w:t>Področje kadrovskih zadev</w:t>
            </w:r>
            <w:r>
              <w:rPr>
                <w:webHidden/>
              </w:rPr>
              <w:tab/>
            </w:r>
            <w:r>
              <w:rPr>
                <w:webHidden/>
              </w:rPr>
              <w:fldChar w:fldCharType="begin"/>
            </w:r>
            <w:r>
              <w:rPr>
                <w:webHidden/>
              </w:rPr>
              <w:instrText xml:space="preserve"> PAGEREF _Toc223093738 \h </w:instrText>
            </w:r>
            <w:r>
              <w:rPr>
                <w:webHidden/>
              </w:rPr>
            </w:r>
            <w:r>
              <w:rPr>
                <w:webHidden/>
              </w:rPr>
              <w:fldChar w:fldCharType="separate"/>
            </w:r>
            <w:r w:rsidR="00A76D9F">
              <w:rPr>
                <w:webHidden/>
              </w:rPr>
              <w:t>53</w:t>
            </w:r>
            <w:r>
              <w:rPr>
                <w:webHidden/>
              </w:rPr>
              <w:fldChar w:fldCharType="end"/>
            </w:r>
          </w:hyperlink>
        </w:p>
        <w:p w14:paraId="0CFCFD75" w14:textId="70CA2986"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39" w:history="1">
            <w:r w:rsidRPr="00E14024">
              <w:rPr>
                <w:rStyle w:val="Hiperpovezava"/>
                <w:lang w:eastAsia="sl-SI"/>
              </w:rPr>
              <w:t>4.1.2.1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_Toc223093739 \h </w:instrText>
            </w:r>
            <w:r>
              <w:rPr>
                <w:webHidden/>
              </w:rPr>
            </w:r>
            <w:r>
              <w:rPr>
                <w:webHidden/>
              </w:rPr>
              <w:fldChar w:fldCharType="separate"/>
            </w:r>
            <w:r w:rsidR="00A76D9F">
              <w:rPr>
                <w:webHidden/>
              </w:rPr>
              <w:t>53</w:t>
            </w:r>
            <w:r>
              <w:rPr>
                <w:webHidden/>
              </w:rPr>
              <w:fldChar w:fldCharType="end"/>
            </w:r>
          </w:hyperlink>
        </w:p>
        <w:p w14:paraId="60942A39" w14:textId="44B72A05"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40" w:history="1">
            <w:r w:rsidRPr="00E14024">
              <w:rPr>
                <w:rStyle w:val="Hiperpovezava"/>
                <w:lang w:eastAsia="sl-SI"/>
              </w:rPr>
              <w:t>4.1.2.2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Struktura zaposlenih na Državnem odvetništvu RS</w:t>
            </w:r>
            <w:r>
              <w:rPr>
                <w:webHidden/>
              </w:rPr>
              <w:tab/>
            </w:r>
            <w:r>
              <w:rPr>
                <w:webHidden/>
              </w:rPr>
              <w:fldChar w:fldCharType="begin"/>
            </w:r>
            <w:r>
              <w:rPr>
                <w:webHidden/>
              </w:rPr>
              <w:instrText xml:space="preserve"> PAGEREF _Toc223093740 \h </w:instrText>
            </w:r>
            <w:r>
              <w:rPr>
                <w:webHidden/>
              </w:rPr>
            </w:r>
            <w:r>
              <w:rPr>
                <w:webHidden/>
              </w:rPr>
              <w:fldChar w:fldCharType="separate"/>
            </w:r>
            <w:r w:rsidR="00A76D9F">
              <w:rPr>
                <w:webHidden/>
              </w:rPr>
              <w:t>54</w:t>
            </w:r>
            <w:r>
              <w:rPr>
                <w:webHidden/>
              </w:rPr>
              <w:fldChar w:fldCharType="end"/>
            </w:r>
          </w:hyperlink>
        </w:p>
        <w:p w14:paraId="2F24B9CE" w14:textId="7A4D8EC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41" w:history="1">
            <w:r w:rsidRPr="00E14024">
              <w:rPr>
                <w:rStyle w:val="Hiperpovezava"/>
              </w:rPr>
              <w:t>4.1.2.3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Statistika objav prostih delovnih mest</w:t>
            </w:r>
            <w:r>
              <w:rPr>
                <w:webHidden/>
              </w:rPr>
              <w:tab/>
            </w:r>
            <w:r>
              <w:rPr>
                <w:webHidden/>
              </w:rPr>
              <w:fldChar w:fldCharType="begin"/>
            </w:r>
            <w:r>
              <w:rPr>
                <w:webHidden/>
              </w:rPr>
              <w:instrText xml:space="preserve"> PAGEREF _Toc223093741 \h </w:instrText>
            </w:r>
            <w:r>
              <w:rPr>
                <w:webHidden/>
              </w:rPr>
            </w:r>
            <w:r>
              <w:rPr>
                <w:webHidden/>
              </w:rPr>
              <w:fldChar w:fldCharType="separate"/>
            </w:r>
            <w:r w:rsidR="00A76D9F">
              <w:rPr>
                <w:webHidden/>
              </w:rPr>
              <w:t>56</w:t>
            </w:r>
            <w:r>
              <w:rPr>
                <w:webHidden/>
              </w:rPr>
              <w:fldChar w:fldCharType="end"/>
            </w:r>
          </w:hyperlink>
        </w:p>
        <w:p w14:paraId="2EF8D94C" w14:textId="22A2A65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42" w:history="1">
            <w:r w:rsidRPr="00E14024">
              <w:rPr>
                <w:rStyle w:val="Hiperpovezava"/>
                <w:lang w:eastAsia="sl-SI"/>
              </w:rPr>
              <w:t>4.1.2.4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Težave pri zaposlovanju novih kadrov na Državnem odvetništvu RS</w:t>
            </w:r>
            <w:r>
              <w:rPr>
                <w:webHidden/>
              </w:rPr>
              <w:tab/>
            </w:r>
            <w:r>
              <w:rPr>
                <w:webHidden/>
              </w:rPr>
              <w:fldChar w:fldCharType="begin"/>
            </w:r>
            <w:r>
              <w:rPr>
                <w:webHidden/>
              </w:rPr>
              <w:instrText xml:space="preserve"> PAGEREF _Toc223093742 \h </w:instrText>
            </w:r>
            <w:r>
              <w:rPr>
                <w:webHidden/>
              </w:rPr>
            </w:r>
            <w:r>
              <w:rPr>
                <w:webHidden/>
              </w:rPr>
              <w:fldChar w:fldCharType="separate"/>
            </w:r>
            <w:r w:rsidR="00A76D9F">
              <w:rPr>
                <w:webHidden/>
              </w:rPr>
              <w:t>59</w:t>
            </w:r>
            <w:r>
              <w:rPr>
                <w:webHidden/>
              </w:rPr>
              <w:fldChar w:fldCharType="end"/>
            </w:r>
          </w:hyperlink>
        </w:p>
        <w:p w14:paraId="1BB4FAB3" w14:textId="6F76262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43" w:history="1">
            <w:r w:rsidRPr="00E14024">
              <w:rPr>
                <w:rStyle w:val="Hiperpovezava"/>
                <w:lang w:eastAsia="sl-SI"/>
              </w:rPr>
              <w:t>4.1.2.5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Enotna obravnava kandidatov za državnega odvetnika in njihova karierna pot na Državnem odvetništvu RS</w:t>
            </w:r>
            <w:r>
              <w:rPr>
                <w:webHidden/>
              </w:rPr>
              <w:tab/>
            </w:r>
            <w:r>
              <w:rPr>
                <w:webHidden/>
              </w:rPr>
              <w:fldChar w:fldCharType="begin"/>
            </w:r>
            <w:r>
              <w:rPr>
                <w:webHidden/>
              </w:rPr>
              <w:instrText xml:space="preserve"> PAGEREF _Toc223093743 \h </w:instrText>
            </w:r>
            <w:r>
              <w:rPr>
                <w:webHidden/>
              </w:rPr>
            </w:r>
            <w:r>
              <w:rPr>
                <w:webHidden/>
              </w:rPr>
              <w:fldChar w:fldCharType="separate"/>
            </w:r>
            <w:r w:rsidR="00A76D9F">
              <w:rPr>
                <w:webHidden/>
              </w:rPr>
              <w:t>61</w:t>
            </w:r>
            <w:r>
              <w:rPr>
                <w:webHidden/>
              </w:rPr>
              <w:fldChar w:fldCharType="end"/>
            </w:r>
          </w:hyperlink>
        </w:p>
        <w:p w14:paraId="09026073" w14:textId="70BC7AC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44" w:history="1">
            <w:r w:rsidRPr="00E14024">
              <w:rPr>
                <w:rStyle w:val="Hiperpovezava"/>
              </w:rPr>
              <w:t>4.1.2.6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Položaj Državnega odvetništva RS v plačnem sistemu javnega sektorja</w:t>
            </w:r>
            <w:r>
              <w:rPr>
                <w:webHidden/>
              </w:rPr>
              <w:tab/>
            </w:r>
            <w:r>
              <w:rPr>
                <w:webHidden/>
              </w:rPr>
              <w:fldChar w:fldCharType="begin"/>
            </w:r>
            <w:r>
              <w:rPr>
                <w:webHidden/>
              </w:rPr>
              <w:instrText xml:space="preserve"> PAGEREF _Toc223093744 \h </w:instrText>
            </w:r>
            <w:r>
              <w:rPr>
                <w:webHidden/>
              </w:rPr>
            </w:r>
            <w:r>
              <w:rPr>
                <w:webHidden/>
              </w:rPr>
              <w:fldChar w:fldCharType="separate"/>
            </w:r>
            <w:r w:rsidR="00A76D9F">
              <w:rPr>
                <w:webHidden/>
              </w:rPr>
              <w:t>66</w:t>
            </w:r>
            <w:r>
              <w:rPr>
                <w:webHidden/>
              </w:rPr>
              <w:fldChar w:fldCharType="end"/>
            </w:r>
          </w:hyperlink>
        </w:p>
        <w:p w14:paraId="3B3AD0D4" w14:textId="2D683B7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45" w:history="1">
            <w:r w:rsidRPr="00E14024">
              <w:rPr>
                <w:rStyle w:val="Hiperpovezava"/>
                <w:iCs/>
              </w:rPr>
              <w:t>4.1.2.6.1</w:t>
            </w:r>
            <w:r>
              <w:rPr>
                <w:rFonts w:asciiTheme="minorHAnsi" w:eastAsiaTheme="minorEastAsia" w:hAnsiTheme="minorHAnsi" w:cstheme="minorBidi"/>
                <w:kern w:val="2"/>
                <w:sz w:val="24"/>
                <w:szCs w:val="24"/>
                <w:lang w:eastAsia="sl-SI"/>
                <w14:ligatures w14:val="standardContextual"/>
              </w:rPr>
              <w:tab/>
            </w:r>
            <w:r w:rsidRPr="00E14024">
              <w:rPr>
                <w:rStyle w:val="Hiperpovezava"/>
                <w:iCs/>
              </w:rPr>
              <w:t>Pogled v preteklost – e</w:t>
            </w:r>
            <w:r w:rsidRPr="00E14024">
              <w:rPr>
                <w:rStyle w:val="Hiperpovezava"/>
              </w:rPr>
              <w:t>notna načela glede urejanja plač znotraj pravosodnega sistema</w:t>
            </w:r>
            <w:r>
              <w:rPr>
                <w:webHidden/>
              </w:rPr>
              <w:tab/>
            </w:r>
            <w:r>
              <w:rPr>
                <w:webHidden/>
              </w:rPr>
              <w:fldChar w:fldCharType="begin"/>
            </w:r>
            <w:r>
              <w:rPr>
                <w:webHidden/>
              </w:rPr>
              <w:instrText xml:space="preserve"> PAGEREF _Toc223093745 \h </w:instrText>
            </w:r>
            <w:r>
              <w:rPr>
                <w:webHidden/>
              </w:rPr>
            </w:r>
            <w:r>
              <w:rPr>
                <w:webHidden/>
              </w:rPr>
              <w:fldChar w:fldCharType="separate"/>
            </w:r>
            <w:r w:rsidR="00A76D9F">
              <w:rPr>
                <w:webHidden/>
              </w:rPr>
              <w:t>66</w:t>
            </w:r>
            <w:r>
              <w:rPr>
                <w:webHidden/>
              </w:rPr>
              <w:fldChar w:fldCharType="end"/>
            </w:r>
          </w:hyperlink>
        </w:p>
        <w:p w14:paraId="5A6A1F91" w14:textId="38E4093E"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46" w:history="1">
            <w:r w:rsidRPr="00E14024">
              <w:rPr>
                <w:rStyle w:val="Hiperpovezava"/>
              </w:rPr>
              <w:t>4.1.2.6.2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Problematika dvotirnosti po uveljavitvi ZDOdv</w:t>
            </w:r>
            <w:r>
              <w:rPr>
                <w:webHidden/>
              </w:rPr>
              <w:tab/>
            </w:r>
            <w:r>
              <w:rPr>
                <w:webHidden/>
              </w:rPr>
              <w:fldChar w:fldCharType="begin"/>
            </w:r>
            <w:r>
              <w:rPr>
                <w:webHidden/>
              </w:rPr>
              <w:instrText xml:space="preserve"> PAGEREF _Toc223093746 \h </w:instrText>
            </w:r>
            <w:r>
              <w:rPr>
                <w:webHidden/>
              </w:rPr>
            </w:r>
            <w:r>
              <w:rPr>
                <w:webHidden/>
              </w:rPr>
              <w:fldChar w:fldCharType="separate"/>
            </w:r>
            <w:r w:rsidR="00A76D9F">
              <w:rPr>
                <w:webHidden/>
              </w:rPr>
              <w:t>67</w:t>
            </w:r>
            <w:r>
              <w:rPr>
                <w:webHidden/>
              </w:rPr>
              <w:fldChar w:fldCharType="end"/>
            </w:r>
          </w:hyperlink>
        </w:p>
        <w:p w14:paraId="3449F39D" w14:textId="758A64D8"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47" w:history="1">
            <w:r w:rsidRPr="00E14024">
              <w:rPr>
                <w:rStyle w:val="Hiperpovezava"/>
              </w:rPr>
              <w:t>4.1.2.6.3</w:t>
            </w:r>
            <w:r>
              <w:rPr>
                <w:rFonts w:asciiTheme="minorHAnsi" w:eastAsiaTheme="minorEastAsia" w:hAnsiTheme="minorHAnsi" w:cstheme="minorBidi"/>
                <w:kern w:val="2"/>
                <w:sz w:val="24"/>
                <w:szCs w:val="24"/>
                <w:lang w:eastAsia="sl-SI"/>
                <w14:ligatures w14:val="standardContextual"/>
              </w:rPr>
              <w:tab/>
            </w:r>
            <w:r w:rsidRPr="00E14024">
              <w:rPr>
                <w:rStyle w:val="Hiperpovezava"/>
              </w:rPr>
              <w:t>Umestitev Državnega odvetništva RS v plačno podskupino C1</w:t>
            </w:r>
            <w:r>
              <w:rPr>
                <w:webHidden/>
              </w:rPr>
              <w:tab/>
            </w:r>
            <w:r>
              <w:rPr>
                <w:webHidden/>
              </w:rPr>
              <w:fldChar w:fldCharType="begin"/>
            </w:r>
            <w:r>
              <w:rPr>
                <w:webHidden/>
              </w:rPr>
              <w:instrText xml:space="preserve"> PAGEREF _Toc223093747 \h </w:instrText>
            </w:r>
            <w:r>
              <w:rPr>
                <w:webHidden/>
              </w:rPr>
            </w:r>
            <w:r>
              <w:rPr>
                <w:webHidden/>
              </w:rPr>
              <w:fldChar w:fldCharType="separate"/>
            </w:r>
            <w:r w:rsidR="00A76D9F">
              <w:rPr>
                <w:webHidden/>
              </w:rPr>
              <w:t>68</w:t>
            </w:r>
            <w:r>
              <w:rPr>
                <w:webHidden/>
              </w:rPr>
              <w:fldChar w:fldCharType="end"/>
            </w:r>
          </w:hyperlink>
        </w:p>
        <w:p w14:paraId="1413A421" w14:textId="496852E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48" w:history="1">
            <w:r w:rsidRPr="00E14024">
              <w:rPr>
                <w:rStyle w:val="Hiperpovezava"/>
              </w:rPr>
              <w:t>4.1.2.6.4</w:t>
            </w:r>
            <w:r>
              <w:rPr>
                <w:rFonts w:asciiTheme="minorHAnsi" w:eastAsiaTheme="minorEastAsia" w:hAnsiTheme="minorHAnsi" w:cstheme="minorBidi"/>
                <w:kern w:val="2"/>
                <w:sz w:val="24"/>
                <w:szCs w:val="24"/>
                <w:lang w:eastAsia="sl-SI"/>
                <w14:ligatures w14:val="standardContextual"/>
              </w:rPr>
              <w:tab/>
            </w:r>
            <w:r w:rsidRPr="00E14024">
              <w:rPr>
                <w:rStyle w:val="Hiperpovezava"/>
              </w:rPr>
              <w:t>Kaj je Državnemu odvetništvu RS prinesla plačna reforma javnega sektorja?</w:t>
            </w:r>
            <w:r>
              <w:rPr>
                <w:webHidden/>
              </w:rPr>
              <w:tab/>
            </w:r>
            <w:r>
              <w:rPr>
                <w:webHidden/>
              </w:rPr>
              <w:fldChar w:fldCharType="begin"/>
            </w:r>
            <w:r>
              <w:rPr>
                <w:webHidden/>
              </w:rPr>
              <w:instrText xml:space="preserve"> PAGEREF _Toc223093748 \h </w:instrText>
            </w:r>
            <w:r>
              <w:rPr>
                <w:webHidden/>
              </w:rPr>
            </w:r>
            <w:r>
              <w:rPr>
                <w:webHidden/>
              </w:rPr>
              <w:fldChar w:fldCharType="separate"/>
            </w:r>
            <w:r w:rsidR="00A76D9F">
              <w:rPr>
                <w:webHidden/>
              </w:rPr>
              <w:t>68</w:t>
            </w:r>
            <w:r>
              <w:rPr>
                <w:webHidden/>
              </w:rPr>
              <w:fldChar w:fldCharType="end"/>
            </w:r>
          </w:hyperlink>
        </w:p>
        <w:p w14:paraId="508C5483" w14:textId="710834DE"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49" w:history="1">
            <w:r w:rsidRPr="00E14024">
              <w:rPr>
                <w:rStyle w:val="Hiperpovezava"/>
                <w:lang w:eastAsia="sl-SI"/>
              </w:rPr>
              <w:t>4.1.2.6.5</w:t>
            </w:r>
            <w:r>
              <w:rPr>
                <w:rStyle w:val="Hiperpovezava"/>
                <w:lang w:eastAsia="sl-SI"/>
              </w:rPr>
              <w:t xml:space="preserve"> </w:t>
            </w:r>
            <w:r>
              <w:rPr>
                <w:rStyle w:val="Hiperpovezava"/>
                <w:lang w:eastAsia="sl-SI"/>
              </w:rPr>
              <w:tab/>
            </w:r>
            <w:r w:rsidRPr="00E14024">
              <w:rPr>
                <w:rStyle w:val="Hiperpovezava"/>
                <w:lang w:eastAsia="sl-SI"/>
              </w:rPr>
              <w:t>Problematika prevedbe in uvrstitve višjih državnih odvetnikov – nekdanjih funkcionarjev</w:t>
            </w:r>
            <w:r>
              <w:rPr>
                <w:webHidden/>
              </w:rPr>
              <w:tab/>
              <w:t xml:space="preserve">………………………………………………………………………………………………………………………………..… </w:t>
            </w:r>
            <w:r>
              <w:rPr>
                <w:webHidden/>
              </w:rPr>
              <w:fldChar w:fldCharType="begin"/>
            </w:r>
            <w:r>
              <w:rPr>
                <w:webHidden/>
              </w:rPr>
              <w:instrText xml:space="preserve"> PAGEREF _Toc223093749 \h </w:instrText>
            </w:r>
            <w:r>
              <w:rPr>
                <w:webHidden/>
              </w:rPr>
            </w:r>
            <w:r>
              <w:rPr>
                <w:webHidden/>
              </w:rPr>
              <w:fldChar w:fldCharType="separate"/>
            </w:r>
            <w:r w:rsidR="00A76D9F">
              <w:rPr>
                <w:webHidden/>
              </w:rPr>
              <w:t>70</w:t>
            </w:r>
            <w:r>
              <w:rPr>
                <w:webHidden/>
              </w:rPr>
              <w:fldChar w:fldCharType="end"/>
            </w:r>
          </w:hyperlink>
        </w:p>
        <w:p w14:paraId="32930D38" w14:textId="715976D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50" w:history="1">
            <w:r w:rsidRPr="00E14024">
              <w:rPr>
                <w:rStyle w:val="Hiperpovezava"/>
              </w:rPr>
              <w:t>4.1.2.6.6</w:t>
            </w:r>
            <w:r>
              <w:rPr>
                <w:rFonts w:asciiTheme="minorHAnsi" w:eastAsiaTheme="minorEastAsia" w:hAnsiTheme="minorHAnsi" w:cstheme="minorBidi"/>
                <w:kern w:val="2"/>
                <w:sz w:val="24"/>
                <w:szCs w:val="24"/>
                <w:lang w:eastAsia="sl-SI"/>
                <w14:ligatures w14:val="standardContextual"/>
              </w:rPr>
              <w:tab/>
            </w:r>
            <w:r w:rsidRPr="00E14024">
              <w:rPr>
                <w:rStyle w:val="Hiperpovezava"/>
              </w:rPr>
              <w:t>Pogled v prihodnost – kaj lahko prinese odmik Državnega odvetništva RS od drugih pravosodnih organov?</w:t>
            </w:r>
            <w:r>
              <w:rPr>
                <w:webHidden/>
              </w:rPr>
              <w:tab/>
            </w:r>
            <w:r>
              <w:rPr>
                <w:webHidden/>
              </w:rPr>
              <w:fldChar w:fldCharType="begin"/>
            </w:r>
            <w:r>
              <w:rPr>
                <w:webHidden/>
              </w:rPr>
              <w:instrText xml:space="preserve"> PAGEREF _Toc223093750 \h </w:instrText>
            </w:r>
            <w:r>
              <w:rPr>
                <w:webHidden/>
              </w:rPr>
            </w:r>
            <w:r>
              <w:rPr>
                <w:webHidden/>
              </w:rPr>
              <w:fldChar w:fldCharType="separate"/>
            </w:r>
            <w:r w:rsidR="00A76D9F">
              <w:rPr>
                <w:webHidden/>
              </w:rPr>
              <w:t>72</w:t>
            </w:r>
            <w:r>
              <w:rPr>
                <w:webHidden/>
              </w:rPr>
              <w:fldChar w:fldCharType="end"/>
            </w:r>
          </w:hyperlink>
        </w:p>
        <w:p w14:paraId="4E6ED8D6" w14:textId="45BBCBD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1" w:history="1">
            <w:r w:rsidRPr="00E14024">
              <w:rPr>
                <w:rStyle w:val="Hiperpovezava"/>
                <w:lang w:eastAsia="sl-SI"/>
              </w:rPr>
              <w:t>4.1.2.7</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Delovna skupina za pripravo kriterijev obremenjenosti in za izdelavo ocene potrebne kadrovske strukture strokovnega kadra</w:t>
            </w:r>
            <w:r>
              <w:rPr>
                <w:webHidden/>
              </w:rPr>
              <w:tab/>
            </w:r>
            <w:r>
              <w:rPr>
                <w:webHidden/>
              </w:rPr>
              <w:fldChar w:fldCharType="begin"/>
            </w:r>
            <w:r>
              <w:rPr>
                <w:webHidden/>
              </w:rPr>
              <w:instrText xml:space="preserve"> PAGEREF _Toc223093751 \h </w:instrText>
            </w:r>
            <w:r>
              <w:rPr>
                <w:webHidden/>
              </w:rPr>
            </w:r>
            <w:r>
              <w:rPr>
                <w:webHidden/>
              </w:rPr>
              <w:fldChar w:fldCharType="separate"/>
            </w:r>
            <w:r w:rsidR="00A76D9F">
              <w:rPr>
                <w:webHidden/>
              </w:rPr>
              <w:t>73</w:t>
            </w:r>
            <w:r>
              <w:rPr>
                <w:webHidden/>
              </w:rPr>
              <w:fldChar w:fldCharType="end"/>
            </w:r>
          </w:hyperlink>
        </w:p>
        <w:p w14:paraId="0D816C20" w14:textId="6D015E9C"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52" w:history="1">
            <w:r w:rsidRPr="00E14024">
              <w:rPr>
                <w:rStyle w:val="Hiperpovezava"/>
              </w:rPr>
              <w:t>4.1.3</w:t>
            </w:r>
            <w:r>
              <w:rPr>
                <w:rFonts w:asciiTheme="minorHAnsi" w:eastAsiaTheme="minorEastAsia" w:hAnsiTheme="minorHAnsi" w:cstheme="minorBidi"/>
                <w:kern w:val="2"/>
                <w:sz w:val="24"/>
                <w:szCs w:val="24"/>
                <w:lang w:eastAsia="sl-SI"/>
                <w14:ligatures w14:val="standardContextual"/>
              </w:rPr>
              <w:tab/>
            </w:r>
            <w:r w:rsidRPr="00E14024">
              <w:rPr>
                <w:rStyle w:val="Hiperpovezava"/>
              </w:rPr>
              <w:t>Področje splošnih zadev</w:t>
            </w:r>
            <w:r>
              <w:rPr>
                <w:webHidden/>
              </w:rPr>
              <w:tab/>
            </w:r>
            <w:r>
              <w:rPr>
                <w:webHidden/>
              </w:rPr>
              <w:fldChar w:fldCharType="begin"/>
            </w:r>
            <w:r>
              <w:rPr>
                <w:webHidden/>
              </w:rPr>
              <w:instrText xml:space="preserve"> PAGEREF _Toc223093752 \h </w:instrText>
            </w:r>
            <w:r>
              <w:rPr>
                <w:webHidden/>
              </w:rPr>
            </w:r>
            <w:r>
              <w:rPr>
                <w:webHidden/>
              </w:rPr>
              <w:fldChar w:fldCharType="separate"/>
            </w:r>
            <w:r w:rsidR="00A76D9F">
              <w:rPr>
                <w:webHidden/>
              </w:rPr>
              <w:t>75</w:t>
            </w:r>
            <w:r>
              <w:rPr>
                <w:webHidden/>
              </w:rPr>
              <w:fldChar w:fldCharType="end"/>
            </w:r>
          </w:hyperlink>
        </w:p>
        <w:p w14:paraId="391DCE0F" w14:textId="14C297B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3" w:history="1">
            <w:r w:rsidRPr="00E14024">
              <w:rPr>
                <w:rStyle w:val="Hiperpovezava"/>
              </w:rPr>
              <w:t>4.1.3.1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_Toc223093753 \h </w:instrText>
            </w:r>
            <w:r>
              <w:rPr>
                <w:webHidden/>
              </w:rPr>
            </w:r>
            <w:r>
              <w:rPr>
                <w:webHidden/>
              </w:rPr>
              <w:fldChar w:fldCharType="separate"/>
            </w:r>
            <w:r w:rsidR="00A76D9F">
              <w:rPr>
                <w:webHidden/>
              </w:rPr>
              <w:t>75</w:t>
            </w:r>
            <w:r>
              <w:rPr>
                <w:webHidden/>
              </w:rPr>
              <w:fldChar w:fldCharType="end"/>
            </w:r>
          </w:hyperlink>
        </w:p>
        <w:p w14:paraId="4776E566" w14:textId="1300315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4" w:history="1">
            <w:r w:rsidRPr="00E14024">
              <w:rPr>
                <w:rStyle w:val="Hiperpovezava"/>
              </w:rPr>
              <w:t>4.1.3.2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Promocija zdravja na delovnem mestu</w:t>
            </w:r>
            <w:r>
              <w:rPr>
                <w:webHidden/>
              </w:rPr>
              <w:tab/>
            </w:r>
            <w:r>
              <w:rPr>
                <w:webHidden/>
              </w:rPr>
              <w:fldChar w:fldCharType="begin"/>
            </w:r>
            <w:r>
              <w:rPr>
                <w:webHidden/>
              </w:rPr>
              <w:instrText xml:space="preserve"> PAGEREF _Toc223093754 \h </w:instrText>
            </w:r>
            <w:r>
              <w:rPr>
                <w:webHidden/>
              </w:rPr>
            </w:r>
            <w:r>
              <w:rPr>
                <w:webHidden/>
              </w:rPr>
              <w:fldChar w:fldCharType="separate"/>
            </w:r>
            <w:r w:rsidR="00A76D9F">
              <w:rPr>
                <w:webHidden/>
              </w:rPr>
              <w:t>77</w:t>
            </w:r>
            <w:r>
              <w:rPr>
                <w:webHidden/>
              </w:rPr>
              <w:fldChar w:fldCharType="end"/>
            </w:r>
          </w:hyperlink>
        </w:p>
        <w:p w14:paraId="374B4CA0" w14:textId="75802D5A"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55" w:history="1">
            <w:r w:rsidRPr="00E14024">
              <w:rPr>
                <w:rStyle w:val="Hiperpovezava"/>
              </w:rPr>
              <w:t>4.1.4</w:t>
            </w:r>
            <w:r>
              <w:rPr>
                <w:rFonts w:asciiTheme="minorHAnsi" w:eastAsiaTheme="minorEastAsia" w:hAnsiTheme="minorHAnsi" w:cstheme="minorBidi"/>
                <w:kern w:val="2"/>
                <w:sz w:val="24"/>
                <w:szCs w:val="24"/>
                <w:lang w:eastAsia="sl-SI"/>
                <w14:ligatures w14:val="standardContextual"/>
              </w:rPr>
              <w:tab/>
            </w:r>
            <w:r w:rsidRPr="00E14024">
              <w:rPr>
                <w:rStyle w:val="Hiperpovezava"/>
              </w:rPr>
              <w:t>Področje informatike in informatizacije procesov</w:t>
            </w:r>
            <w:r>
              <w:rPr>
                <w:webHidden/>
              </w:rPr>
              <w:tab/>
            </w:r>
            <w:r>
              <w:rPr>
                <w:webHidden/>
              </w:rPr>
              <w:fldChar w:fldCharType="begin"/>
            </w:r>
            <w:r>
              <w:rPr>
                <w:webHidden/>
              </w:rPr>
              <w:instrText xml:space="preserve"> PAGEREF _Toc223093755 \h </w:instrText>
            </w:r>
            <w:r>
              <w:rPr>
                <w:webHidden/>
              </w:rPr>
            </w:r>
            <w:r>
              <w:rPr>
                <w:webHidden/>
              </w:rPr>
              <w:fldChar w:fldCharType="separate"/>
            </w:r>
            <w:r w:rsidR="00A76D9F">
              <w:rPr>
                <w:webHidden/>
              </w:rPr>
              <w:t>79</w:t>
            </w:r>
            <w:r>
              <w:rPr>
                <w:webHidden/>
              </w:rPr>
              <w:fldChar w:fldCharType="end"/>
            </w:r>
          </w:hyperlink>
        </w:p>
        <w:p w14:paraId="5EC77668" w14:textId="55AE65E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6" w:history="1">
            <w:r w:rsidRPr="00E14024">
              <w:rPr>
                <w:rStyle w:val="Hiperpovezava"/>
              </w:rPr>
              <w:t>4.1.4.1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_Toc223093756 \h </w:instrText>
            </w:r>
            <w:r>
              <w:rPr>
                <w:webHidden/>
              </w:rPr>
            </w:r>
            <w:r>
              <w:rPr>
                <w:webHidden/>
              </w:rPr>
              <w:fldChar w:fldCharType="separate"/>
            </w:r>
            <w:r w:rsidR="00A76D9F">
              <w:rPr>
                <w:webHidden/>
              </w:rPr>
              <w:t>79</w:t>
            </w:r>
            <w:r>
              <w:rPr>
                <w:webHidden/>
              </w:rPr>
              <w:fldChar w:fldCharType="end"/>
            </w:r>
          </w:hyperlink>
        </w:p>
        <w:p w14:paraId="25165D48" w14:textId="06A531B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7" w:history="1">
            <w:r w:rsidRPr="00E14024">
              <w:rPr>
                <w:rStyle w:val="Hiperpovezava"/>
              </w:rPr>
              <w:t>4.1.4.2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Izvedene konkretne aktivnosti Službe za informatiko in podporo uporabnikom v letu 2025</w:t>
            </w:r>
            <w:r>
              <w:rPr>
                <w:webHidden/>
              </w:rPr>
              <w:tab/>
            </w:r>
            <w:r>
              <w:rPr>
                <w:webHidden/>
              </w:rPr>
              <w:fldChar w:fldCharType="begin"/>
            </w:r>
            <w:r>
              <w:rPr>
                <w:webHidden/>
              </w:rPr>
              <w:instrText xml:space="preserve"> PAGEREF _Toc223093757 \h </w:instrText>
            </w:r>
            <w:r>
              <w:rPr>
                <w:webHidden/>
              </w:rPr>
            </w:r>
            <w:r>
              <w:rPr>
                <w:webHidden/>
              </w:rPr>
              <w:fldChar w:fldCharType="separate"/>
            </w:r>
            <w:r w:rsidR="00A76D9F">
              <w:rPr>
                <w:webHidden/>
              </w:rPr>
              <w:t>79</w:t>
            </w:r>
            <w:r>
              <w:rPr>
                <w:webHidden/>
              </w:rPr>
              <w:fldChar w:fldCharType="end"/>
            </w:r>
          </w:hyperlink>
        </w:p>
        <w:p w14:paraId="66056367" w14:textId="022EE69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8" w:history="1">
            <w:r w:rsidRPr="00E14024">
              <w:rPr>
                <w:rStyle w:val="Hiperpovezava"/>
              </w:rPr>
              <w:t>4.1.4.3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Informacijsko-dokumentni sistem Feniks</w:t>
            </w:r>
            <w:r>
              <w:rPr>
                <w:webHidden/>
              </w:rPr>
              <w:tab/>
            </w:r>
            <w:r>
              <w:rPr>
                <w:webHidden/>
              </w:rPr>
              <w:fldChar w:fldCharType="begin"/>
            </w:r>
            <w:r>
              <w:rPr>
                <w:webHidden/>
              </w:rPr>
              <w:instrText xml:space="preserve"> PAGEREF _Toc223093758 \h </w:instrText>
            </w:r>
            <w:r>
              <w:rPr>
                <w:webHidden/>
              </w:rPr>
            </w:r>
            <w:r>
              <w:rPr>
                <w:webHidden/>
              </w:rPr>
              <w:fldChar w:fldCharType="separate"/>
            </w:r>
            <w:r w:rsidR="00A76D9F">
              <w:rPr>
                <w:webHidden/>
              </w:rPr>
              <w:t>81</w:t>
            </w:r>
            <w:r>
              <w:rPr>
                <w:webHidden/>
              </w:rPr>
              <w:fldChar w:fldCharType="end"/>
            </w:r>
          </w:hyperlink>
        </w:p>
        <w:p w14:paraId="77C354DC" w14:textId="3B5A52F7"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59" w:history="1">
            <w:r w:rsidRPr="00E14024">
              <w:rPr>
                <w:rStyle w:val="Hiperpovezava"/>
              </w:rPr>
              <w:t>4.1.4.4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Strategija digitalne transformacije Državnega odvetništva RS</w:t>
            </w:r>
            <w:r>
              <w:rPr>
                <w:webHidden/>
              </w:rPr>
              <w:tab/>
            </w:r>
            <w:r>
              <w:rPr>
                <w:webHidden/>
              </w:rPr>
              <w:fldChar w:fldCharType="begin"/>
            </w:r>
            <w:r>
              <w:rPr>
                <w:webHidden/>
              </w:rPr>
              <w:instrText xml:space="preserve"> PAGEREF _Toc223093759 \h </w:instrText>
            </w:r>
            <w:r>
              <w:rPr>
                <w:webHidden/>
              </w:rPr>
            </w:r>
            <w:r>
              <w:rPr>
                <w:webHidden/>
              </w:rPr>
              <w:fldChar w:fldCharType="separate"/>
            </w:r>
            <w:r w:rsidR="00A76D9F">
              <w:rPr>
                <w:webHidden/>
              </w:rPr>
              <w:t>83</w:t>
            </w:r>
            <w:r>
              <w:rPr>
                <w:webHidden/>
              </w:rPr>
              <w:fldChar w:fldCharType="end"/>
            </w:r>
          </w:hyperlink>
        </w:p>
        <w:p w14:paraId="1B9B7216" w14:textId="572C789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0" w:history="1">
            <w:r w:rsidRPr="00E14024">
              <w:rPr>
                <w:rStyle w:val="Hiperpovezava"/>
              </w:rPr>
              <w:t>4.1.4.5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Uvajanje umetne inteligence v poslovne procese Državnega odvetništva RS</w:t>
            </w:r>
            <w:r>
              <w:rPr>
                <w:webHidden/>
              </w:rPr>
              <w:tab/>
            </w:r>
            <w:r>
              <w:rPr>
                <w:webHidden/>
              </w:rPr>
              <w:fldChar w:fldCharType="begin"/>
            </w:r>
            <w:r>
              <w:rPr>
                <w:webHidden/>
              </w:rPr>
              <w:instrText xml:space="preserve"> PAGEREF _Toc223093760 \h </w:instrText>
            </w:r>
            <w:r>
              <w:rPr>
                <w:webHidden/>
              </w:rPr>
            </w:r>
            <w:r>
              <w:rPr>
                <w:webHidden/>
              </w:rPr>
              <w:fldChar w:fldCharType="separate"/>
            </w:r>
            <w:r w:rsidR="00A76D9F">
              <w:rPr>
                <w:webHidden/>
              </w:rPr>
              <w:t>84</w:t>
            </w:r>
            <w:r>
              <w:rPr>
                <w:webHidden/>
              </w:rPr>
              <w:fldChar w:fldCharType="end"/>
            </w:r>
          </w:hyperlink>
        </w:p>
        <w:p w14:paraId="35747AB4" w14:textId="2850674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61" w:history="1">
            <w:r w:rsidRPr="00E14024">
              <w:rPr>
                <w:rStyle w:val="Hiperpovezava"/>
              </w:rPr>
              <w:t>4.1.5</w:t>
            </w:r>
            <w:r>
              <w:rPr>
                <w:rFonts w:asciiTheme="minorHAnsi" w:eastAsiaTheme="minorEastAsia" w:hAnsiTheme="minorHAnsi" w:cstheme="minorBidi"/>
                <w:kern w:val="2"/>
                <w:sz w:val="24"/>
                <w:szCs w:val="24"/>
                <w:lang w:eastAsia="sl-SI"/>
                <w14:ligatures w14:val="standardContextual"/>
              </w:rPr>
              <w:tab/>
            </w:r>
            <w:r w:rsidRPr="00E14024">
              <w:rPr>
                <w:rStyle w:val="Hiperpovezava"/>
              </w:rPr>
              <w:t>Področje organizacije dela in poslovnih procesov znotraj Državnega odvetništva RS</w:t>
            </w:r>
            <w:r>
              <w:rPr>
                <w:webHidden/>
              </w:rPr>
              <w:tab/>
            </w:r>
            <w:r>
              <w:rPr>
                <w:webHidden/>
              </w:rPr>
              <w:fldChar w:fldCharType="begin"/>
            </w:r>
            <w:r>
              <w:rPr>
                <w:webHidden/>
              </w:rPr>
              <w:instrText xml:space="preserve"> PAGEREF _Toc223093761 \h </w:instrText>
            </w:r>
            <w:r>
              <w:rPr>
                <w:webHidden/>
              </w:rPr>
            </w:r>
            <w:r>
              <w:rPr>
                <w:webHidden/>
              </w:rPr>
              <w:fldChar w:fldCharType="separate"/>
            </w:r>
            <w:r w:rsidR="00A76D9F">
              <w:rPr>
                <w:webHidden/>
              </w:rPr>
              <w:t>85</w:t>
            </w:r>
            <w:r>
              <w:rPr>
                <w:webHidden/>
              </w:rPr>
              <w:fldChar w:fldCharType="end"/>
            </w:r>
          </w:hyperlink>
        </w:p>
        <w:p w14:paraId="50941485" w14:textId="49D4F2A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2" w:history="1">
            <w:r w:rsidRPr="00E14024">
              <w:rPr>
                <w:rStyle w:val="Hiperpovezava"/>
                <w:lang w:eastAsia="sl-SI"/>
              </w:rPr>
              <w:t>4.1.5.1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Splošno</w:t>
            </w:r>
            <w:r>
              <w:rPr>
                <w:webHidden/>
              </w:rPr>
              <w:tab/>
            </w:r>
            <w:r>
              <w:rPr>
                <w:webHidden/>
              </w:rPr>
              <w:fldChar w:fldCharType="begin"/>
            </w:r>
            <w:r>
              <w:rPr>
                <w:webHidden/>
              </w:rPr>
              <w:instrText xml:space="preserve"> PAGEREF _Toc223093762 \h </w:instrText>
            </w:r>
            <w:r>
              <w:rPr>
                <w:webHidden/>
              </w:rPr>
            </w:r>
            <w:r>
              <w:rPr>
                <w:webHidden/>
              </w:rPr>
              <w:fldChar w:fldCharType="separate"/>
            </w:r>
            <w:r w:rsidR="00A76D9F">
              <w:rPr>
                <w:webHidden/>
              </w:rPr>
              <w:t>85</w:t>
            </w:r>
            <w:r>
              <w:rPr>
                <w:webHidden/>
              </w:rPr>
              <w:fldChar w:fldCharType="end"/>
            </w:r>
          </w:hyperlink>
        </w:p>
        <w:p w14:paraId="5BE416F2" w14:textId="31A87A6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3" w:history="1">
            <w:r w:rsidRPr="00E14024">
              <w:rPr>
                <w:rStyle w:val="Hiperpovezava"/>
              </w:rPr>
              <w:t>4.1.5.2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Cs/>
              </w:rPr>
              <w:t xml:space="preserve">Splošno navodilo </w:t>
            </w:r>
            <w:r w:rsidRPr="00E14024">
              <w:rPr>
                <w:rStyle w:val="Hiperpovezava"/>
              </w:rPr>
              <w:t>o dodeljevanju spisov s posameznega pravnega področja oziroma vrste zadev znotraj pravnega področja posameznemu profilu kadra, ki izvaja naloge Državnega odvetništva Republike Slovenije</w:t>
            </w:r>
            <w:r>
              <w:rPr>
                <w:webHidden/>
              </w:rPr>
              <w:tab/>
            </w:r>
            <w:r>
              <w:rPr>
                <w:webHidden/>
              </w:rPr>
              <w:fldChar w:fldCharType="begin"/>
            </w:r>
            <w:r>
              <w:rPr>
                <w:webHidden/>
              </w:rPr>
              <w:instrText xml:space="preserve"> PAGEREF _Toc223093763 \h </w:instrText>
            </w:r>
            <w:r>
              <w:rPr>
                <w:webHidden/>
              </w:rPr>
            </w:r>
            <w:r>
              <w:rPr>
                <w:webHidden/>
              </w:rPr>
              <w:fldChar w:fldCharType="separate"/>
            </w:r>
            <w:r w:rsidR="00A76D9F">
              <w:rPr>
                <w:webHidden/>
              </w:rPr>
              <w:t>86</w:t>
            </w:r>
            <w:r>
              <w:rPr>
                <w:webHidden/>
              </w:rPr>
              <w:fldChar w:fldCharType="end"/>
            </w:r>
          </w:hyperlink>
        </w:p>
        <w:p w14:paraId="58511994" w14:textId="6717B41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4" w:history="1">
            <w:r w:rsidRPr="00E14024">
              <w:rPr>
                <w:rStyle w:val="Hiperpovezava"/>
              </w:rPr>
              <w:t>4.1.5.3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Interni akti</w:t>
            </w:r>
            <w:r>
              <w:rPr>
                <w:webHidden/>
              </w:rPr>
              <w:tab/>
            </w:r>
            <w:r>
              <w:rPr>
                <w:webHidden/>
              </w:rPr>
              <w:fldChar w:fldCharType="begin"/>
            </w:r>
            <w:r>
              <w:rPr>
                <w:webHidden/>
              </w:rPr>
              <w:instrText xml:space="preserve"> PAGEREF _Toc223093764 \h </w:instrText>
            </w:r>
            <w:r>
              <w:rPr>
                <w:webHidden/>
              </w:rPr>
            </w:r>
            <w:r>
              <w:rPr>
                <w:webHidden/>
              </w:rPr>
              <w:fldChar w:fldCharType="separate"/>
            </w:r>
            <w:r w:rsidR="00A76D9F">
              <w:rPr>
                <w:webHidden/>
              </w:rPr>
              <w:t>87</w:t>
            </w:r>
            <w:r>
              <w:rPr>
                <w:webHidden/>
              </w:rPr>
              <w:fldChar w:fldCharType="end"/>
            </w:r>
          </w:hyperlink>
        </w:p>
        <w:p w14:paraId="3A4F3089" w14:textId="0988AF77"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5" w:history="1">
            <w:r w:rsidRPr="00E14024">
              <w:rPr>
                <w:rStyle w:val="Hiperpovezava"/>
                <w:lang w:eastAsia="sl-SI"/>
              </w:rPr>
              <w:t>4.1.5.4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IS Feniks in notranja pravila</w:t>
            </w:r>
            <w:r>
              <w:rPr>
                <w:webHidden/>
              </w:rPr>
              <w:tab/>
            </w:r>
            <w:r>
              <w:rPr>
                <w:webHidden/>
              </w:rPr>
              <w:fldChar w:fldCharType="begin"/>
            </w:r>
            <w:r>
              <w:rPr>
                <w:webHidden/>
              </w:rPr>
              <w:instrText xml:space="preserve"> PAGEREF _Toc223093765 \h </w:instrText>
            </w:r>
            <w:r>
              <w:rPr>
                <w:webHidden/>
              </w:rPr>
            </w:r>
            <w:r>
              <w:rPr>
                <w:webHidden/>
              </w:rPr>
              <w:fldChar w:fldCharType="separate"/>
            </w:r>
            <w:r w:rsidR="00A76D9F">
              <w:rPr>
                <w:webHidden/>
              </w:rPr>
              <w:t>87</w:t>
            </w:r>
            <w:r>
              <w:rPr>
                <w:webHidden/>
              </w:rPr>
              <w:fldChar w:fldCharType="end"/>
            </w:r>
          </w:hyperlink>
        </w:p>
        <w:p w14:paraId="0B05D595" w14:textId="73304938"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66" w:history="1">
            <w:r w:rsidRPr="00E14024">
              <w:rPr>
                <w:rStyle w:val="Hiperpovezava"/>
              </w:rPr>
              <w:t>4.1.6</w:t>
            </w:r>
            <w:r>
              <w:rPr>
                <w:rFonts w:asciiTheme="minorHAnsi" w:eastAsiaTheme="minorEastAsia" w:hAnsiTheme="minorHAnsi" w:cstheme="minorBidi"/>
                <w:kern w:val="2"/>
                <w:sz w:val="24"/>
                <w:szCs w:val="24"/>
                <w:lang w:eastAsia="sl-SI"/>
                <w14:ligatures w14:val="standardContextual"/>
              </w:rPr>
              <w:tab/>
            </w:r>
            <w:r w:rsidRPr="00E14024">
              <w:rPr>
                <w:rStyle w:val="Hiperpovezava"/>
              </w:rPr>
              <w:t>Projekt Državnega odvetništva RS</w:t>
            </w:r>
            <w:r>
              <w:rPr>
                <w:webHidden/>
              </w:rPr>
              <w:tab/>
            </w:r>
            <w:r>
              <w:rPr>
                <w:webHidden/>
              </w:rPr>
              <w:fldChar w:fldCharType="begin"/>
            </w:r>
            <w:r>
              <w:rPr>
                <w:webHidden/>
              </w:rPr>
              <w:instrText xml:space="preserve"> PAGEREF _Toc223093766 \h </w:instrText>
            </w:r>
            <w:r>
              <w:rPr>
                <w:webHidden/>
              </w:rPr>
            </w:r>
            <w:r>
              <w:rPr>
                <w:webHidden/>
              </w:rPr>
              <w:fldChar w:fldCharType="separate"/>
            </w:r>
            <w:r w:rsidR="00A76D9F">
              <w:rPr>
                <w:webHidden/>
              </w:rPr>
              <w:t>88</w:t>
            </w:r>
            <w:r>
              <w:rPr>
                <w:webHidden/>
              </w:rPr>
              <w:fldChar w:fldCharType="end"/>
            </w:r>
          </w:hyperlink>
        </w:p>
        <w:p w14:paraId="79DF787C" w14:textId="287CE06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7" w:history="1">
            <w:r w:rsidRPr="00E14024">
              <w:rPr>
                <w:rStyle w:val="Hiperpovezava"/>
              </w:rPr>
              <w:t>4.1.6.1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_Toc223093767 \h </w:instrText>
            </w:r>
            <w:r>
              <w:rPr>
                <w:webHidden/>
              </w:rPr>
            </w:r>
            <w:r>
              <w:rPr>
                <w:webHidden/>
              </w:rPr>
              <w:fldChar w:fldCharType="separate"/>
            </w:r>
            <w:r w:rsidR="00A76D9F">
              <w:rPr>
                <w:webHidden/>
              </w:rPr>
              <w:t>88</w:t>
            </w:r>
            <w:r>
              <w:rPr>
                <w:webHidden/>
              </w:rPr>
              <w:fldChar w:fldCharType="end"/>
            </w:r>
          </w:hyperlink>
        </w:p>
        <w:p w14:paraId="0D1E3891" w14:textId="5FB12BD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68" w:history="1">
            <w:r w:rsidRPr="00E14024">
              <w:rPr>
                <w:rStyle w:val="Hiperpovezava"/>
                <w:lang w:eastAsia="sl-SI"/>
              </w:rPr>
              <w:t>4.1.6.2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Projekt »Digitalizacija in povezljivost Državnega odvetništva RS«</w:t>
            </w:r>
            <w:r>
              <w:rPr>
                <w:webHidden/>
              </w:rPr>
              <w:tab/>
            </w:r>
            <w:r>
              <w:rPr>
                <w:webHidden/>
              </w:rPr>
              <w:fldChar w:fldCharType="begin"/>
            </w:r>
            <w:r>
              <w:rPr>
                <w:webHidden/>
              </w:rPr>
              <w:instrText xml:space="preserve"> PAGEREF _Toc223093768 \h </w:instrText>
            </w:r>
            <w:r>
              <w:rPr>
                <w:webHidden/>
              </w:rPr>
            </w:r>
            <w:r>
              <w:rPr>
                <w:webHidden/>
              </w:rPr>
              <w:fldChar w:fldCharType="separate"/>
            </w:r>
            <w:r w:rsidR="00A76D9F">
              <w:rPr>
                <w:webHidden/>
              </w:rPr>
              <w:t>88</w:t>
            </w:r>
            <w:r>
              <w:rPr>
                <w:webHidden/>
              </w:rPr>
              <w:fldChar w:fldCharType="end"/>
            </w:r>
          </w:hyperlink>
        </w:p>
        <w:p w14:paraId="5B6CCE8B" w14:textId="173636D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69" w:history="1">
            <w:r w:rsidRPr="00E14024">
              <w:rPr>
                <w:rStyle w:val="Hiperpovezava"/>
                <w:lang w:eastAsia="sl-SI"/>
              </w:rPr>
              <w:t>4.1.6.2.1</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Splošno</w:t>
            </w:r>
            <w:r>
              <w:rPr>
                <w:webHidden/>
              </w:rPr>
              <w:tab/>
            </w:r>
            <w:r>
              <w:rPr>
                <w:webHidden/>
              </w:rPr>
              <w:fldChar w:fldCharType="begin"/>
            </w:r>
            <w:r>
              <w:rPr>
                <w:webHidden/>
              </w:rPr>
              <w:instrText xml:space="preserve"> PAGEREF _Toc223093769 \h </w:instrText>
            </w:r>
            <w:r>
              <w:rPr>
                <w:webHidden/>
              </w:rPr>
            </w:r>
            <w:r>
              <w:rPr>
                <w:webHidden/>
              </w:rPr>
              <w:fldChar w:fldCharType="separate"/>
            </w:r>
            <w:r w:rsidR="00A76D9F">
              <w:rPr>
                <w:webHidden/>
              </w:rPr>
              <w:t>88</w:t>
            </w:r>
            <w:r>
              <w:rPr>
                <w:webHidden/>
              </w:rPr>
              <w:fldChar w:fldCharType="end"/>
            </w:r>
          </w:hyperlink>
        </w:p>
        <w:p w14:paraId="783C895A" w14:textId="4598C3E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70" w:history="1">
            <w:r w:rsidRPr="00E14024">
              <w:rPr>
                <w:rStyle w:val="Hiperpovezava"/>
                <w:lang w:eastAsia="sl-SI"/>
              </w:rPr>
              <w:t>4.1.6.2.2</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Cilj projekta</w:t>
            </w:r>
            <w:r>
              <w:rPr>
                <w:webHidden/>
              </w:rPr>
              <w:tab/>
            </w:r>
            <w:r>
              <w:rPr>
                <w:webHidden/>
              </w:rPr>
              <w:fldChar w:fldCharType="begin"/>
            </w:r>
            <w:r>
              <w:rPr>
                <w:webHidden/>
              </w:rPr>
              <w:instrText xml:space="preserve"> PAGEREF _Toc223093770 \h </w:instrText>
            </w:r>
            <w:r>
              <w:rPr>
                <w:webHidden/>
              </w:rPr>
            </w:r>
            <w:r>
              <w:rPr>
                <w:webHidden/>
              </w:rPr>
              <w:fldChar w:fldCharType="separate"/>
            </w:r>
            <w:r w:rsidR="00A76D9F">
              <w:rPr>
                <w:webHidden/>
              </w:rPr>
              <w:t>88</w:t>
            </w:r>
            <w:r>
              <w:rPr>
                <w:webHidden/>
              </w:rPr>
              <w:fldChar w:fldCharType="end"/>
            </w:r>
          </w:hyperlink>
        </w:p>
        <w:p w14:paraId="456E4040" w14:textId="51EE3FB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71" w:history="1">
            <w:r w:rsidRPr="00E14024">
              <w:rPr>
                <w:rStyle w:val="Hiperpovezava"/>
                <w:lang w:eastAsia="sl-SI"/>
              </w:rPr>
              <w:t>4.1.6.2.3</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Izvedene dejavnosti v letu 2025</w:t>
            </w:r>
            <w:r>
              <w:rPr>
                <w:webHidden/>
              </w:rPr>
              <w:tab/>
            </w:r>
            <w:r>
              <w:rPr>
                <w:webHidden/>
              </w:rPr>
              <w:fldChar w:fldCharType="begin"/>
            </w:r>
            <w:r>
              <w:rPr>
                <w:webHidden/>
              </w:rPr>
              <w:instrText xml:space="preserve"> PAGEREF _Toc223093771 \h </w:instrText>
            </w:r>
            <w:r>
              <w:rPr>
                <w:webHidden/>
              </w:rPr>
            </w:r>
            <w:r>
              <w:rPr>
                <w:webHidden/>
              </w:rPr>
              <w:fldChar w:fldCharType="separate"/>
            </w:r>
            <w:r w:rsidR="00A76D9F">
              <w:rPr>
                <w:webHidden/>
              </w:rPr>
              <w:t>89</w:t>
            </w:r>
            <w:r>
              <w:rPr>
                <w:webHidden/>
              </w:rPr>
              <w:fldChar w:fldCharType="end"/>
            </w:r>
          </w:hyperlink>
        </w:p>
        <w:p w14:paraId="31A3A926" w14:textId="497E14B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72" w:history="1">
            <w:r w:rsidRPr="00E14024">
              <w:rPr>
                <w:rStyle w:val="Hiperpovezava"/>
              </w:rPr>
              <w:t>4.1.6.2.4</w:t>
            </w:r>
            <w:r>
              <w:rPr>
                <w:rFonts w:asciiTheme="minorHAnsi" w:eastAsiaTheme="minorEastAsia" w:hAnsiTheme="minorHAnsi" w:cstheme="minorBidi"/>
                <w:kern w:val="2"/>
                <w:sz w:val="24"/>
                <w:szCs w:val="24"/>
                <w:lang w:eastAsia="sl-SI"/>
                <w14:ligatures w14:val="standardContextual"/>
              </w:rPr>
              <w:tab/>
            </w:r>
            <w:r w:rsidRPr="00E14024">
              <w:rPr>
                <w:rStyle w:val="Hiperpovezava"/>
              </w:rPr>
              <w:t>Rezultati in učinki projekta</w:t>
            </w:r>
            <w:r>
              <w:rPr>
                <w:webHidden/>
              </w:rPr>
              <w:tab/>
            </w:r>
            <w:r>
              <w:rPr>
                <w:webHidden/>
              </w:rPr>
              <w:fldChar w:fldCharType="begin"/>
            </w:r>
            <w:r>
              <w:rPr>
                <w:webHidden/>
              </w:rPr>
              <w:instrText xml:space="preserve"> PAGEREF _Toc223093772 \h </w:instrText>
            </w:r>
            <w:r>
              <w:rPr>
                <w:webHidden/>
              </w:rPr>
            </w:r>
            <w:r>
              <w:rPr>
                <w:webHidden/>
              </w:rPr>
              <w:fldChar w:fldCharType="separate"/>
            </w:r>
            <w:r w:rsidR="00A76D9F">
              <w:rPr>
                <w:webHidden/>
              </w:rPr>
              <w:t>89</w:t>
            </w:r>
            <w:r>
              <w:rPr>
                <w:webHidden/>
              </w:rPr>
              <w:fldChar w:fldCharType="end"/>
            </w:r>
          </w:hyperlink>
        </w:p>
        <w:p w14:paraId="6E9CDEBC" w14:textId="4CF6B24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73" w:history="1">
            <w:r w:rsidRPr="00E14024">
              <w:rPr>
                <w:rStyle w:val="Hiperpovezava"/>
              </w:rPr>
              <w:t>4.1.6.2.5</w:t>
            </w:r>
            <w:r>
              <w:rPr>
                <w:rFonts w:asciiTheme="minorHAnsi" w:eastAsiaTheme="minorEastAsia" w:hAnsiTheme="minorHAnsi" w:cstheme="minorBidi"/>
                <w:kern w:val="2"/>
                <w:sz w:val="24"/>
                <w:szCs w:val="24"/>
                <w:lang w:eastAsia="sl-SI"/>
                <w14:ligatures w14:val="standardContextual"/>
              </w:rPr>
              <w:tab/>
            </w:r>
            <w:r w:rsidRPr="00E14024">
              <w:rPr>
                <w:rStyle w:val="Hiperpovezava"/>
              </w:rPr>
              <w:t>Finančni pregled projekta</w:t>
            </w:r>
            <w:r>
              <w:rPr>
                <w:webHidden/>
              </w:rPr>
              <w:tab/>
            </w:r>
            <w:r>
              <w:rPr>
                <w:webHidden/>
              </w:rPr>
              <w:fldChar w:fldCharType="begin"/>
            </w:r>
            <w:r>
              <w:rPr>
                <w:webHidden/>
              </w:rPr>
              <w:instrText xml:space="preserve"> PAGEREF _Toc223093773 \h </w:instrText>
            </w:r>
            <w:r>
              <w:rPr>
                <w:webHidden/>
              </w:rPr>
            </w:r>
            <w:r>
              <w:rPr>
                <w:webHidden/>
              </w:rPr>
              <w:fldChar w:fldCharType="separate"/>
            </w:r>
            <w:r w:rsidR="00A76D9F">
              <w:rPr>
                <w:webHidden/>
              </w:rPr>
              <w:t>90</w:t>
            </w:r>
            <w:r>
              <w:rPr>
                <w:webHidden/>
              </w:rPr>
              <w:fldChar w:fldCharType="end"/>
            </w:r>
          </w:hyperlink>
        </w:p>
        <w:p w14:paraId="1319BA86" w14:textId="6A15CCF0"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74" w:history="1">
            <w:r w:rsidRPr="00E14024">
              <w:rPr>
                <w:rStyle w:val="Hiperpovezava"/>
                <w:noProof/>
              </w:rPr>
              <w:t>4.2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Problematika s področja proračunskega financiranja</w:t>
            </w:r>
            <w:r>
              <w:rPr>
                <w:noProof/>
                <w:webHidden/>
              </w:rPr>
              <w:tab/>
            </w:r>
            <w:r>
              <w:rPr>
                <w:noProof/>
                <w:webHidden/>
              </w:rPr>
              <w:fldChar w:fldCharType="begin"/>
            </w:r>
            <w:r>
              <w:rPr>
                <w:noProof/>
                <w:webHidden/>
              </w:rPr>
              <w:instrText xml:space="preserve"> PAGEREF _Toc223093774 \h </w:instrText>
            </w:r>
            <w:r>
              <w:rPr>
                <w:noProof/>
                <w:webHidden/>
              </w:rPr>
            </w:r>
            <w:r>
              <w:rPr>
                <w:noProof/>
                <w:webHidden/>
              </w:rPr>
              <w:fldChar w:fldCharType="separate"/>
            </w:r>
            <w:r w:rsidR="00A76D9F">
              <w:rPr>
                <w:noProof/>
                <w:webHidden/>
              </w:rPr>
              <w:t>90</w:t>
            </w:r>
            <w:r>
              <w:rPr>
                <w:noProof/>
                <w:webHidden/>
              </w:rPr>
              <w:fldChar w:fldCharType="end"/>
            </w:r>
          </w:hyperlink>
        </w:p>
        <w:p w14:paraId="5D1573A1" w14:textId="53FE7AE4"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75" w:history="1">
            <w:r w:rsidRPr="00E14024">
              <w:rPr>
                <w:rStyle w:val="Hiperpovezava"/>
              </w:rPr>
              <w:t>4.2.1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Proračun Državnega odvetništva RS</w:t>
            </w:r>
            <w:r>
              <w:rPr>
                <w:webHidden/>
              </w:rPr>
              <w:tab/>
            </w:r>
            <w:r>
              <w:rPr>
                <w:webHidden/>
              </w:rPr>
              <w:fldChar w:fldCharType="begin"/>
            </w:r>
            <w:r>
              <w:rPr>
                <w:webHidden/>
              </w:rPr>
              <w:instrText xml:space="preserve"> PAGEREF _Toc223093775 \h </w:instrText>
            </w:r>
            <w:r>
              <w:rPr>
                <w:webHidden/>
              </w:rPr>
            </w:r>
            <w:r>
              <w:rPr>
                <w:webHidden/>
              </w:rPr>
              <w:fldChar w:fldCharType="separate"/>
            </w:r>
            <w:r w:rsidR="00A76D9F">
              <w:rPr>
                <w:webHidden/>
              </w:rPr>
              <w:t>90</w:t>
            </w:r>
            <w:r>
              <w:rPr>
                <w:webHidden/>
              </w:rPr>
              <w:fldChar w:fldCharType="end"/>
            </w:r>
          </w:hyperlink>
        </w:p>
        <w:p w14:paraId="1B01D63C" w14:textId="515BF124"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76" w:history="1">
            <w:r w:rsidRPr="00E14024">
              <w:rPr>
                <w:rStyle w:val="Hiperpovezava"/>
              </w:rPr>
              <w:t>4.2.2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Stroški zastopanja, priznani Državnemu odvetništvu RS s pravnomočnimi sodnimi odločbami</w:t>
            </w:r>
            <w:r>
              <w:rPr>
                <w:webHidden/>
              </w:rPr>
              <w:tab/>
            </w:r>
            <w:r>
              <w:rPr>
                <w:webHidden/>
              </w:rPr>
              <w:fldChar w:fldCharType="begin"/>
            </w:r>
            <w:r>
              <w:rPr>
                <w:webHidden/>
              </w:rPr>
              <w:instrText xml:space="preserve"> PAGEREF _Toc223093776 \h </w:instrText>
            </w:r>
            <w:r>
              <w:rPr>
                <w:webHidden/>
              </w:rPr>
            </w:r>
            <w:r>
              <w:rPr>
                <w:webHidden/>
              </w:rPr>
              <w:fldChar w:fldCharType="separate"/>
            </w:r>
            <w:r w:rsidR="00A76D9F">
              <w:rPr>
                <w:webHidden/>
              </w:rPr>
              <w:t>92</w:t>
            </w:r>
            <w:r>
              <w:rPr>
                <w:webHidden/>
              </w:rPr>
              <w:fldChar w:fldCharType="end"/>
            </w:r>
          </w:hyperlink>
        </w:p>
        <w:p w14:paraId="3084811B" w14:textId="3A2CC4FF"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77" w:history="1">
            <w:r w:rsidRPr="00E14024">
              <w:rPr>
                <w:rStyle w:val="Hiperpovezava"/>
              </w:rPr>
              <w:t>4.2.3</w:t>
            </w:r>
            <w:r>
              <w:rPr>
                <w:rFonts w:asciiTheme="minorHAnsi" w:eastAsiaTheme="minorEastAsia" w:hAnsiTheme="minorHAnsi" w:cstheme="minorBidi"/>
                <w:kern w:val="2"/>
                <w:sz w:val="24"/>
                <w:szCs w:val="24"/>
                <w:lang w:eastAsia="sl-SI"/>
                <w14:ligatures w14:val="standardContextual"/>
              </w:rPr>
              <w:tab/>
            </w:r>
            <w:r w:rsidRPr="00E14024">
              <w:rPr>
                <w:rStyle w:val="Hiperpovezava"/>
              </w:rPr>
              <w:t>Notranja revizija</w:t>
            </w:r>
            <w:r>
              <w:rPr>
                <w:webHidden/>
              </w:rPr>
              <w:tab/>
            </w:r>
            <w:r>
              <w:rPr>
                <w:webHidden/>
              </w:rPr>
              <w:fldChar w:fldCharType="begin"/>
            </w:r>
            <w:r>
              <w:rPr>
                <w:webHidden/>
              </w:rPr>
              <w:instrText xml:space="preserve"> PAGEREF _Toc223093777 \h </w:instrText>
            </w:r>
            <w:r>
              <w:rPr>
                <w:webHidden/>
              </w:rPr>
            </w:r>
            <w:r>
              <w:rPr>
                <w:webHidden/>
              </w:rPr>
              <w:fldChar w:fldCharType="separate"/>
            </w:r>
            <w:r w:rsidR="00A76D9F">
              <w:rPr>
                <w:webHidden/>
              </w:rPr>
              <w:t>92</w:t>
            </w:r>
            <w:r>
              <w:rPr>
                <w:webHidden/>
              </w:rPr>
              <w:fldChar w:fldCharType="end"/>
            </w:r>
          </w:hyperlink>
        </w:p>
        <w:p w14:paraId="6659C352" w14:textId="0630B62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78" w:history="1">
            <w:r w:rsidRPr="00E14024">
              <w:rPr>
                <w:rStyle w:val="Hiperpovezava"/>
              </w:rPr>
              <w:t>4.2.4</w:t>
            </w:r>
            <w:r>
              <w:rPr>
                <w:rFonts w:asciiTheme="minorHAnsi" w:eastAsiaTheme="minorEastAsia" w:hAnsiTheme="minorHAnsi" w:cstheme="minorBidi"/>
                <w:kern w:val="2"/>
                <w:sz w:val="24"/>
                <w:szCs w:val="24"/>
                <w:lang w:eastAsia="sl-SI"/>
                <w14:ligatures w14:val="standardContextual"/>
              </w:rPr>
              <w:tab/>
            </w:r>
            <w:r w:rsidRPr="00E14024">
              <w:rPr>
                <w:rStyle w:val="Hiperpovezava"/>
              </w:rPr>
              <w:t>Seznanjanje Vlade Republike Slovenije s sodnimi postopki, ki utegnejo imeti posledice za javno-finančna sredstva</w:t>
            </w:r>
            <w:r>
              <w:rPr>
                <w:webHidden/>
              </w:rPr>
              <w:tab/>
            </w:r>
            <w:r>
              <w:rPr>
                <w:webHidden/>
              </w:rPr>
              <w:fldChar w:fldCharType="begin"/>
            </w:r>
            <w:r>
              <w:rPr>
                <w:webHidden/>
              </w:rPr>
              <w:instrText xml:space="preserve"> PAGEREF _Toc223093778 \h </w:instrText>
            </w:r>
            <w:r>
              <w:rPr>
                <w:webHidden/>
              </w:rPr>
            </w:r>
            <w:r>
              <w:rPr>
                <w:webHidden/>
              </w:rPr>
              <w:fldChar w:fldCharType="separate"/>
            </w:r>
            <w:r w:rsidR="00A76D9F">
              <w:rPr>
                <w:webHidden/>
              </w:rPr>
              <w:t>93</w:t>
            </w:r>
            <w:r>
              <w:rPr>
                <w:webHidden/>
              </w:rPr>
              <w:fldChar w:fldCharType="end"/>
            </w:r>
          </w:hyperlink>
        </w:p>
        <w:p w14:paraId="1CA70AD1" w14:textId="413A253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79" w:history="1">
            <w:r w:rsidRPr="00E14024">
              <w:rPr>
                <w:rStyle w:val="Hiperpovezava"/>
              </w:rPr>
              <w:t>4.2.5</w:t>
            </w:r>
            <w:r>
              <w:rPr>
                <w:rFonts w:asciiTheme="minorHAnsi" w:eastAsiaTheme="minorEastAsia" w:hAnsiTheme="minorHAnsi" w:cstheme="minorBidi"/>
                <w:kern w:val="2"/>
                <w:sz w:val="24"/>
                <w:szCs w:val="24"/>
                <w:lang w:eastAsia="sl-SI"/>
                <w14:ligatures w14:val="standardContextual"/>
              </w:rPr>
              <w:tab/>
            </w:r>
            <w:r w:rsidRPr="00E14024">
              <w:rPr>
                <w:rStyle w:val="Hiperpovezava"/>
              </w:rPr>
              <w:t>Odškodnine, naložene v breme Republike Slovenije v letu 2025</w:t>
            </w:r>
            <w:r>
              <w:rPr>
                <w:webHidden/>
              </w:rPr>
              <w:tab/>
            </w:r>
            <w:r>
              <w:rPr>
                <w:webHidden/>
              </w:rPr>
              <w:fldChar w:fldCharType="begin"/>
            </w:r>
            <w:r>
              <w:rPr>
                <w:webHidden/>
              </w:rPr>
              <w:instrText xml:space="preserve"> PAGEREF _Toc223093779 \h </w:instrText>
            </w:r>
            <w:r>
              <w:rPr>
                <w:webHidden/>
              </w:rPr>
            </w:r>
            <w:r>
              <w:rPr>
                <w:webHidden/>
              </w:rPr>
              <w:fldChar w:fldCharType="separate"/>
            </w:r>
            <w:r w:rsidR="00A76D9F">
              <w:rPr>
                <w:webHidden/>
              </w:rPr>
              <w:t>93</w:t>
            </w:r>
            <w:r>
              <w:rPr>
                <w:webHidden/>
              </w:rPr>
              <w:fldChar w:fldCharType="end"/>
            </w:r>
          </w:hyperlink>
        </w:p>
        <w:p w14:paraId="4F56A83A" w14:textId="491C7AD8"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780" w:history="1">
            <w:r w:rsidRPr="00E14024">
              <w:rPr>
                <w:rStyle w:val="Hiperpovezava"/>
                <w:noProof/>
              </w:rPr>
              <w:t>4.3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Problematika pri izvajanju zakonodaje</w:t>
            </w:r>
            <w:r>
              <w:rPr>
                <w:noProof/>
                <w:webHidden/>
              </w:rPr>
              <w:tab/>
            </w:r>
            <w:r>
              <w:rPr>
                <w:noProof/>
                <w:webHidden/>
              </w:rPr>
              <w:fldChar w:fldCharType="begin"/>
            </w:r>
            <w:r>
              <w:rPr>
                <w:noProof/>
                <w:webHidden/>
              </w:rPr>
              <w:instrText xml:space="preserve"> PAGEREF _Toc223093780 \h </w:instrText>
            </w:r>
            <w:r>
              <w:rPr>
                <w:noProof/>
                <w:webHidden/>
              </w:rPr>
            </w:r>
            <w:r>
              <w:rPr>
                <w:noProof/>
                <w:webHidden/>
              </w:rPr>
              <w:fldChar w:fldCharType="separate"/>
            </w:r>
            <w:r w:rsidR="00A76D9F">
              <w:rPr>
                <w:noProof/>
                <w:webHidden/>
              </w:rPr>
              <w:t>99</w:t>
            </w:r>
            <w:r>
              <w:rPr>
                <w:noProof/>
                <w:webHidden/>
              </w:rPr>
              <w:fldChar w:fldCharType="end"/>
            </w:r>
          </w:hyperlink>
        </w:p>
        <w:p w14:paraId="4A808AAB" w14:textId="24E4C32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81" w:history="1">
            <w:r w:rsidRPr="00E14024">
              <w:rPr>
                <w:rStyle w:val="Hiperpovezava"/>
              </w:rPr>
              <w:t>4.3.1</w:t>
            </w:r>
            <w:r>
              <w:rPr>
                <w:rFonts w:asciiTheme="minorHAnsi" w:eastAsiaTheme="minorEastAsia" w:hAnsiTheme="minorHAnsi" w:cstheme="minorBidi"/>
                <w:kern w:val="2"/>
                <w:sz w:val="24"/>
                <w:szCs w:val="24"/>
                <w:lang w:eastAsia="sl-SI"/>
                <w14:ligatures w14:val="standardContextual"/>
              </w:rPr>
              <w:tab/>
            </w:r>
            <w:r w:rsidRPr="00E14024">
              <w:rPr>
                <w:rStyle w:val="Hiperpovezava"/>
              </w:rPr>
              <w:t>Izvajanje nalog in pristojnosti Državnega odvetništva RS, določenih z Zakonom o državnem odvetništvu</w:t>
            </w:r>
            <w:r>
              <w:rPr>
                <w:webHidden/>
              </w:rPr>
              <w:tab/>
            </w:r>
            <w:r>
              <w:rPr>
                <w:webHidden/>
              </w:rPr>
              <w:fldChar w:fldCharType="begin"/>
            </w:r>
            <w:r>
              <w:rPr>
                <w:webHidden/>
              </w:rPr>
              <w:instrText xml:space="preserve"> PAGEREF _Toc223093781 \h </w:instrText>
            </w:r>
            <w:r>
              <w:rPr>
                <w:webHidden/>
              </w:rPr>
            </w:r>
            <w:r>
              <w:rPr>
                <w:webHidden/>
              </w:rPr>
              <w:fldChar w:fldCharType="separate"/>
            </w:r>
            <w:r w:rsidR="00A76D9F">
              <w:rPr>
                <w:webHidden/>
              </w:rPr>
              <w:t>99</w:t>
            </w:r>
            <w:r>
              <w:rPr>
                <w:webHidden/>
              </w:rPr>
              <w:fldChar w:fldCharType="end"/>
            </w:r>
          </w:hyperlink>
        </w:p>
        <w:p w14:paraId="4054948B" w14:textId="6D31327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82" w:history="1">
            <w:r w:rsidRPr="00E14024">
              <w:rPr>
                <w:rStyle w:val="Hiperpovezava"/>
              </w:rPr>
              <w:t>4.3.1.1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_Toc223093782 \h </w:instrText>
            </w:r>
            <w:r>
              <w:rPr>
                <w:webHidden/>
              </w:rPr>
            </w:r>
            <w:r>
              <w:rPr>
                <w:webHidden/>
              </w:rPr>
              <w:fldChar w:fldCharType="separate"/>
            </w:r>
            <w:r w:rsidR="00A76D9F">
              <w:rPr>
                <w:webHidden/>
              </w:rPr>
              <w:t>99</w:t>
            </w:r>
            <w:r>
              <w:rPr>
                <w:webHidden/>
              </w:rPr>
              <w:fldChar w:fldCharType="end"/>
            </w:r>
          </w:hyperlink>
        </w:p>
        <w:p w14:paraId="07D36AD9" w14:textId="0F8BA6F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83" w:history="1">
            <w:r w:rsidRPr="00E14024">
              <w:rPr>
                <w:rStyle w:val="Hiperpovezava"/>
              </w:rPr>
              <w:t>4.3.1.2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Sodelovanje z zastopanimi subjekti</w:t>
            </w:r>
            <w:r>
              <w:rPr>
                <w:webHidden/>
              </w:rPr>
              <w:tab/>
            </w:r>
            <w:r>
              <w:rPr>
                <w:webHidden/>
              </w:rPr>
              <w:fldChar w:fldCharType="begin"/>
            </w:r>
            <w:r>
              <w:rPr>
                <w:webHidden/>
              </w:rPr>
              <w:instrText xml:space="preserve"> PAGEREF _Toc223093783 \h </w:instrText>
            </w:r>
            <w:r>
              <w:rPr>
                <w:webHidden/>
              </w:rPr>
            </w:r>
            <w:r>
              <w:rPr>
                <w:webHidden/>
              </w:rPr>
              <w:fldChar w:fldCharType="separate"/>
            </w:r>
            <w:r w:rsidR="00A76D9F">
              <w:rPr>
                <w:webHidden/>
              </w:rPr>
              <w:t>100</w:t>
            </w:r>
            <w:r>
              <w:rPr>
                <w:webHidden/>
              </w:rPr>
              <w:fldChar w:fldCharType="end"/>
            </w:r>
          </w:hyperlink>
        </w:p>
        <w:p w14:paraId="54B6ABD8" w14:textId="1D13247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84" w:history="1">
            <w:r w:rsidRPr="00E14024">
              <w:rPr>
                <w:rStyle w:val="Hiperpovezava"/>
              </w:rPr>
              <w:t>4.3.1.3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Svetovalna vloga Državnega odvetništva RS</w:t>
            </w:r>
            <w:r>
              <w:rPr>
                <w:webHidden/>
              </w:rPr>
              <w:tab/>
            </w:r>
            <w:r>
              <w:rPr>
                <w:webHidden/>
              </w:rPr>
              <w:fldChar w:fldCharType="begin"/>
            </w:r>
            <w:r>
              <w:rPr>
                <w:webHidden/>
              </w:rPr>
              <w:instrText xml:space="preserve"> PAGEREF _Toc223093784 \h </w:instrText>
            </w:r>
            <w:r>
              <w:rPr>
                <w:webHidden/>
              </w:rPr>
            </w:r>
            <w:r>
              <w:rPr>
                <w:webHidden/>
              </w:rPr>
              <w:fldChar w:fldCharType="separate"/>
            </w:r>
            <w:r w:rsidR="00A76D9F">
              <w:rPr>
                <w:webHidden/>
              </w:rPr>
              <w:t>101</w:t>
            </w:r>
            <w:r>
              <w:rPr>
                <w:webHidden/>
              </w:rPr>
              <w:fldChar w:fldCharType="end"/>
            </w:r>
          </w:hyperlink>
        </w:p>
        <w:p w14:paraId="7EEB7354" w14:textId="5D7B371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85" w:history="1">
            <w:r w:rsidRPr="00E14024">
              <w:rPr>
                <w:rStyle w:val="Hiperpovezava"/>
              </w:rPr>
              <w:t>4.3.1.4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Oblike kolegijskega dela</w:t>
            </w:r>
            <w:r>
              <w:rPr>
                <w:webHidden/>
              </w:rPr>
              <w:tab/>
            </w:r>
            <w:r>
              <w:rPr>
                <w:webHidden/>
              </w:rPr>
              <w:fldChar w:fldCharType="begin"/>
            </w:r>
            <w:r>
              <w:rPr>
                <w:webHidden/>
              </w:rPr>
              <w:instrText xml:space="preserve"> PAGEREF _Toc223093785 \h </w:instrText>
            </w:r>
            <w:r>
              <w:rPr>
                <w:webHidden/>
              </w:rPr>
            </w:r>
            <w:r>
              <w:rPr>
                <w:webHidden/>
              </w:rPr>
              <w:fldChar w:fldCharType="separate"/>
            </w:r>
            <w:r w:rsidR="00A76D9F">
              <w:rPr>
                <w:webHidden/>
              </w:rPr>
              <w:t>102</w:t>
            </w:r>
            <w:r>
              <w:rPr>
                <w:webHidden/>
              </w:rPr>
              <w:fldChar w:fldCharType="end"/>
            </w:r>
          </w:hyperlink>
        </w:p>
        <w:p w14:paraId="29B45301" w14:textId="6339AEE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86" w:history="1">
            <w:r w:rsidRPr="00E14024">
              <w:rPr>
                <w:rStyle w:val="Hiperpovezava"/>
              </w:rPr>
              <w:t>4.3.1.4.1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_Toc223093786 \h </w:instrText>
            </w:r>
            <w:r>
              <w:rPr>
                <w:webHidden/>
              </w:rPr>
            </w:r>
            <w:r>
              <w:rPr>
                <w:webHidden/>
              </w:rPr>
              <w:fldChar w:fldCharType="separate"/>
            </w:r>
            <w:r w:rsidR="00A76D9F">
              <w:rPr>
                <w:webHidden/>
              </w:rPr>
              <w:t>102</w:t>
            </w:r>
            <w:r>
              <w:rPr>
                <w:webHidden/>
              </w:rPr>
              <w:fldChar w:fldCharType="end"/>
            </w:r>
          </w:hyperlink>
        </w:p>
        <w:p w14:paraId="05E12003" w14:textId="4D4F0AB0"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87" w:history="1">
            <w:r w:rsidRPr="00E14024">
              <w:rPr>
                <w:rStyle w:val="Hiperpovezava"/>
              </w:rPr>
              <w:t>4.3.1.4.2</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Delovne skupine</w:t>
            </w:r>
            <w:r>
              <w:rPr>
                <w:webHidden/>
              </w:rPr>
              <w:tab/>
            </w:r>
            <w:r>
              <w:rPr>
                <w:webHidden/>
              </w:rPr>
              <w:fldChar w:fldCharType="begin"/>
            </w:r>
            <w:r>
              <w:rPr>
                <w:webHidden/>
              </w:rPr>
              <w:instrText xml:space="preserve"> PAGEREF _Toc223093787 \h </w:instrText>
            </w:r>
            <w:r>
              <w:rPr>
                <w:webHidden/>
              </w:rPr>
            </w:r>
            <w:r>
              <w:rPr>
                <w:webHidden/>
              </w:rPr>
              <w:fldChar w:fldCharType="separate"/>
            </w:r>
            <w:r w:rsidR="00A76D9F">
              <w:rPr>
                <w:webHidden/>
              </w:rPr>
              <w:t>104</w:t>
            </w:r>
            <w:r>
              <w:rPr>
                <w:webHidden/>
              </w:rPr>
              <w:fldChar w:fldCharType="end"/>
            </w:r>
          </w:hyperlink>
        </w:p>
        <w:p w14:paraId="2895D3FB" w14:textId="4E2BD4A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88" w:history="1">
            <w:r w:rsidRPr="00E14024">
              <w:rPr>
                <w:rStyle w:val="Hiperpovezava"/>
              </w:rPr>
              <w:t>4.3.2</w:t>
            </w:r>
            <w:r>
              <w:rPr>
                <w:rFonts w:asciiTheme="minorHAnsi" w:eastAsiaTheme="minorEastAsia" w:hAnsiTheme="minorHAnsi" w:cstheme="minorBidi"/>
                <w:kern w:val="2"/>
                <w:sz w:val="24"/>
                <w:szCs w:val="24"/>
                <w:lang w:eastAsia="sl-SI"/>
                <w14:ligatures w14:val="standardContextual"/>
              </w:rPr>
              <w:tab/>
            </w:r>
            <w:r w:rsidRPr="00E14024">
              <w:rPr>
                <w:rStyle w:val="Hiperpovezava"/>
              </w:rPr>
              <w:t>Nove pristojnosti Državnega odvetništva RS</w:t>
            </w:r>
            <w:r>
              <w:rPr>
                <w:webHidden/>
              </w:rPr>
              <w:tab/>
            </w:r>
            <w:r>
              <w:rPr>
                <w:webHidden/>
              </w:rPr>
              <w:fldChar w:fldCharType="begin"/>
            </w:r>
            <w:r>
              <w:rPr>
                <w:webHidden/>
              </w:rPr>
              <w:instrText xml:space="preserve"> PAGEREF _Toc223093788 \h </w:instrText>
            </w:r>
            <w:r>
              <w:rPr>
                <w:webHidden/>
              </w:rPr>
            </w:r>
            <w:r>
              <w:rPr>
                <w:webHidden/>
              </w:rPr>
              <w:fldChar w:fldCharType="separate"/>
            </w:r>
            <w:r w:rsidR="00A76D9F">
              <w:rPr>
                <w:webHidden/>
              </w:rPr>
              <w:t>106</w:t>
            </w:r>
            <w:r>
              <w:rPr>
                <w:webHidden/>
              </w:rPr>
              <w:fldChar w:fldCharType="end"/>
            </w:r>
          </w:hyperlink>
        </w:p>
        <w:p w14:paraId="16F20333" w14:textId="75C9CBB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89" w:history="1">
            <w:r w:rsidRPr="00E14024">
              <w:rPr>
                <w:rStyle w:val="Hiperpovezava"/>
                <w:rFonts w:eastAsia="Calibri"/>
              </w:rPr>
              <w:t>4.3.2.1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Zakon o funkcionarjih</w:t>
            </w:r>
            <w:r>
              <w:rPr>
                <w:webHidden/>
              </w:rPr>
              <w:tab/>
            </w:r>
            <w:r>
              <w:rPr>
                <w:webHidden/>
              </w:rPr>
              <w:fldChar w:fldCharType="begin"/>
            </w:r>
            <w:r>
              <w:rPr>
                <w:webHidden/>
              </w:rPr>
              <w:instrText xml:space="preserve"> PAGEREF _Toc223093789 \h </w:instrText>
            </w:r>
            <w:r>
              <w:rPr>
                <w:webHidden/>
              </w:rPr>
            </w:r>
            <w:r>
              <w:rPr>
                <w:webHidden/>
              </w:rPr>
              <w:fldChar w:fldCharType="separate"/>
            </w:r>
            <w:r w:rsidR="00A76D9F">
              <w:rPr>
                <w:webHidden/>
              </w:rPr>
              <w:t>106</w:t>
            </w:r>
            <w:r>
              <w:rPr>
                <w:webHidden/>
              </w:rPr>
              <w:fldChar w:fldCharType="end"/>
            </w:r>
          </w:hyperlink>
        </w:p>
        <w:p w14:paraId="5D718C26" w14:textId="684F91A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0" w:history="1">
            <w:r w:rsidRPr="00E14024">
              <w:rPr>
                <w:rStyle w:val="Hiperpovezava"/>
                <w:rFonts w:eastAsia="Calibri"/>
              </w:rPr>
              <w:t>4.3.2.2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Zakon o referendumu in ljudski iniciativi</w:t>
            </w:r>
            <w:r>
              <w:rPr>
                <w:webHidden/>
              </w:rPr>
              <w:tab/>
            </w:r>
            <w:r>
              <w:rPr>
                <w:webHidden/>
              </w:rPr>
              <w:fldChar w:fldCharType="begin"/>
            </w:r>
            <w:r>
              <w:rPr>
                <w:webHidden/>
              </w:rPr>
              <w:instrText xml:space="preserve"> PAGEREF _Toc223093790 \h </w:instrText>
            </w:r>
            <w:r>
              <w:rPr>
                <w:webHidden/>
              </w:rPr>
            </w:r>
            <w:r>
              <w:rPr>
                <w:webHidden/>
              </w:rPr>
              <w:fldChar w:fldCharType="separate"/>
            </w:r>
            <w:r w:rsidR="00A76D9F">
              <w:rPr>
                <w:webHidden/>
              </w:rPr>
              <w:t>107</w:t>
            </w:r>
            <w:r>
              <w:rPr>
                <w:webHidden/>
              </w:rPr>
              <w:fldChar w:fldCharType="end"/>
            </w:r>
          </w:hyperlink>
        </w:p>
        <w:p w14:paraId="681A78BA" w14:textId="71AD151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791" w:history="1">
            <w:r w:rsidRPr="00E14024">
              <w:rPr>
                <w:rStyle w:val="Hiperpovezava"/>
              </w:rPr>
              <w:t>4.3.3</w:t>
            </w:r>
            <w:r>
              <w:rPr>
                <w:rFonts w:asciiTheme="minorHAnsi" w:eastAsiaTheme="minorEastAsia" w:hAnsiTheme="minorHAnsi" w:cstheme="minorBidi"/>
                <w:kern w:val="2"/>
                <w:sz w:val="24"/>
                <w:szCs w:val="24"/>
                <w:lang w:eastAsia="sl-SI"/>
                <w14:ligatures w14:val="standardContextual"/>
              </w:rPr>
              <w:tab/>
            </w:r>
            <w:r w:rsidRPr="00E14024">
              <w:rPr>
                <w:rStyle w:val="Hiperpovezava"/>
              </w:rPr>
              <w:t>Zakaj je potrebna reforma institucionalnega okvira delovanja Državnega odvetništva RS?</w:t>
            </w:r>
            <w:r>
              <w:rPr>
                <w:webHidden/>
              </w:rPr>
              <w:tab/>
            </w:r>
            <w:r>
              <w:rPr>
                <w:webHidden/>
              </w:rPr>
              <w:fldChar w:fldCharType="begin"/>
            </w:r>
            <w:r>
              <w:rPr>
                <w:webHidden/>
              </w:rPr>
              <w:instrText xml:space="preserve"> PAGEREF _Toc223093791 \h </w:instrText>
            </w:r>
            <w:r>
              <w:rPr>
                <w:webHidden/>
              </w:rPr>
            </w:r>
            <w:r>
              <w:rPr>
                <w:webHidden/>
              </w:rPr>
              <w:fldChar w:fldCharType="separate"/>
            </w:r>
            <w:r w:rsidR="00A76D9F">
              <w:rPr>
                <w:webHidden/>
              </w:rPr>
              <w:t>107</w:t>
            </w:r>
            <w:r>
              <w:rPr>
                <w:webHidden/>
              </w:rPr>
              <w:fldChar w:fldCharType="end"/>
            </w:r>
          </w:hyperlink>
        </w:p>
        <w:p w14:paraId="5A965920" w14:textId="72125E0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2" w:history="1">
            <w:r w:rsidRPr="00E14024">
              <w:rPr>
                <w:rStyle w:val="Hiperpovezava"/>
              </w:rPr>
              <w:t>4.3.3.1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Državno odvetništvo RS kot nosilec državnih funkcij</w:t>
            </w:r>
            <w:r>
              <w:rPr>
                <w:webHidden/>
              </w:rPr>
              <w:tab/>
            </w:r>
            <w:r>
              <w:rPr>
                <w:webHidden/>
              </w:rPr>
              <w:fldChar w:fldCharType="begin"/>
            </w:r>
            <w:r>
              <w:rPr>
                <w:webHidden/>
              </w:rPr>
              <w:instrText xml:space="preserve"> PAGEREF _Toc223093792 \h </w:instrText>
            </w:r>
            <w:r>
              <w:rPr>
                <w:webHidden/>
              </w:rPr>
            </w:r>
            <w:r>
              <w:rPr>
                <w:webHidden/>
              </w:rPr>
              <w:fldChar w:fldCharType="separate"/>
            </w:r>
            <w:r w:rsidR="00A76D9F">
              <w:rPr>
                <w:webHidden/>
              </w:rPr>
              <w:t>107</w:t>
            </w:r>
            <w:r>
              <w:rPr>
                <w:webHidden/>
              </w:rPr>
              <w:fldChar w:fldCharType="end"/>
            </w:r>
          </w:hyperlink>
        </w:p>
        <w:p w14:paraId="54E60D7F" w14:textId="33739AD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3" w:history="1">
            <w:r w:rsidRPr="00E14024">
              <w:rPr>
                <w:rStyle w:val="Hiperpovezava"/>
              </w:rPr>
              <w:t>4.3.3.2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Zakaj je po mnenju Državnega odvetništva RS trenutna ureditev statusa državnih odvetnikov lahko tudi ustavno sporna?</w:t>
            </w:r>
            <w:r>
              <w:rPr>
                <w:webHidden/>
              </w:rPr>
              <w:tab/>
            </w:r>
            <w:r>
              <w:rPr>
                <w:webHidden/>
              </w:rPr>
              <w:fldChar w:fldCharType="begin"/>
            </w:r>
            <w:r>
              <w:rPr>
                <w:webHidden/>
              </w:rPr>
              <w:instrText xml:space="preserve"> PAGEREF _Toc223093793 \h </w:instrText>
            </w:r>
            <w:r>
              <w:rPr>
                <w:webHidden/>
              </w:rPr>
            </w:r>
            <w:r>
              <w:rPr>
                <w:webHidden/>
              </w:rPr>
              <w:fldChar w:fldCharType="separate"/>
            </w:r>
            <w:r w:rsidR="00A76D9F">
              <w:rPr>
                <w:webHidden/>
              </w:rPr>
              <w:t>110</w:t>
            </w:r>
            <w:r>
              <w:rPr>
                <w:webHidden/>
              </w:rPr>
              <w:fldChar w:fldCharType="end"/>
            </w:r>
          </w:hyperlink>
        </w:p>
        <w:p w14:paraId="18A0980E" w14:textId="27C9968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4" w:history="1">
            <w:r w:rsidRPr="00E14024">
              <w:rPr>
                <w:rStyle w:val="Hiperpovezava"/>
              </w:rPr>
              <w:t>4.3.3.3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 xml:space="preserve">Podpora strokovne javnosti prizadevanjem Državnega odvetništva RS za </w:t>
            </w:r>
            <w:r w:rsidRPr="00E14024">
              <w:rPr>
                <w:rStyle w:val="Hiperpovezava"/>
                <w:rFonts w:eastAsia="Calibri"/>
              </w:rPr>
              <w:t>okrepitev samostojnosti in avtonomnosti njegovega delovanja ter ureditev statusa državnih odvetnikov</w:t>
            </w:r>
            <w:r>
              <w:rPr>
                <w:webHidden/>
              </w:rPr>
              <w:tab/>
            </w:r>
            <w:r>
              <w:rPr>
                <w:webHidden/>
              </w:rPr>
              <w:fldChar w:fldCharType="begin"/>
            </w:r>
            <w:r>
              <w:rPr>
                <w:webHidden/>
              </w:rPr>
              <w:instrText xml:space="preserve"> PAGEREF _Toc223093794 \h </w:instrText>
            </w:r>
            <w:r>
              <w:rPr>
                <w:webHidden/>
              </w:rPr>
            </w:r>
            <w:r>
              <w:rPr>
                <w:webHidden/>
              </w:rPr>
              <w:fldChar w:fldCharType="separate"/>
            </w:r>
            <w:r w:rsidR="00A76D9F">
              <w:rPr>
                <w:webHidden/>
              </w:rPr>
              <w:t>113</w:t>
            </w:r>
            <w:r>
              <w:rPr>
                <w:webHidden/>
              </w:rPr>
              <w:fldChar w:fldCharType="end"/>
            </w:r>
          </w:hyperlink>
        </w:p>
        <w:p w14:paraId="63F61F89" w14:textId="5C51E13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5" w:history="1">
            <w:r w:rsidRPr="00E14024">
              <w:rPr>
                <w:rStyle w:val="Hiperpovezava"/>
              </w:rPr>
              <w:t>4.3.3.4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Spremembe Zakona o državnem odvetništvu</w:t>
            </w:r>
            <w:r>
              <w:rPr>
                <w:webHidden/>
              </w:rPr>
              <w:tab/>
            </w:r>
            <w:r>
              <w:rPr>
                <w:webHidden/>
              </w:rPr>
              <w:fldChar w:fldCharType="begin"/>
            </w:r>
            <w:r>
              <w:rPr>
                <w:webHidden/>
              </w:rPr>
              <w:instrText xml:space="preserve"> PAGEREF _Toc223093795 \h </w:instrText>
            </w:r>
            <w:r>
              <w:rPr>
                <w:webHidden/>
              </w:rPr>
            </w:r>
            <w:r>
              <w:rPr>
                <w:webHidden/>
              </w:rPr>
              <w:fldChar w:fldCharType="separate"/>
            </w:r>
            <w:r w:rsidR="00A76D9F">
              <w:rPr>
                <w:webHidden/>
              </w:rPr>
              <w:t>115</w:t>
            </w:r>
            <w:r>
              <w:rPr>
                <w:webHidden/>
              </w:rPr>
              <w:fldChar w:fldCharType="end"/>
            </w:r>
          </w:hyperlink>
        </w:p>
        <w:p w14:paraId="7424AB6D" w14:textId="4DFA308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96" w:history="1">
            <w:r w:rsidRPr="00E14024">
              <w:rPr>
                <w:rStyle w:val="Hiperpovezava"/>
              </w:rPr>
              <w:t>4.3.3.4.1</w:t>
            </w:r>
            <w:r>
              <w:rPr>
                <w:rFonts w:asciiTheme="minorHAnsi" w:eastAsiaTheme="minorEastAsia" w:hAnsiTheme="minorHAnsi" w:cstheme="minorBidi"/>
                <w:kern w:val="2"/>
                <w:sz w:val="24"/>
                <w:szCs w:val="24"/>
                <w:lang w:eastAsia="sl-SI"/>
                <w14:ligatures w14:val="standardContextual"/>
              </w:rPr>
              <w:tab/>
            </w:r>
            <w:r w:rsidRPr="00E14024">
              <w:rPr>
                <w:rStyle w:val="Hiperpovezava"/>
              </w:rPr>
              <w:t>Razlogi sprememb</w:t>
            </w:r>
            <w:r>
              <w:rPr>
                <w:webHidden/>
              </w:rPr>
              <w:tab/>
            </w:r>
            <w:r>
              <w:rPr>
                <w:webHidden/>
              </w:rPr>
              <w:fldChar w:fldCharType="begin"/>
            </w:r>
            <w:r>
              <w:rPr>
                <w:webHidden/>
              </w:rPr>
              <w:instrText xml:space="preserve"> PAGEREF _Toc223093796 \h </w:instrText>
            </w:r>
            <w:r>
              <w:rPr>
                <w:webHidden/>
              </w:rPr>
            </w:r>
            <w:r>
              <w:rPr>
                <w:webHidden/>
              </w:rPr>
              <w:fldChar w:fldCharType="separate"/>
            </w:r>
            <w:r w:rsidR="00A76D9F">
              <w:rPr>
                <w:webHidden/>
              </w:rPr>
              <w:t>115</w:t>
            </w:r>
            <w:r>
              <w:rPr>
                <w:webHidden/>
              </w:rPr>
              <w:fldChar w:fldCharType="end"/>
            </w:r>
          </w:hyperlink>
        </w:p>
        <w:p w14:paraId="3DD15A93" w14:textId="3063907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797" w:history="1">
            <w:r w:rsidRPr="00E14024">
              <w:rPr>
                <w:rStyle w:val="Hiperpovezava"/>
              </w:rPr>
              <w:t>4.3.3.4.2</w:t>
            </w:r>
            <w:r>
              <w:rPr>
                <w:rFonts w:asciiTheme="minorHAnsi" w:eastAsiaTheme="minorEastAsia" w:hAnsiTheme="minorHAnsi" w:cstheme="minorBidi"/>
                <w:kern w:val="2"/>
                <w:sz w:val="24"/>
                <w:szCs w:val="24"/>
                <w:lang w:eastAsia="sl-SI"/>
                <w14:ligatures w14:val="standardContextual"/>
              </w:rPr>
              <w:tab/>
            </w:r>
            <w:r w:rsidRPr="00E14024">
              <w:rPr>
                <w:rStyle w:val="Hiperpovezava"/>
              </w:rPr>
              <w:t>Cilji sprememb</w:t>
            </w:r>
            <w:r>
              <w:rPr>
                <w:webHidden/>
              </w:rPr>
              <w:tab/>
            </w:r>
            <w:r>
              <w:rPr>
                <w:webHidden/>
              </w:rPr>
              <w:fldChar w:fldCharType="begin"/>
            </w:r>
            <w:r>
              <w:rPr>
                <w:webHidden/>
              </w:rPr>
              <w:instrText xml:space="preserve"> PAGEREF _Toc223093797 \h </w:instrText>
            </w:r>
            <w:r>
              <w:rPr>
                <w:webHidden/>
              </w:rPr>
            </w:r>
            <w:r>
              <w:rPr>
                <w:webHidden/>
              </w:rPr>
              <w:fldChar w:fldCharType="separate"/>
            </w:r>
            <w:r w:rsidR="00A76D9F">
              <w:rPr>
                <w:webHidden/>
              </w:rPr>
              <w:t>116</w:t>
            </w:r>
            <w:r>
              <w:rPr>
                <w:webHidden/>
              </w:rPr>
              <w:fldChar w:fldCharType="end"/>
            </w:r>
          </w:hyperlink>
        </w:p>
        <w:p w14:paraId="238C9B7C" w14:textId="64124F55"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8" w:history="1">
            <w:r w:rsidRPr="00E14024">
              <w:rPr>
                <w:rStyle w:val="Hiperpovezava"/>
                <w:rFonts w:eastAsia="Calibri"/>
              </w:rPr>
              <w:t>4.3.3.5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Pregled aktivnosti Državnega odvetništva RS v okviru prizadevanj za spremembo Zakona o državnem odvetništvu</w:t>
            </w:r>
            <w:r>
              <w:rPr>
                <w:webHidden/>
              </w:rPr>
              <w:tab/>
            </w:r>
            <w:r>
              <w:rPr>
                <w:webHidden/>
              </w:rPr>
              <w:fldChar w:fldCharType="begin"/>
            </w:r>
            <w:r>
              <w:rPr>
                <w:webHidden/>
              </w:rPr>
              <w:instrText xml:space="preserve"> PAGEREF _Toc223093798 \h </w:instrText>
            </w:r>
            <w:r>
              <w:rPr>
                <w:webHidden/>
              </w:rPr>
            </w:r>
            <w:r>
              <w:rPr>
                <w:webHidden/>
              </w:rPr>
              <w:fldChar w:fldCharType="separate"/>
            </w:r>
            <w:r w:rsidR="00A76D9F">
              <w:rPr>
                <w:webHidden/>
              </w:rPr>
              <w:t>117</w:t>
            </w:r>
            <w:r>
              <w:rPr>
                <w:webHidden/>
              </w:rPr>
              <w:fldChar w:fldCharType="end"/>
            </w:r>
          </w:hyperlink>
        </w:p>
        <w:p w14:paraId="6435B4F8" w14:textId="4B19BF1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799" w:history="1">
            <w:r w:rsidRPr="00E14024">
              <w:rPr>
                <w:rStyle w:val="Hiperpovezava"/>
              </w:rPr>
              <w:t>4.3.3.6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Sklepna misel glede potrebe po spremembi ZDOdv</w:t>
            </w:r>
            <w:r>
              <w:rPr>
                <w:webHidden/>
              </w:rPr>
              <w:tab/>
            </w:r>
            <w:r>
              <w:rPr>
                <w:webHidden/>
              </w:rPr>
              <w:fldChar w:fldCharType="begin"/>
            </w:r>
            <w:r>
              <w:rPr>
                <w:webHidden/>
              </w:rPr>
              <w:instrText xml:space="preserve"> PAGEREF _Toc223093799 \h </w:instrText>
            </w:r>
            <w:r>
              <w:rPr>
                <w:webHidden/>
              </w:rPr>
            </w:r>
            <w:r>
              <w:rPr>
                <w:webHidden/>
              </w:rPr>
              <w:fldChar w:fldCharType="separate"/>
            </w:r>
            <w:r w:rsidR="00A76D9F">
              <w:rPr>
                <w:webHidden/>
              </w:rPr>
              <w:t>120</w:t>
            </w:r>
            <w:r>
              <w:rPr>
                <w:webHidden/>
              </w:rPr>
              <w:fldChar w:fldCharType="end"/>
            </w:r>
          </w:hyperlink>
        </w:p>
        <w:p w14:paraId="7B6C6E86" w14:textId="5F972EB3"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800" w:history="1">
            <w:r w:rsidRPr="00E14024">
              <w:rPr>
                <w:rStyle w:val="Hiperpovezava"/>
                <w:noProof/>
              </w:rPr>
              <w:t>4.4</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Delo pri strokovnem nadzoru in ugotovitve ter sistemski in organizacijski ukrepi za odpravo ugotovljenih nepravilnosti</w:t>
            </w:r>
            <w:r>
              <w:rPr>
                <w:noProof/>
                <w:webHidden/>
              </w:rPr>
              <w:tab/>
            </w:r>
            <w:r>
              <w:rPr>
                <w:noProof/>
                <w:webHidden/>
              </w:rPr>
              <w:fldChar w:fldCharType="begin"/>
            </w:r>
            <w:r>
              <w:rPr>
                <w:noProof/>
                <w:webHidden/>
              </w:rPr>
              <w:instrText xml:space="preserve"> PAGEREF _Toc223093800 \h </w:instrText>
            </w:r>
            <w:r>
              <w:rPr>
                <w:noProof/>
                <w:webHidden/>
              </w:rPr>
            </w:r>
            <w:r>
              <w:rPr>
                <w:noProof/>
                <w:webHidden/>
              </w:rPr>
              <w:fldChar w:fldCharType="separate"/>
            </w:r>
            <w:r w:rsidR="00A76D9F">
              <w:rPr>
                <w:noProof/>
                <w:webHidden/>
              </w:rPr>
              <w:t>120</w:t>
            </w:r>
            <w:r>
              <w:rPr>
                <w:noProof/>
                <w:webHidden/>
              </w:rPr>
              <w:fldChar w:fldCharType="end"/>
            </w:r>
          </w:hyperlink>
        </w:p>
        <w:p w14:paraId="09D9021E" w14:textId="5BCB0DA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01" w:history="1">
            <w:r w:rsidRPr="00E14024">
              <w:rPr>
                <w:rStyle w:val="Hiperpovezava"/>
              </w:rPr>
              <w:t>4.4.1</w:t>
            </w:r>
            <w:r>
              <w:rPr>
                <w:rFonts w:asciiTheme="minorHAnsi" w:eastAsiaTheme="minorEastAsia" w:hAnsiTheme="minorHAnsi" w:cstheme="minorBidi"/>
                <w:kern w:val="2"/>
                <w:sz w:val="24"/>
                <w:szCs w:val="24"/>
                <w:lang w:eastAsia="sl-SI"/>
                <w14:ligatures w14:val="standardContextual"/>
              </w:rPr>
              <w:tab/>
            </w:r>
            <w:r w:rsidRPr="00E14024">
              <w:rPr>
                <w:rStyle w:val="Hiperpovezava"/>
              </w:rPr>
              <w:t>Ureditev nadzora nad delom Državnega odvetništva RS</w:t>
            </w:r>
            <w:r>
              <w:rPr>
                <w:webHidden/>
              </w:rPr>
              <w:tab/>
            </w:r>
            <w:r>
              <w:rPr>
                <w:webHidden/>
              </w:rPr>
              <w:fldChar w:fldCharType="begin"/>
            </w:r>
            <w:r>
              <w:rPr>
                <w:webHidden/>
              </w:rPr>
              <w:instrText xml:space="preserve"> PAGEREF _Toc223093801 \h </w:instrText>
            </w:r>
            <w:r>
              <w:rPr>
                <w:webHidden/>
              </w:rPr>
            </w:r>
            <w:r>
              <w:rPr>
                <w:webHidden/>
              </w:rPr>
              <w:fldChar w:fldCharType="separate"/>
            </w:r>
            <w:r w:rsidR="00A76D9F">
              <w:rPr>
                <w:webHidden/>
              </w:rPr>
              <w:t>120</w:t>
            </w:r>
            <w:r>
              <w:rPr>
                <w:webHidden/>
              </w:rPr>
              <w:fldChar w:fldCharType="end"/>
            </w:r>
          </w:hyperlink>
        </w:p>
        <w:p w14:paraId="6533010D" w14:textId="51CD904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02" w:history="1">
            <w:r w:rsidRPr="00E14024">
              <w:rPr>
                <w:rStyle w:val="Hiperpovezava"/>
              </w:rPr>
              <w:t>4.4.2</w:t>
            </w:r>
            <w:r>
              <w:rPr>
                <w:rFonts w:asciiTheme="minorHAnsi" w:eastAsiaTheme="minorEastAsia" w:hAnsiTheme="minorHAnsi" w:cstheme="minorBidi"/>
                <w:kern w:val="2"/>
                <w:sz w:val="24"/>
                <w:szCs w:val="24"/>
                <w:lang w:eastAsia="sl-SI"/>
                <w14:ligatures w14:val="standardContextual"/>
              </w:rPr>
              <w:tab/>
            </w:r>
            <w:r w:rsidRPr="00E14024">
              <w:rPr>
                <w:rStyle w:val="Hiperpovezava"/>
              </w:rPr>
              <w:t>Načrt nadzorov nad delom in poslovanjem Državnega odvetništva RS za obdobje 2026 – 2027</w:t>
            </w:r>
            <w:r>
              <w:rPr>
                <w:webHidden/>
              </w:rPr>
              <w:tab/>
            </w:r>
            <w:r>
              <w:rPr>
                <w:webHidden/>
              </w:rPr>
              <w:fldChar w:fldCharType="begin"/>
            </w:r>
            <w:r>
              <w:rPr>
                <w:webHidden/>
              </w:rPr>
              <w:instrText xml:space="preserve"> PAGEREF _Toc223093802 \h </w:instrText>
            </w:r>
            <w:r>
              <w:rPr>
                <w:webHidden/>
              </w:rPr>
            </w:r>
            <w:r>
              <w:rPr>
                <w:webHidden/>
              </w:rPr>
              <w:fldChar w:fldCharType="separate"/>
            </w:r>
            <w:r w:rsidR="00A76D9F">
              <w:rPr>
                <w:webHidden/>
              </w:rPr>
              <w:t>121</w:t>
            </w:r>
            <w:r>
              <w:rPr>
                <w:webHidden/>
              </w:rPr>
              <w:fldChar w:fldCharType="end"/>
            </w:r>
          </w:hyperlink>
        </w:p>
        <w:p w14:paraId="70BC4CDA" w14:textId="5D1F8F7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03" w:history="1">
            <w:r w:rsidRPr="00E14024">
              <w:rPr>
                <w:rStyle w:val="Hiperpovezava"/>
              </w:rPr>
              <w:t>4.4.2.1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_Toc223093803 \h </w:instrText>
            </w:r>
            <w:r>
              <w:rPr>
                <w:webHidden/>
              </w:rPr>
            </w:r>
            <w:r>
              <w:rPr>
                <w:webHidden/>
              </w:rPr>
              <w:fldChar w:fldCharType="separate"/>
            </w:r>
            <w:r w:rsidR="00A76D9F">
              <w:rPr>
                <w:webHidden/>
              </w:rPr>
              <w:t>121</w:t>
            </w:r>
            <w:r>
              <w:rPr>
                <w:webHidden/>
              </w:rPr>
              <w:fldChar w:fldCharType="end"/>
            </w:r>
          </w:hyperlink>
        </w:p>
        <w:p w14:paraId="02DD2E13" w14:textId="0ED6D30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04" w:history="1">
            <w:r w:rsidRPr="00E14024">
              <w:rPr>
                <w:rStyle w:val="Hiperpovezava"/>
              </w:rPr>
              <w:t>4.4.2.2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Imenovanje nadzornih komisij</w:t>
            </w:r>
            <w:r>
              <w:rPr>
                <w:webHidden/>
              </w:rPr>
              <w:tab/>
            </w:r>
            <w:r>
              <w:rPr>
                <w:webHidden/>
              </w:rPr>
              <w:fldChar w:fldCharType="begin"/>
            </w:r>
            <w:r>
              <w:rPr>
                <w:webHidden/>
              </w:rPr>
              <w:instrText xml:space="preserve"> PAGEREF _Toc223093804 \h </w:instrText>
            </w:r>
            <w:r>
              <w:rPr>
                <w:webHidden/>
              </w:rPr>
            </w:r>
            <w:r>
              <w:rPr>
                <w:webHidden/>
              </w:rPr>
              <w:fldChar w:fldCharType="separate"/>
            </w:r>
            <w:r w:rsidR="00A76D9F">
              <w:rPr>
                <w:webHidden/>
              </w:rPr>
              <w:t>122</w:t>
            </w:r>
            <w:r>
              <w:rPr>
                <w:webHidden/>
              </w:rPr>
              <w:fldChar w:fldCharType="end"/>
            </w:r>
          </w:hyperlink>
        </w:p>
        <w:p w14:paraId="7A3D5183" w14:textId="10F17A7D"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05" w:history="1">
            <w:r w:rsidRPr="00E14024">
              <w:rPr>
                <w:rStyle w:val="Hiperpovezava"/>
              </w:rPr>
              <w:t>4.4.3</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Priporočila za izvajanje nadzorov s pregledom dela in poslovanja Državnega odvetništva RS</w:t>
            </w:r>
            <w:r>
              <w:rPr>
                <w:webHidden/>
              </w:rPr>
              <w:tab/>
            </w:r>
            <w:r>
              <w:rPr>
                <w:webHidden/>
              </w:rPr>
              <w:fldChar w:fldCharType="begin"/>
            </w:r>
            <w:r>
              <w:rPr>
                <w:webHidden/>
              </w:rPr>
              <w:instrText xml:space="preserve"> PAGEREF _Toc223093805 \h </w:instrText>
            </w:r>
            <w:r>
              <w:rPr>
                <w:webHidden/>
              </w:rPr>
            </w:r>
            <w:r>
              <w:rPr>
                <w:webHidden/>
              </w:rPr>
              <w:fldChar w:fldCharType="separate"/>
            </w:r>
            <w:r w:rsidR="00A76D9F">
              <w:rPr>
                <w:webHidden/>
              </w:rPr>
              <w:t>123</w:t>
            </w:r>
            <w:r>
              <w:rPr>
                <w:webHidden/>
              </w:rPr>
              <w:fldChar w:fldCharType="end"/>
            </w:r>
          </w:hyperlink>
        </w:p>
        <w:p w14:paraId="1D6CFACB" w14:textId="3A64D877"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06" w:history="1">
            <w:r w:rsidRPr="00E14024">
              <w:rPr>
                <w:rStyle w:val="Hiperpovezava"/>
              </w:rPr>
              <w:t>4.4.3.1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Razlogi za sprejem</w:t>
            </w:r>
            <w:r>
              <w:rPr>
                <w:webHidden/>
              </w:rPr>
              <w:tab/>
            </w:r>
            <w:r>
              <w:rPr>
                <w:webHidden/>
              </w:rPr>
              <w:fldChar w:fldCharType="begin"/>
            </w:r>
            <w:r>
              <w:rPr>
                <w:webHidden/>
              </w:rPr>
              <w:instrText xml:space="preserve"> PAGEREF _Toc223093806 \h </w:instrText>
            </w:r>
            <w:r>
              <w:rPr>
                <w:webHidden/>
              </w:rPr>
            </w:r>
            <w:r>
              <w:rPr>
                <w:webHidden/>
              </w:rPr>
              <w:fldChar w:fldCharType="separate"/>
            </w:r>
            <w:r w:rsidR="00A76D9F">
              <w:rPr>
                <w:webHidden/>
              </w:rPr>
              <w:t>123</w:t>
            </w:r>
            <w:r>
              <w:rPr>
                <w:webHidden/>
              </w:rPr>
              <w:fldChar w:fldCharType="end"/>
            </w:r>
          </w:hyperlink>
        </w:p>
        <w:p w14:paraId="78DDED06" w14:textId="7761B46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07" w:history="1">
            <w:r w:rsidRPr="00E14024">
              <w:rPr>
                <w:rStyle w:val="Hiperpovezava"/>
              </w:rPr>
              <w:t>4.4.3.2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Način izvedbe nadzorov</w:t>
            </w:r>
            <w:r>
              <w:rPr>
                <w:webHidden/>
              </w:rPr>
              <w:tab/>
            </w:r>
            <w:r>
              <w:rPr>
                <w:webHidden/>
              </w:rPr>
              <w:fldChar w:fldCharType="begin"/>
            </w:r>
            <w:r>
              <w:rPr>
                <w:webHidden/>
              </w:rPr>
              <w:instrText xml:space="preserve"> PAGEREF _Toc223093807 \h </w:instrText>
            </w:r>
            <w:r>
              <w:rPr>
                <w:webHidden/>
              </w:rPr>
            </w:r>
            <w:r>
              <w:rPr>
                <w:webHidden/>
              </w:rPr>
              <w:fldChar w:fldCharType="separate"/>
            </w:r>
            <w:r w:rsidR="00A76D9F">
              <w:rPr>
                <w:webHidden/>
              </w:rPr>
              <w:t>124</w:t>
            </w:r>
            <w:r>
              <w:rPr>
                <w:webHidden/>
              </w:rPr>
              <w:fldChar w:fldCharType="end"/>
            </w:r>
          </w:hyperlink>
        </w:p>
        <w:p w14:paraId="74DAF09E" w14:textId="35B286E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08" w:history="1">
            <w:r w:rsidRPr="00E14024">
              <w:rPr>
                <w:rStyle w:val="Hiperpovezava"/>
              </w:rPr>
              <w:t>4.4.3.3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Nadzor nad delom</w:t>
            </w:r>
            <w:r>
              <w:rPr>
                <w:webHidden/>
              </w:rPr>
              <w:tab/>
            </w:r>
            <w:r>
              <w:rPr>
                <w:webHidden/>
              </w:rPr>
              <w:fldChar w:fldCharType="begin"/>
            </w:r>
            <w:r>
              <w:rPr>
                <w:webHidden/>
              </w:rPr>
              <w:instrText xml:space="preserve"> PAGEREF _Toc223093808 \h </w:instrText>
            </w:r>
            <w:r>
              <w:rPr>
                <w:webHidden/>
              </w:rPr>
            </w:r>
            <w:r>
              <w:rPr>
                <w:webHidden/>
              </w:rPr>
              <w:fldChar w:fldCharType="separate"/>
            </w:r>
            <w:r w:rsidR="00A76D9F">
              <w:rPr>
                <w:webHidden/>
              </w:rPr>
              <w:t>125</w:t>
            </w:r>
            <w:r>
              <w:rPr>
                <w:webHidden/>
              </w:rPr>
              <w:fldChar w:fldCharType="end"/>
            </w:r>
          </w:hyperlink>
        </w:p>
        <w:p w14:paraId="0E4DDDE7" w14:textId="0B392E2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09" w:history="1">
            <w:r w:rsidRPr="00E14024">
              <w:rPr>
                <w:rStyle w:val="Hiperpovezava"/>
                <w:rFonts w:eastAsia="Courier New"/>
              </w:rPr>
              <w:t>4.4.3.3.1</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ourier New"/>
              </w:rPr>
              <w:t>Splošno</w:t>
            </w:r>
            <w:r>
              <w:rPr>
                <w:webHidden/>
              </w:rPr>
              <w:tab/>
            </w:r>
            <w:r>
              <w:rPr>
                <w:webHidden/>
              </w:rPr>
              <w:fldChar w:fldCharType="begin"/>
            </w:r>
            <w:r>
              <w:rPr>
                <w:webHidden/>
              </w:rPr>
              <w:instrText xml:space="preserve"> PAGEREF _Toc223093809 \h </w:instrText>
            </w:r>
            <w:r>
              <w:rPr>
                <w:webHidden/>
              </w:rPr>
            </w:r>
            <w:r>
              <w:rPr>
                <w:webHidden/>
              </w:rPr>
              <w:fldChar w:fldCharType="separate"/>
            </w:r>
            <w:r w:rsidR="00A76D9F">
              <w:rPr>
                <w:webHidden/>
              </w:rPr>
              <w:t>125</w:t>
            </w:r>
            <w:r>
              <w:rPr>
                <w:webHidden/>
              </w:rPr>
              <w:fldChar w:fldCharType="end"/>
            </w:r>
          </w:hyperlink>
        </w:p>
        <w:p w14:paraId="5C46AE2C" w14:textId="2DA11288"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10" w:history="1">
            <w:r w:rsidRPr="00E14024">
              <w:rPr>
                <w:rStyle w:val="Hiperpovezava"/>
              </w:rPr>
              <w:t>4.4.3.3.2</w:t>
            </w:r>
            <w:r>
              <w:rPr>
                <w:rFonts w:asciiTheme="minorHAnsi" w:eastAsiaTheme="minorEastAsia" w:hAnsiTheme="minorHAnsi" w:cstheme="minorBidi"/>
                <w:kern w:val="2"/>
                <w:sz w:val="24"/>
                <w:szCs w:val="24"/>
                <w:lang w:eastAsia="sl-SI"/>
                <w14:ligatures w14:val="standardContextual"/>
              </w:rPr>
              <w:tab/>
            </w:r>
            <w:r w:rsidRPr="00E14024">
              <w:rPr>
                <w:rStyle w:val="Hiperpovezava"/>
              </w:rPr>
              <w:t>Zakonitost in pravočasnost dela</w:t>
            </w:r>
            <w:r>
              <w:rPr>
                <w:webHidden/>
              </w:rPr>
              <w:tab/>
            </w:r>
            <w:r>
              <w:rPr>
                <w:webHidden/>
              </w:rPr>
              <w:fldChar w:fldCharType="begin"/>
            </w:r>
            <w:r>
              <w:rPr>
                <w:webHidden/>
              </w:rPr>
              <w:instrText xml:space="preserve"> PAGEREF _Toc223093810 \h </w:instrText>
            </w:r>
            <w:r>
              <w:rPr>
                <w:webHidden/>
              </w:rPr>
            </w:r>
            <w:r>
              <w:rPr>
                <w:webHidden/>
              </w:rPr>
              <w:fldChar w:fldCharType="separate"/>
            </w:r>
            <w:r w:rsidR="00A76D9F">
              <w:rPr>
                <w:webHidden/>
              </w:rPr>
              <w:t>126</w:t>
            </w:r>
            <w:r>
              <w:rPr>
                <w:webHidden/>
              </w:rPr>
              <w:fldChar w:fldCharType="end"/>
            </w:r>
          </w:hyperlink>
        </w:p>
        <w:p w14:paraId="1E94C439" w14:textId="0EDA288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11" w:history="1">
            <w:r w:rsidRPr="00E14024">
              <w:rPr>
                <w:rStyle w:val="Hiperpovezava"/>
              </w:rPr>
              <w:t>4.4.3.3.3</w:t>
            </w:r>
            <w:r>
              <w:rPr>
                <w:rFonts w:asciiTheme="minorHAnsi" w:eastAsiaTheme="minorEastAsia" w:hAnsiTheme="minorHAnsi" w:cstheme="minorBidi"/>
                <w:kern w:val="2"/>
                <w:sz w:val="24"/>
                <w:szCs w:val="24"/>
                <w:lang w:eastAsia="sl-SI"/>
                <w14:ligatures w14:val="standardContextual"/>
              </w:rPr>
              <w:tab/>
            </w:r>
            <w:r w:rsidRPr="00E14024">
              <w:rPr>
                <w:rStyle w:val="Hiperpovezava"/>
              </w:rPr>
              <w:t>Smotrnost uporabe procesnih pooblastil</w:t>
            </w:r>
            <w:r>
              <w:rPr>
                <w:webHidden/>
              </w:rPr>
              <w:tab/>
            </w:r>
            <w:r>
              <w:rPr>
                <w:webHidden/>
              </w:rPr>
              <w:fldChar w:fldCharType="begin"/>
            </w:r>
            <w:r>
              <w:rPr>
                <w:webHidden/>
              </w:rPr>
              <w:instrText xml:space="preserve"> PAGEREF _Toc223093811 \h </w:instrText>
            </w:r>
            <w:r>
              <w:rPr>
                <w:webHidden/>
              </w:rPr>
            </w:r>
            <w:r>
              <w:rPr>
                <w:webHidden/>
              </w:rPr>
              <w:fldChar w:fldCharType="separate"/>
            </w:r>
            <w:r w:rsidR="00A76D9F">
              <w:rPr>
                <w:webHidden/>
              </w:rPr>
              <w:t>127</w:t>
            </w:r>
            <w:r>
              <w:rPr>
                <w:webHidden/>
              </w:rPr>
              <w:fldChar w:fldCharType="end"/>
            </w:r>
          </w:hyperlink>
        </w:p>
        <w:p w14:paraId="4C388A4F" w14:textId="557C8CF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12" w:history="1">
            <w:r w:rsidRPr="00E14024">
              <w:rPr>
                <w:rStyle w:val="Hiperpovezava"/>
              </w:rPr>
              <w:t>4.4.3.3.4</w:t>
            </w:r>
            <w:r>
              <w:rPr>
                <w:rFonts w:asciiTheme="minorHAnsi" w:eastAsiaTheme="minorEastAsia" w:hAnsiTheme="minorHAnsi" w:cstheme="minorBidi"/>
                <w:kern w:val="2"/>
                <w:sz w:val="24"/>
                <w:szCs w:val="24"/>
                <w:lang w:eastAsia="sl-SI"/>
                <w14:ligatures w14:val="standardContextual"/>
              </w:rPr>
              <w:tab/>
            </w:r>
            <w:r w:rsidRPr="00E14024">
              <w:rPr>
                <w:rStyle w:val="Hiperpovezava"/>
              </w:rPr>
              <w:t>Skladnost strokovnih odločitev z izdanimi splošnimi navodili</w:t>
            </w:r>
            <w:r>
              <w:rPr>
                <w:webHidden/>
              </w:rPr>
              <w:tab/>
            </w:r>
            <w:r>
              <w:rPr>
                <w:webHidden/>
              </w:rPr>
              <w:fldChar w:fldCharType="begin"/>
            </w:r>
            <w:r>
              <w:rPr>
                <w:webHidden/>
              </w:rPr>
              <w:instrText xml:space="preserve"> PAGEREF _Toc223093812 \h </w:instrText>
            </w:r>
            <w:r>
              <w:rPr>
                <w:webHidden/>
              </w:rPr>
            </w:r>
            <w:r>
              <w:rPr>
                <w:webHidden/>
              </w:rPr>
              <w:fldChar w:fldCharType="separate"/>
            </w:r>
            <w:r w:rsidR="00A76D9F">
              <w:rPr>
                <w:webHidden/>
              </w:rPr>
              <w:t>128</w:t>
            </w:r>
            <w:r>
              <w:rPr>
                <w:webHidden/>
              </w:rPr>
              <w:fldChar w:fldCharType="end"/>
            </w:r>
          </w:hyperlink>
        </w:p>
        <w:p w14:paraId="301EDD1B" w14:textId="03187D7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13" w:history="1">
            <w:r w:rsidRPr="00E14024">
              <w:rPr>
                <w:rStyle w:val="Hiperpovezava"/>
              </w:rPr>
              <w:t>4.4.3.3.5</w:t>
            </w:r>
            <w:r>
              <w:rPr>
                <w:rFonts w:asciiTheme="minorHAnsi" w:eastAsiaTheme="minorEastAsia" w:hAnsiTheme="minorHAnsi" w:cstheme="minorBidi"/>
                <w:kern w:val="2"/>
                <w:sz w:val="24"/>
                <w:szCs w:val="24"/>
                <w:lang w:eastAsia="sl-SI"/>
                <w14:ligatures w14:val="standardContextual"/>
              </w:rPr>
              <w:tab/>
            </w:r>
            <w:r w:rsidRPr="00E14024">
              <w:rPr>
                <w:rStyle w:val="Hiperpovezava"/>
              </w:rPr>
              <w:t>Sklepno načelno mnenje nadzorne komisije</w:t>
            </w:r>
            <w:r>
              <w:rPr>
                <w:webHidden/>
              </w:rPr>
              <w:tab/>
            </w:r>
            <w:r>
              <w:rPr>
                <w:webHidden/>
              </w:rPr>
              <w:fldChar w:fldCharType="begin"/>
            </w:r>
            <w:r>
              <w:rPr>
                <w:webHidden/>
              </w:rPr>
              <w:instrText xml:space="preserve"> PAGEREF _Toc223093813 \h </w:instrText>
            </w:r>
            <w:r>
              <w:rPr>
                <w:webHidden/>
              </w:rPr>
            </w:r>
            <w:r>
              <w:rPr>
                <w:webHidden/>
              </w:rPr>
              <w:fldChar w:fldCharType="separate"/>
            </w:r>
            <w:r w:rsidR="00A76D9F">
              <w:rPr>
                <w:webHidden/>
              </w:rPr>
              <w:t>128</w:t>
            </w:r>
            <w:r>
              <w:rPr>
                <w:webHidden/>
              </w:rPr>
              <w:fldChar w:fldCharType="end"/>
            </w:r>
          </w:hyperlink>
        </w:p>
        <w:p w14:paraId="2B151792" w14:textId="67035F0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14" w:history="1">
            <w:r w:rsidRPr="00E14024">
              <w:rPr>
                <w:rStyle w:val="Hiperpovezava"/>
              </w:rPr>
              <w:t>4.4.3.4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Nadzor nad poslovanjem</w:t>
            </w:r>
            <w:r>
              <w:rPr>
                <w:webHidden/>
              </w:rPr>
              <w:tab/>
            </w:r>
            <w:r>
              <w:rPr>
                <w:webHidden/>
              </w:rPr>
              <w:fldChar w:fldCharType="begin"/>
            </w:r>
            <w:r>
              <w:rPr>
                <w:webHidden/>
              </w:rPr>
              <w:instrText xml:space="preserve"> PAGEREF _Toc223093814 \h </w:instrText>
            </w:r>
            <w:r>
              <w:rPr>
                <w:webHidden/>
              </w:rPr>
            </w:r>
            <w:r>
              <w:rPr>
                <w:webHidden/>
              </w:rPr>
              <w:fldChar w:fldCharType="separate"/>
            </w:r>
            <w:r w:rsidR="00A76D9F">
              <w:rPr>
                <w:webHidden/>
              </w:rPr>
              <w:t>129</w:t>
            </w:r>
            <w:r>
              <w:rPr>
                <w:webHidden/>
              </w:rPr>
              <w:fldChar w:fldCharType="end"/>
            </w:r>
          </w:hyperlink>
        </w:p>
        <w:p w14:paraId="63360FCF" w14:textId="47FC1FB8"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15" w:history="1">
            <w:r w:rsidRPr="00E14024">
              <w:rPr>
                <w:rStyle w:val="Hiperpovezava"/>
              </w:rPr>
              <w:t>4.4.3.4.1</w:t>
            </w:r>
            <w:r>
              <w:rPr>
                <w:rFonts w:asciiTheme="minorHAnsi" w:eastAsiaTheme="minorEastAsia" w:hAnsiTheme="minorHAnsi" w:cstheme="minorBidi"/>
                <w:kern w:val="2"/>
                <w:sz w:val="24"/>
                <w:szCs w:val="24"/>
                <w:lang w:eastAsia="sl-SI"/>
                <w14:ligatures w14:val="standardContextual"/>
              </w:rPr>
              <w:tab/>
            </w:r>
            <w:r w:rsidRPr="00E14024">
              <w:rPr>
                <w:rStyle w:val="Hiperpovezava"/>
              </w:rPr>
              <w:t>Namen izvajanja nadzora nad poslovanjem</w:t>
            </w:r>
            <w:r>
              <w:rPr>
                <w:webHidden/>
              </w:rPr>
              <w:tab/>
            </w:r>
            <w:r>
              <w:rPr>
                <w:webHidden/>
              </w:rPr>
              <w:fldChar w:fldCharType="begin"/>
            </w:r>
            <w:r>
              <w:rPr>
                <w:webHidden/>
              </w:rPr>
              <w:instrText xml:space="preserve"> PAGEREF _Toc223093815 \h </w:instrText>
            </w:r>
            <w:r>
              <w:rPr>
                <w:webHidden/>
              </w:rPr>
            </w:r>
            <w:r>
              <w:rPr>
                <w:webHidden/>
              </w:rPr>
              <w:fldChar w:fldCharType="separate"/>
            </w:r>
            <w:r w:rsidR="00A76D9F">
              <w:rPr>
                <w:webHidden/>
              </w:rPr>
              <w:t>129</w:t>
            </w:r>
            <w:r>
              <w:rPr>
                <w:webHidden/>
              </w:rPr>
              <w:fldChar w:fldCharType="end"/>
            </w:r>
          </w:hyperlink>
        </w:p>
        <w:p w14:paraId="2C0954E3" w14:textId="40934B4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16" w:history="1">
            <w:r w:rsidRPr="00E14024">
              <w:rPr>
                <w:rStyle w:val="Hiperpovezava"/>
              </w:rPr>
              <w:t>4.4.3.4.2</w:t>
            </w:r>
            <w:r>
              <w:rPr>
                <w:rFonts w:asciiTheme="minorHAnsi" w:eastAsiaTheme="minorEastAsia" w:hAnsiTheme="minorHAnsi" w:cstheme="minorBidi"/>
                <w:kern w:val="2"/>
                <w:sz w:val="24"/>
                <w:szCs w:val="24"/>
                <w:lang w:eastAsia="sl-SI"/>
                <w14:ligatures w14:val="standardContextual"/>
              </w:rPr>
              <w:tab/>
            </w:r>
            <w:r w:rsidRPr="00E14024">
              <w:rPr>
                <w:rStyle w:val="Hiperpovezava"/>
              </w:rPr>
              <w:t>Vsebina nadzora nad poslovanjem</w:t>
            </w:r>
            <w:r>
              <w:rPr>
                <w:webHidden/>
              </w:rPr>
              <w:tab/>
            </w:r>
            <w:r>
              <w:rPr>
                <w:webHidden/>
              </w:rPr>
              <w:fldChar w:fldCharType="begin"/>
            </w:r>
            <w:r>
              <w:rPr>
                <w:webHidden/>
              </w:rPr>
              <w:instrText xml:space="preserve"> PAGEREF _Toc223093816 \h </w:instrText>
            </w:r>
            <w:r>
              <w:rPr>
                <w:webHidden/>
              </w:rPr>
            </w:r>
            <w:r>
              <w:rPr>
                <w:webHidden/>
              </w:rPr>
              <w:fldChar w:fldCharType="separate"/>
            </w:r>
            <w:r w:rsidR="00A76D9F">
              <w:rPr>
                <w:webHidden/>
              </w:rPr>
              <w:t>129</w:t>
            </w:r>
            <w:r>
              <w:rPr>
                <w:webHidden/>
              </w:rPr>
              <w:fldChar w:fldCharType="end"/>
            </w:r>
          </w:hyperlink>
        </w:p>
        <w:p w14:paraId="7D0A5663" w14:textId="034FBD8B"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17" w:history="1">
            <w:r w:rsidRPr="00E14024">
              <w:rPr>
                <w:rStyle w:val="Hiperpovezava"/>
              </w:rPr>
              <w:t>4.4.4</w:t>
            </w:r>
            <w:r>
              <w:rPr>
                <w:rFonts w:asciiTheme="minorHAnsi" w:eastAsiaTheme="minorEastAsia" w:hAnsiTheme="minorHAnsi" w:cstheme="minorBidi"/>
                <w:kern w:val="2"/>
                <w:sz w:val="24"/>
                <w:szCs w:val="24"/>
                <w:lang w:eastAsia="sl-SI"/>
                <w14:ligatures w14:val="standardContextual"/>
              </w:rPr>
              <w:tab/>
            </w:r>
            <w:r w:rsidRPr="00E14024">
              <w:rPr>
                <w:rStyle w:val="Hiperpovezava"/>
              </w:rPr>
              <w:t>Uvedba nadzorov nad delom in poslovanjem oddelkov Državnega odvetništva RS v letu 2025</w:t>
            </w:r>
            <w:r>
              <w:rPr>
                <w:webHidden/>
              </w:rPr>
              <w:tab/>
            </w:r>
            <w:r>
              <w:rPr>
                <w:webHidden/>
              </w:rPr>
              <w:fldChar w:fldCharType="begin"/>
            </w:r>
            <w:r>
              <w:rPr>
                <w:webHidden/>
              </w:rPr>
              <w:instrText xml:space="preserve"> PAGEREF _Toc223093817 \h </w:instrText>
            </w:r>
            <w:r>
              <w:rPr>
                <w:webHidden/>
              </w:rPr>
            </w:r>
            <w:r>
              <w:rPr>
                <w:webHidden/>
              </w:rPr>
              <w:fldChar w:fldCharType="separate"/>
            </w:r>
            <w:r w:rsidR="00A76D9F">
              <w:rPr>
                <w:webHidden/>
              </w:rPr>
              <w:t>134</w:t>
            </w:r>
            <w:r>
              <w:rPr>
                <w:webHidden/>
              </w:rPr>
              <w:fldChar w:fldCharType="end"/>
            </w:r>
          </w:hyperlink>
        </w:p>
        <w:p w14:paraId="10A11093" w14:textId="6B049856"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18" w:history="1">
            <w:r w:rsidRPr="00E14024">
              <w:rPr>
                <w:rStyle w:val="Hiperpovezava"/>
              </w:rPr>
              <w:t>4.4.5</w:t>
            </w:r>
            <w:r>
              <w:rPr>
                <w:rFonts w:asciiTheme="minorHAnsi" w:eastAsiaTheme="minorEastAsia" w:hAnsiTheme="minorHAnsi" w:cstheme="minorBidi"/>
                <w:kern w:val="2"/>
                <w:sz w:val="24"/>
                <w:szCs w:val="24"/>
                <w:lang w:eastAsia="sl-SI"/>
                <w14:ligatures w14:val="standardContextual"/>
              </w:rPr>
              <w:tab/>
            </w:r>
            <w:r w:rsidRPr="00E14024">
              <w:rPr>
                <w:rStyle w:val="Hiperpovezava"/>
              </w:rPr>
              <w:t>Sistemski in organizacijski ukrepi</w:t>
            </w:r>
            <w:r>
              <w:rPr>
                <w:webHidden/>
              </w:rPr>
              <w:tab/>
            </w:r>
            <w:r>
              <w:rPr>
                <w:webHidden/>
              </w:rPr>
              <w:fldChar w:fldCharType="begin"/>
            </w:r>
            <w:r>
              <w:rPr>
                <w:webHidden/>
              </w:rPr>
              <w:instrText xml:space="preserve"> PAGEREF _Toc223093818 \h </w:instrText>
            </w:r>
            <w:r>
              <w:rPr>
                <w:webHidden/>
              </w:rPr>
            </w:r>
            <w:r>
              <w:rPr>
                <w:webHidden/>
              </w:rPr>
              <w:fldChar w:fldCharType="separate"/>
            </w:r>
            <w:r w:rsidR="00A76D9F">
              <w:rPr>
                <w:webHidden/>
              </w:rPr>
              <w:t>135</w:t>
            </w:r>
            <w:r>
              <w:rPr>
                <w:webHidden/>
              </w:rPr>
              <w:fldChar w:fldCharType="end"/>
            </w:r>
          </w:hyperlink>
        </w:p>
        <w:p w14:paraId="0E058D94" w14:textId="1C92270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19" w:history="1">
            <w:r w:rsidRPr="00E14024">
              <w:rPr>
                <w:rStyle w:val="Hiperpovezava"/>
              </w:rPr>
              <w:t>4.4.5.1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Izvajanje določb ZDOdv glede nadzora nad delom Državnega odvetništva RS v praksi</w:t>
            </w:r>
            <w:r>
              <w:rPr>
                <w:webHidden/>
              </w:rPr>
              <w:tab/>
            </w:r>
            <w:r>
              <w:rPr>
                <w:webHidden/>
              </w:rPr>
              <w:fldChar w:fldCharType="begin"/>
            </w:r>
            <w:r>
              <w:rPr>
                <w:webHidden/>
              </w:rPr>
              <w:instrText xml:space="preserve"> PAGEREF _Toc223093819 \h </w:instrText>
            </w:r>
            <w:r>
              <w:rPr>
                <w:webHidden/>
              </w:rPr>
            </w:r>
            <w:r>
              <w:rPr>
                <w:webHidden/>
              </w:rPr>
              <w:fldChar w:fldCharType="separate"/>
            </w:r>
            <w:r w:rsidR="00A76D9F">
              <w:rPr>
                <w:webHidden/>
              </w:rPr>
              <w:t>135</w:t>
            </w:r>
            <w:r>
              <w:rPr>
                <w:webHidden/>
              </w:rPr>
              <w:fldChar w:fldCharType="end"/>
            </w:r>
          </w:hyperlink>
        </w:p>
        <w:p w14:paraId="061526C2" w14:textId="6E30CA4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20" w:history="1">
            <w:r w:rsidRPr="00E14024">
              <w:rPr>
                <w:rStyle w:val="Hiperpovezava"/>
              </w:rPr>
              <w:t>4.4.5.2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Možnosti za izboljšave poslovanja Državnega odvetništva RS</w:t>
            </w:r>
            <w:r>
              <w:rPr>
                <w:webHidden/>
              </w:rPr>
              <w:tab/>
            </w:r>
            <w:r>
              <w:rPr>
                <w:webHidden/>
              </w:rPr>
              <w:fldChar w:fldCharType="begin"/>
            </w:r>
            <w:r>
              <w:rPr>
                <w:webHidden/>
              </w:rPr>
              <w:instrText xml:space="preserve"> PAGEREF _Toc223093820 \h </w:instrText>
            </w:r>
            <w:r>
              <w:rPr>
                <w:webHidden/>
              </w:rPr>
            </w:r>
            <w:r>
              <w:rPr>
                <w:webHidden/>
              </w:rPr>
              <w:fldChar w:fldCharType="separate"/>
            </w:r>
            <w:r w:rsidR="00A76D9F">
              <w:rPr>
                <w:webHidden/>
              </w:rPr>
              <w:t>135</w:t>
            </w:r>
            <w:r>
              <w:rPr>
                <w:webHidden/>
              </w:rPr>
              <w:fldChar w:fldCharType="end"/>
            </w:r>
          </w:hyperlink>
        </w:p>
        <w:p w14:paraId="747C9898" w14:textId="1B75D8CD"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821" w:history="1">
            <w:r w:rsidRPr="00E14024">
              <w:rPr>
                <w:rStyle w:val="Hiperpovezava"/>
                <w:noProof/>
              </w:rPr>
              <w:t>4.5</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Drugi podatki, ki pripomorejo k celoviti predstavitvi poslovanja Državnega odvetništva RS</w:t>
            </w:r>
            <w:r>
              <w:rPr>
                <w:noProof/>
                <w:webHidden/>
              </w:rPr>
              <w:tab/>
            </w:r>
            <w:r>
              <w:rPr>
                <w:noProof/>
                <w:webHidden/>
              </w:rPr>
              <w:fldChar w:fldCharType="begin"/>
            </w:r>
            <w:r>
              <w:rPr>
                <w:noProof/>
                <w:webHidden/>
              </w:rPr>
              <w:instrText xml:space="preserve"> PAGEREF _Toc223093821 \h </w:instrText>
            </w:r>
            <w:r>
              <w:rPr>
                <w:noProof/>
                <w:webHidden/>
              </w:rPr>
            </w:r>
            <w:r>
              <w:rPr>
                <w:noProof/>
                <w:webHidden/>
              </w:rPr>
              <w:fldChar w:fldCharType="separate"/>
            </w:r>
            <w:r w:rsidR="00A76D9F">
              <w:rPr>
                <w:noProof/>
                <w:webHidden/>
              </w:rPr>
              <w:t>136</w:t>
            </w:r>
            <w:r>
              <w:rPr>
                <w:noProof/>
                <w:webHidden/>
              </w:rPr>
              <w:fldChar w:fldCharType="end"/>
            </w:r>
          </w:hyperlink>
        </w:p>
        <w:p w14:paraId="6AF7014B" w14:textId="285E1ED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22" w:history="1">
            <w:r w:rsidRPr="00E14024">
              <w:rPr>
                <w:rStyle w:val="Hiperpovezava"/>
              </w:rPr>
              <w:t>4.5.1</w:t>
            </w:r>
            <w:r>
              <w:rPr>
                <w:rFonts w:asciiTheme="minorHAnsi" w:eastAsiaTheme="minorEastAsia" w:hAnsiTheme="minorHAnsi" w:cstheme="minorBidi"/>
                <w:kern w:val="2"/>
                <w:sz w:val="24"/>
                <w:szCs w:val="24"/>
                <w:lang w:eastAsia="sl-SI"/>
                <w14:ligatures w14:val="standardContextual"/>
              </w:rPr>
              <w:tab/>
            </w:r>
            <w:r w:rsidRPr="00E14024">
              <w:rPr>
                <w:rStyle w:val="Hiperpovezava"/>
              </w:rPr>
              <w:t>Odnosi z javnostmi</w:t>
            </w:r>
            <w:r>
              <w:rPr>
                <w:webHidden/>
              </w:rPr>
              <w:tab/>
            </w:r>
            <w:r>
              <w:rPr>
                <w:webHidden/>
              </w:rPr>
              <w:fldChar w:fldCharType="begin"/>
            </w:r>
            <w:r>
              <w:rPr>
                <w:webHidden/>
              </w:rPr>
              <w:instrText xml:space="preserve"> PAGEREF _Toc223093822 \h </w:instrText>
            </w:r>
            <w:r>
              <w:rPr>
                <w:webHidden/>
              </w:rPr>
            </w:r>
            <w:r>
              <w:rPr>
                <w:webHidden/>
              </w:rPr>
              <w:fldChar w:fldCharType="separate"/>
            </w:r>
            <w:r w:rsidR="00A76D9F">
              <w:rPr>
                <w:webHidden/>
              </w:rPr>
              <w:t>136</w:t>
            </w:r>
            <w:r>
              <w:rPr>
                <w:webHidden/>
              </w:rPr>
              <w:fldChar w:fldCharType="end"/>
            </w:r>
          </w:hyperlink>
        </w:p>
        <w:p w14:paraId="20F980AD" w14:textId="2DE4C91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23" w:history="1">
            <w:r w:rsidRPr="00E14024">
              <w:rPr>
                <w:rStyle w:val="Hiperpovezava"/>
              </w:rPr>
              <w:t>4.5.1.1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_Toc223093823 \h </w:instrText>
            </w:r>
            <w:r>
              <w:rPr>
                <w:webHidden/>
              </w:rPr>
            </w:r>
            <w:r>
              <w:rPr>
                <w:webHidden/>
              </w:rPr>
              <w:fldChar w:fldCharType="separate"/>
            </w:r>
            <w:r w:rsidR="00A76D9F">
              <w:rPr>
                <w:webHidden/>
              </w:rPr>
              <w:t>136</w:t>
            </w:r>
            <w:r>
              <w:rPr>
                <w:webHidden/>
              </w:rPr>
              <w:fldChar w:fldCharType="end"/>
            </w:r>
          </w:hyperlink>
        </w:p>
        <w:p w14:paraId="1ECA2C04" w14:textId="18FCC44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24" w:history="1">
            <w:r w:rsidRPr="00E14024">
              <w:rPr>
                <w:rStyle w:val="Hiperpovezava"/>
              </w:rPr>
              <w:t>4.5.1.1.1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_Toc223093824 \h </w:instrText>
            </w:r>
            <w:r>
              <w:rPr>
                <w:webHidden/>
              </w:rPr>
            </w:r>
            <w:r>
              <w:rPr>
                <w:webHidden/>
              </w:rPr>
              <w:fldChar w:fldCharType="separate"/>
            </w:r>
            <w:r w:rsidR="00A76D9F">
              <w:rPr>
                <w:webHidden/>
              </w:rPr>
              <w:t>136</w:t>
            </w:r>
            <w:r>
              <w:rPr>
                <w:webHidden/>
              </w:rPr>
              <w:fldChar w:fldCharType="end"/>
            </w:r>
          </w:hyperlink>
        </w:p>
        <w:p w14:paraId="4D074DA6" w14:textId="545A1559"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25" w:history="1">
            <w:r w:rsidRPr="00E14024">
              <w:rPr>
                <w:rStyle w:val="Hiperpovezava"/>
              </w:rPr>
              <w:t>4.5.1.1.2</w:t>
            </w:r>
            <w:r>
              <w:rPr>
                <w:rFonts w:asciiTheme="minorHAnsi" w:eastAsiaTheme="minorEastAsia" w:hAnsiTheme="minorHAnsi" w:cstheme="minorBidi"/>
                <w:kern w:val="2"/>
                <w:sz w:val="24"/>
                <w:szCs w:val="24"/>
                <w:lang w:eastAsia="sl-SI"/>
                <w14:ligatures w14:val="standardContextual"/>
              </w:rPr>
              <w:tab/>
            </w:r>
            <w:r w:rsidRPr="00E14024">
              <w:rPr>
                <w:rStyle w:val="Hiperpovezava"/>
              </w:rPr>
              <w:t>Odnosi z javnostmi</w:t>
            </w:r>
            <w:r>
              <w:rPr>
                <w:webHidden/>
              </w:rPr>
              <w:tab/>
            </w:r>
            <w:r>
              <w:rPr>
                <w:webHidden/>
              </w:rPr>
              <w:fldChar w:fldCharType="begin"/>
            </w:r>
            <w:r>
              <w:rPr>
                <w:webHidden/>
              </w:rPr>
              <w:instrText xml:space="preserve"> PAGEREF _Toc223093825 \h </w:instrText>
            </w:r>
            <w:r>
              <w:rPr>
                <w:webHidden/>
              </w:rPr>
            </w:r>
            <w:r>
              <w:rPr>
                <w:webHidden/>
              </w:rPr>
              <w:fldChar w:fldCharType="separate"/>
            </w:r>
            <w:r w:rsidR="00A76D9F">
              <w:rPr>
                <w:webHidden/>
              </w:rPr>
              <w:t>137</w:t>
            </w:r>
            <w:r>
              <w:rPr>
                <w:webHidden/>
              </w:rPr>
              <w:fldChar w:fldCharType="end"/>
            </w:r>
          </w:hyperlink>
        </w:p>
        <w:p w14:paraId="2C3ABBFD" w14:textId="417BCDE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26" w:history="1">
            <w:r w:rsidRPr="00E14024">
              <w:rPr>
                <w:rStyle w:val="Hiperpovezava"/>
              </w:rPr>
              <w:t>4.5.1.1.3</w:t>
            </w:r>
            <w:r>
              <w:rPr>
                <w:rFonts w:asciiTheme="minorHAnsi" w:eastAsiaTheme="minorEastAsia" w:hAnsiTheme="minorHAnsi" w:cstheme="minorBidi"/>
                <w:kern w:val="2"/>
                <w:sz w:val="24"/>
                <w:szCs w:val="24"/>
                <w:lang w:eastAsia="sl-SI"/>
                <w14:ligatures w14:val="standardContextual"/>
              </w:rPr>
              <w:tab/>
            </w:r>
            <w:r w:rsidRPr="00E14024">
              <w:rPr>
                <w:rStyle w:val="Hiperpovezava"/>
              </w:rPr>
              <w:t>Izzivi pri komunikaciji z mediji</w:t>
            </w:r>
            <w:r>
              <w:rPr>
                <w:webHidden/>
              </w:rPr>
              <w:tab/>
            </w:r>
            <w:r>
              <w:rPr>
                <w:webHidden/>
              </w:rPr>
              <w:fldChar w:fldCharType="begin"/>
            </w:r>
            <w:r>
              <w:rPr>
                <w:webHidden/>
              </w:rPr>
              <w:instrText xml:space="preserve"> PAGEREF _Toc223093826 \h </w:instrText>
            </w:r>
            <w:r>
              <w:rPr>
                <w:webHidden/>
              </w:rPr>
            </w:r>
            <w:r>
              <w:rPr>
                <w:webHidden/>
              </w:rPr>
              <w:fldChar w:fldCharType="separate"/>
            </w:r>
            <w:r w:rsidR="00A76D9F">
              <w:rPr>
                <w:webHidden/>
              </w:rPr>
              <w:t>137</w:t>
            </w:r>
            <w:r>
              <w:rPr>
                <w:webHidden/>
              </w:rPr>
              <w:fldChar w:fldCharType="end"/>
            </w:r>
          </w:hyperlink>
        </w:p>
        <w:p w14:paraId="644A94DA" w14:textId="627B6154"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27" w:history="1">
            <w:r w:rsidRPr="00E14024">
              <w:rPr>
                <w:rStyle w:val="Hiperpovezava"/>
              </w:rPr>
              <w:t>4.5.1.1.4</w:t>
            </w:r>
            <w:r>
              <w:rPr>
                <w:rFonts w:asciiTheme="minorHAnsi" w:eastAsiaTheme="minorEastAsia" w:hAnsiTheme="minorHAnsi" w:cstheme="minorBidi"/>
                <w:kern w:val="2"/>
                <w:sz w:val="24"/>
                <w:szCs w:val="24"/>
                <w:lang w:eastAsia="sl-SI"/>
                <w14:ligatures w14:val="standardContextual"/>
              </w:rPr>
              <w:tab/>
            </w:r>
            <w:r w:rsidRPr="00E14024">
              <w:rPr>
                <w:rStyle w:val="Hiperpovezava"/>
              </w:rPr>
              <w:t>Državno odvetništvo RS in splošna javnost</w:t>
            </w:r>
            <w:r>
              <w:rPr>
                <w:webHidden/>
              </w:rPr>
              <w:tab/>
            </w:r>
            <w:r>
              <w:rPr>
                <w:webHidden/>
              </w:rPr>
              <w:fldChar w:fldCharType="begin"/>
            </w:r>
            <w:r>
              <w:rPr>
                <w:webHidden/>
              </w:rPr>
              <w:instrText xml:space="preserve"> PAGEREF _Toc223093827 \h </w:instrText>
            </w:r>
            <w:r>
              <w:rPr>
                <w:webHidden/>
              </w:rPr>
            </w:r>
            <w:r>
              <w:rPr>
                <w:webHidden/>
              </w:rPr>
              <w:fldChar w:fldCharType="separate"/>
            </w:r>
            <w:r w:rsidR="00A76D9F">
              <w:rPr>
                <w:webHidden/>
              </w:rPr>
              <w:t>138</w:t>
            </w:r>
            <w:r>
              <w:rPr>
                <w:webHidden/>
              </w:rPr>
              <w:fldChar w:fldCharType="end"/>
            </w:r>
          </w:hyperlink>
        </w:p>
        <w:p w14:paraId="1C3D5506" w14:textId="06933E46"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28" w:history="1">
            <w:r w:rsidRPr="00E14024">
              <w:rPr>
                <w:rStyle w:val="Hiperpovezava"/>
              </w:rPr>
              <w:t>4.5.1.2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Medijsko poročanje o Državnem odvetništvu RS</w:t>
            </w:r>
            <w:r>
              <w:rPr>
                <w:webHidden/>
              </w:rPr>
              <w:tab/>
            </w:r>
            <w:r>
              <w:rPr>
                <w:webHidden/>
              </w:rPr>
              <w:fldChar w:fldCharType="begin"/>
            </w:r>
            <w:r>
              <w:rPr>
                <w:webHidden/>
              </w:rPr>
              <w:instrText xml:space="preserve"> PAGEREF _Toc223093828 \h </w:instrText>
            </w:r>
            <w:r>
              <w:rPr>
                <w:webHidden/>
              </w:rPr>
            </w:r>
            <w:r>
              <w:rPr>
                <w:webHidden/>
              </w:rPr>
              <w:fldChar w:fldCharType="separate"/>
            </w:r>
            <w:r w:rsidR="00A76D9F">
              <w:rPr>
                <w:webHidden/>
              </w:rPr>
              <w:t>138</w:t>
            </w:r>
            <w:r>
              <w:rPr>
                <w:webHidden/>
              </w:rPr>
              <w:fldChar w:fldCharType="end"/>
            </w:r>
          </w:hyperlink>
        </w:p>
        <w:p w14:paraId="77F39B3F" w14:textId="019CB0C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29" w:history="1">
            <w:r w:rsidRPr="00E14024">
              <w:rPr>
                <w:rStyle w:val="Hiperpovezava"/>
              </w:rPr>
              <w:t>4.5.1.2.1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_Toc223093829 \h </w:instrText>
            </w:r>
            <w:r>
              <w:rPr>
                <w:webHidden/>
              </w:rPr>
            </w:r>
            <w:r>
              <w:rPr>
                <w:webHidden/>
              </w:rPr>
              <w:fldChar w:fldCharType="separate"/>
            </w:r>
            <w:r w:rsidR="00A76D9F">
              <w:rPr>
                <w:webHidden/>
              </w:rPr>
              <w:t>138</w:t>
            </w:r>
            <w:r>
              <w:rPr>
                <w:webHidden/>
              </w:rPr>
              <w:fldChar w:fldCharType="end"/>
            </w:r>
          </w:hyperlink>
        </w:p>
        <w:p w14:paraId="5797B872" w14:textId="27BC30E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30" w:history="1">
            <w:r w:rsidRPr="00E14024">
              <w:rPr>
                <w:rStyle w:val="Hiperpovezava"/>
              </w:rPr>
              <w:t>4.5.1.2.2</w:t>
            </w:r>
            <w:r>
              <w:rPr>
                <w:rFonts w:asciiTheme="minorHAnsi" w:eastAsiaTheme="minorEastAsia" w:hAnsiTheme="minorHAnsi" w:cstheme="minorBidi"/>
                <w:kern w:val="2"/>
                <w:sz w:val="24"/>
                <w:szCs w:val="24"/>
                <w:lang w:eastAsia="sl-SI"/>
                <w14:ligatures w14:val="standardContextual"/>
              </w:rPr>
              <w:tab/>
            </w:r>
            <w:r w:rsidRPr="00E14024">
              <w:rPr>
                <w:rStyle w:val="Hiperpovezava"/>
              </w:rPr>
              <w:t>Medijsko izpostavljene teme v letu 2025</w:t>
            </w:r>
            <w:r>
              <w:rPr>
                <w:webHidden/>
              </w:rPr>
              <w:tab/>
            </w:r>
            <w:r>
              <w:rPr>
                <w:webHidden/>
              </w:rPr>
              <w:fldChar w:fldCharType="begin"/>
            </w:r>
            <w:r>
              <w:rPr>
                <w:webHidden/>
              </w:rPr>
              <w:instrText xml:space="preserve"> PAGEREF _Toc223093830 \h </w:instrText>
            </w:r>
            <w:r>
              <w:rPr>
                <w:webHidden/>
              </w:rPr>
            </w:r>
            <w:r>
              <w:rPr>
                <w:webHidden/>
              </w:rPr>
              <w:fldChar w:fldCharType="separate"/>
            </w:r>
            <w:r w:rsidR="00A76D9F">
              <w:rPr>
                <w:webHidden/>
              </w:rPr>
              <w:t>138</w:t>
            </w:r>
            <w:r>
              <w:rPr>
                <w:webHidden/>
              </w:rPr>
              <w:fldChar w:fldCharType="end"/>
            </w:r>
          </w:hyperlink>
        </w:p>
        <w:p w14:paraId="728BD14A" w14:textId="0CD8ED9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31" w:history="1">
            <w:r w:rsidRPr="00E14024">
              <w:rPr>
                <w:rStyle w:val="Hiperpovezava"/>
              </w:rPr>
              <w:t>4.5.1.3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Intranet – k</w:t>
            </w:r>
            <w:r w:rsidRPr="00E14024">
              <w:rPr>
                <w:rStyle w:val="Hiperpovezava"/>
                <w:rFonts w:eastAsia="Aptos"/>
              </w:rPr>
              <w:t>ljučno informacijsko stičišče za učinkovito obveščanje zaposlenih na Državnem odvetništvu RS</w:t>
            </w:r>
            <w:r>
              <w:rPr>
                <w:webHidden/>
              </w:rPr>
              <w:tab/>
            </w:r>
            <w:r>
              <w:rPr>
                <w:webHidden/>
              </w:rPr>
              <w:fldChar w:fldCharType="begin"/>
            </w:r>
            <w:r>
              <w:rPr>
                <w:webHidden/>
              </w:rPr>
              <w:instrText xml:space="preserve"> PAGEREF _Toc223093831 \h </w:instrText>
            </w:r>
            <w:r>
              <w:rPr>
                <w:webHidden/>
              </w:rPr>
            </w:r>
            <w:r>
              <w:rPr>
                <w:webHidden/>
              </w:rPr>
              <w:fldChar w:fldCharType="separate"/>
            </w:r>
            <w:r w:rsidR="00A76D9F">
              <w:rPr>
                <w:webHidden/>
              </w:rPr>
              <w:t>139</w:t>
            </w:r>
            <w:r>
              <w:rPr>
                <w:webHidden/>
              </w:rPr>
              <w:fldChar w:fldCharType="end"/>
            </w:r>
          </w:hyperlink>
        </w:p>
        <w:p w14:paraId="78E908F4" w14:textId="606B73C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32" w:history="1">
            <w:r w:rsidRPr="00E14024">
              <w:rPr>
                <w:rStyle w:val="Hiperpovezava"/>
              </w:rPr>
              <w:t>4.5.1.4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Splet</w:t>
            </w:r>
            <w:r>
              <w:rPr>
                <w:webHidden/>
              </w:rPr>
              <w:tab/>
            </w:r>
            <w:r>
              <w:rPr>
                <w:webHidden/>
              </w:rPr>
              <w:fldChar w:fldCharType="begin"/>
            </w:r>
            <w:r>
              <w:rPr>
                <w:webHidden/>
              </w:rPr>
              <w:instrText xml:space="preserve"> PAGEREF _Toc223093832 \h </w:instrText>
            </w:r>
            <w:r>
              <w:rPr>
                <w:webHidden/>
              </w:rPr>
            </w:r>
            <w:r>
              <w:rPr>
                <w:webHidden/>
              </w:rPr>
              <w:fldChar w:fldCharType="separate"/>
            </w:r>
            <w:r w:rsidR="00A76D9F">
              <w:rPr>
                <w:webHidden/>
              </w:rPr>
              <w:t>139</w:t>
            </w:r>
            <w:r>
              <w:rPr>
                <w:webHidden/>
              </w:rPr>
              <w:fldChar w:fldCharType="end"/>
            </w:r>
          </w:hyperlink>
        </w:p>
        <w:p w14:paraId="1F096943" w14:textId="03C3289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33" w:history="1">
            <w:r w:rsidRPr="00E14024">
              <w:rPr>
                <w:rStyle w:val="Hiperpovezava"/>
              </w:rPr>
              <w:t>4.5.1.4.1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Spletna stran</w:t>
            </w:r>
            <w:r>
              <w:rPr>
                <w:webHidden/>
              </w:rPr>
              <w:tab/>
            </w:r>
            <w:r>
              <w:rPr>
                <w:webHidden/>
              </w:rPr>
              <w:fldChar w:fldCharType="begin"/>
            </w:r>
            <w:r>
              <w:rPr>
                <w:webHidden/>
              </w:rPr>
              <w:instrText xml:space="preserve"> PAGEREF _Toc223093833 \h </w:instrText>
            </w:r>
            <w:r>
              <w:rPr>
                <w:webHidden/>
              </w:rPr>
            </w:r>
            <w:r>
              <w:rPr>
                <w:webHidden/>
              </w:rPr>
              <w:fldChar w:fldCharType="separate"/>
            </w:r>
            <w:r w:rsidR="00A76D9F">
              <w:rPr>
                <w:webHidden/>
              </w:rPr>
              <w:t>139</w:t>
            </w:r>
            <w:r>
              <w:rPr>
                <w:webHidden/>
              </w:rPr>
              <w:fldChar w:fldCharType="end"/>
            </w:r>
          </w:hyperlink>
        </w:p>
        <w:p w14:paraId="4717E31D" w14:textId="15D33E6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34" w:history="1">
            <w:r w:rsidRPr="00E14024">
              <w:rPr>
                <w:rStyle w:val="Hiperpovezava"/>
              </w:rPr>
              <w:t>4.5.1.4.2</w:t>
            </w:r>
            <w:r>
              <w:rPr>
                <w:rFonts w:asciiTheme="minorHAnsi" w:eastAsiaTheme="minorEastAsia" w:hAnsiTheme="minorHAnsi" w:cstheme="minorBidi"/>
                <w:kern w:val="2"/>
                <w:sz w:val="24"/>
                <w:szCs w:val="24"/>
                <w:lang w:eastAsia="sl-SI"/>
                <w14:ligatures w14:val="standardContextual"/>
              </w:rPr>
              <w:tab/>
            </w:r>
            <w:r w:rsidRPr="00E14024">
              <w:rPr>
                <w:rStyle w:val="Hiperpovezava"/>
              </w:rPr>
              <w:t>Pojavnost na družbenih omrežjih</w:t>
            </w:r>
            <w:r>
              <w:rPr>
                <w:webHidden/>
              </w:rPr>
              <w:tab/>
            </w:r>
            <w:r>
              <w:rPr>
                <w:webHidden/>
              </w:rPr>
              <w:fldChar w:fldCharType="begin"/>
            </w:r>
            <w:r>
              <w:rPr>
                <w:webHidden/>
              </w:rPr>
              <w:instrText xml:space="preserve"> PAGEREF _Toc223093834 \h </w:instrText>
            </w:r>
            <w:r>
              <w:rPr>
                <w:webHidden/>
              </w:rPr>
            </w:r>
            <w:r>
              <w:rPr>
                <w:webHidden/>
              </w:rPr>
              <w:fldChar w:fldCharType="separate"/>
            </w:r>
            <w:r w:rsidR="00A76D9F">
              <w:rPr>
                <w:webHidden/>
              </w:rPr>
              <w:t>140</w:t>
            </w:r>
            <w:r>
              <w:rPr>
                <w:webHidden/>
              </w:rPr>
              <w:fldChar w:fldCharType="end"/>
            </w:r>
          </w:hyperlink>
        </w:p>
        <w:p w14:paraId="7A70BD14" w14:textId="2A498B2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35" w:history="1">
            <w:r w:rsidRPr="00E14024">
              <w:rPr>
                <w:rStyle w:val="Hiperpovezava"/>
              </w:rPr>
              <w:t>4.5.1.5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Prenova celostne grafične podobe</w:t>
            </w:r>
            <w:r>
              <w:rPr>
                <w:webHidden/>
              </w:rPr>
              <w:tab/>
            </w:r>
            <w:r>
              <w:rPr>
                <w:webHidden/>
              </w:rPr>
              <w:fldChar w:fldCharType="begin"/>
            </w:r>
            <w:r>
              <w:rPr>
                <w:webHidden/>
              </w:rPr>
              <w:instrText xml:space="preserve"> PAGEREF _Toc223093835 \h </w:instrText>
            </w:r>
            <w:r>
              <w:rPr>
                <w:webHidden/>
              </w:rPr>
            </w:r>
            <w:r>
              <w:rPr>
                <w:webHidden/>
              </w:rPr>
              <w:fldChar w:fldCharType="separate"/>
            </w:r>
            <w:r w:rsidR="00A76D9F">
              <w:rPr>
                <w:webHidden/>
              </w:rPr>
              <w:t>140</w:t>
            </w:r>
            <w:r>
              <w:rPr>
                <w:webHidden/>
              </w:rPr>
              <w:fldChar w:fldCharType="end"/>
            </w:r>
          </w:hyperlink>
        </w:p>
        <w:p w14:paraId="52129789" w14:textId="1058848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36" w:history="1">
            <w:r w:rsidRPr="00E14024">
              <w:rPr>
                <w:rStyle w:val="Hiperpovezava"/>
              </w:rPr>
              <w:t>4.5.1.6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Pogled naprej</w:t>
            </w:r>
            <w:r>
              <w:rPr>
                <w:webHidden/>
              </w:rPr>
              <w:tab/>
            </w:r>
            <w:r>
              <w:rPr>
                <w:webHidden/>
              </w:rPr>
              <w:fldChar w:fldCharType="begin"/>
            </w:r>
            <w:r>
              <w:rPr>
                <w:webHidden/>
              </w:rPr>
              <w:instrText xml:space="preserve"> PAGEREF _Toc223093836 \h </w:instrText>
            </w:r>
            <w:r>
              <w:rPr>
                <w:webHidden/>
              </w:rPr>
            </w:r>
            <w:r>
              <w:rPr>
                <w:webHidden/>
              </w:rPr>
              <w:fldChar w:fldCharType="separate"/>
            </w:r>
            <w:r w:rsidR="00A76D9F">
              <w:rPr>
                <w:webHidden/>
              </w:rPr>
              <w:t>140</w:t>
            </w:r>
            <w:r>
              <w:rPr>
                <w:webHidden/>
              </w:rPr>
              <w:fldChar w:fldCharType="end"/>
            </w:r>
          </w:hyperlink>
        </w:p>
        <w:p w14:paraId="2E4C3292" w14:textId="660237AF"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37" w:history="1">
            <w:r w:rsidRPr="00E14024">
              <w:rPr>
                <w:rStyle w:val="Hiperpovezava"/>
              </w:rPr>
              <w:t>4.5.2</w:t>
            </w:r>
            <w:r>
              <w:rPr>
                <w:rFonts w:asciiTheme="minorHAnsi" w:eastAsiaTheme="minorEastAsia" w:hAnsiTheme="minorHAnsi" w:cstheme="minorBidi"/>
                <w:kern w:val="2"/>
                <w:sz w:val="24"/>
                <w:szCs w:val="24"/>
                <w:lang w:eastAsia="sl-SI"/>
                <w14:ligatures w14:val="standardContextual"/>
              </w:rPr>
              <w:tab/>
            </w:r>
            <w:r w:rsidRPr="00E14024">
              <w:rPr>
                <w:rStyle w:val="Hiperpovezava"/>
              </w:rPr>
              <w:t>Srečanja, obiski, dogodki in druge dejavnosti Državnega odvetništva RS</w:t>
            </w:r>
            <w:r>
              <w:rPr>
                <w:webHidden/>
              </w:rPr>
              <w:tab/>
            </w:r>
            <w:r>
              <w:rPr>
                <w:webHidden/>
              </w:rPr>
              <w:fldChar w:fldCharType="begin"/>
            </w:r>
            <w:r>
              <w:rPr>
                <w:webHidden/>
              </w:rPr>
              <w:instrText xml:space="preserve"> PAGEREF _Toc223093837 \h </w:instrText>
            </w:r>
            <w:r>
              <w:rPr>
                <w:webHidden/>
              </w:rPr>
            </w:r>
            <w:r>
              <w:rPr>
                <w:webHidden/>
              </w:rPr>
              <w:fldChar w:fldCharType="separate"/>
            </w:r>
            <w:r w:rsidR="00A76D9F">
              <w:rPr>
                <w:webHidden/>
              </w:rPr>
              <w:t>140</w:t>
            </w:r>
            <w:r>
              <w:rPr>
                <w:webHidden/>
              </w:rPr>
              <w:fldChar w:fldCharType="end"/>
            </w:r>
          </w:hyperlink>
        </w:p>
        <w:p w14:paraId="3C3CCFAD" w14:textId="0B196BE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38" w:history="1">
            <w:r w:rsidRPr="00E14024">
              <w:rPr>
                <w:rStyle w:val="Hiperpovezava"/>
              </w:rPr>
              <w:t>4.5.2.1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_Toc223093838 \h </w:instrText>
            </w:r>
            <w:r>
              <w:rPr>
                <w:webHidden/>
              </w:rPr>
            </w:r>
            <w:r>
              <w:rPr>
                <w:webHidden/>
              </w:rPr>
              <w:fldChar w:fldCharType="separate"/>
            </w:r>
            <w:r w:rsidR="00A76D9F">
              <w:rPr>
                <w:webHidden/>
              </w:rPr>
              <w:t>140</w:t>
            </w:r>
            <w:r>
              <w:rPr>
                <w:webHidden/>
              </w:rPr>
              <w:fldChar w:fldCharType="end"/>
            </w:r>
          </w:hyperlink>
        </w:p>
        <w:p w14:paraId="03F7E203" w14:textId="6D2AA31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39" w:history="1">
            <w:r w:rsidRPr="00E14024">
              <w:rPr>
                <w:rStyle w:val="Hiperpovezava"/>
              </w:rPr>
              <w:t>4.5.2.2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Srečanja, obiski, konference, seje, forumi, posveti in okrogle mize</w:t>
            </w:r>
            <w:r>
              <w:rPr>
                <w:webHidden/>
              </w:rPr>
              <w:tab/>
            </w:r>
            <w:r>
              <w:rPr>
                <w:webHidden/>
              </w:rPr>
              <w:fldChar w:fldCharType="begin"/>
            </w:r>
            <w:r>
              <w:rPr>
                <w:webHidden/>
              </w:rPr>
              <w:instrText xml:space="preserve"> PAGEREF _Toc223093839 \h </w:instrText>
            </w:r>
            <w:r>
              <w:rPr>
                <w:webHidden/>
              </w:rPr>
            </w:r>
            <w:r>
              <w:rPr>
                <w:webHidden/>
              </w:rPr>
              <w:fldChar w:fldCharType="separate"/>
            </w:r>
            <w:r w:rsidR="00A76D9F">
              <w:rPr>
                <w:webHidden/>
              </w:rPr>
              <w:t>140</w:t>
            </w:r>
            <w:r>
              <w:rPr>
                <w:webHidden/>
              </w:rPr>
              <w:fldChar w:fldCharType="end"/>
            </w:r>
          </w:hyperlink>
        </w:p>
        <w:p w14:paraId="57A64F7A" w14:textId="52374D5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0" w:history="1">
            <w:r w:rsidRPr="00E14024">
              <w:rPr>
                <w:rStyle w:val="Hiperpovezava"/>
              </w:rPr>
              <w:t>4.5.2.2.1</w:t>
            </w:r>
            <w:r>
              <w:rPr>
                <w:rFonts w:asciiTheme="minorHAnsi" w:eastAsiaTheme="minorEastAsia" w:hAnsiTheme="minorHAnsi" w:cstheme="minorBidi"/>
                <w:kern w:val="2"/>
                <w:sz w:val="24"/>
                <w:szCs w:val="24"/>
                <w:lang w:eastAsia="sl-SI"/>
                <w14:ligatures w14:val="standardContextual"/>
              </w:rPr>
              <w:tab/>
            </w:r>
            <w:r w:rsidRPr="00E14024">
              <w:rPr>
                <w:rStyle w:val="Hiperpovezava"/>
              </w:rPr>
              <w:t>Srečanje z zamejskimi odvetniki (24. januar 2025)</w:t>
            </w:r>
            <w:r>
              <w:rPr>
                <w:webHidden/>
              </w:rPr>
              <w:tab/>
            </w:r>
            <w:r>
              <w:rPr>
                <w:webHidden/>
              </w:rPr>
              <w:fldChar w:fldCharType="begin"/>
            </w:r>
            <w:r>
              <w:rPr>
                <w:webHidden/>
              </w:rPr>
              <w:instrText xml:space="preserve"> PAGEREF _Toc223093840 \h </w:instrText>
            </w:r>
            <w:r>
              <w:rPr>
                <w:webHidden/>
              </w:rPr>
            </w:r>
            <w:r>
              <w:rPr>
                <w:webHidden/>
              </w:rPr>
              <w:fldChar w:fldCharType="separate"/>
            </w:r>
            <w:r w:rsidR="00A76D9F">
              <w:rPr>
                <w:webHidden/>
              </w:rPr>
              <w:t>140</w:t>
            </w:r>
            <w:r>
              <w:rPr>
                <w:webHidden/>
              </w:rPr>
              <w:fldChar w:fldCharType="end"/>
            </w:r>
          </w:hyperlink>
        </w:p>
        <w:p w14:paraId="2243D29D" w14:textId="01898C01"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1" w:history="1">
            <w:r w:rsidRPr="00E14024">
              <w:rPr>
                <w:rStyle w:val="Hiperpovezava"/>
              </w:rPr>
              <w:t>4.5.2.2.2</w:t>
            </w:r>
            <w:r>
              <w:rPr>
                <w:rFonts w:asciiTheme="minorHAnsi" w:eastAsiaTheme="minorEastAsia" w:hAnsiTheme="minorHAnsi" w:cstheme="minorBidi"/>
                <w:kern w:val="2"/>
                <w:sz w:val="24"/>
                <w:szCs w:val="24"/>
                <w:lang w:eastAsia="sl-SI"/>
                <w14:ligatures w14:val="standardContextual"/>
              </w:rPr>
              <w:tab/>
            </w:r>
            <w:r w:rsidRPr="00E14024">
              <w:rPr>
                <w:rStyle w:val="Hiperpovezava"/>
              </w:rPr>
              <w:t>Otvoritev sodnega leta Evropskega sodišča za človekove pravice (31. januar 2025)</w:t>
            </w:r>
            <w:r>
              <w:rPr>
                <w:webHidden/>
              </w:rPr>
              <w:tab/>
            </w:r>
            <w:r>
              <w:rPr>
                <w:webHidden/>
              </w:rPr>
              <w:fldChar w:fldCharType="begin"/>
            </w:r>
            <w:r>
              <w:rPr>
                <w:webHidden/>
              </w:rPr>
              <w:instrText xml:space="preserve"> PAGEREF _Toc223093841 \h </w:instrText>
            </w:r>
            <w:r>
              <w:rPr>
                <w:webHidden/>
              </w:rPr>
            </w:r>
            <w:r>
              <w:rPr>
                <w:webHidden/>
              </w:rPr>
              <w:fldChar w:fldCharType="separate"/>
            </w:r>
            <w:r w:rsidR="00A76D9F">
              <w:rPr>
                <w:webHidden/>
              </w:rPr>
              <w:t>141</w:t>
            </w:r>
            <w:r>
              <w:rPr>
                <w:webHidden/>
              </w:rPr>
              <w:fldChar w:fldCharType="end"/>
            </w:r>
          </w:hyperlink>
        </w:p>
        <w:p w14:paraId="1EF39BF7" w14:textId="096F0D0E"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2" w:history="1">
            <w:r w:rsidRPr="00E14024">
              <w:rPr>
                <w:rStyle w:val="Hiperpovezava"/>
              </w:rPr>
              <w:t>4.5.2.2.3</w:t>
            </w:r>
            <w:r>
              <w:rPr>
                <w:rFonts w:asciiTheme="minorHAnsi" w:eastAsiaTheme="minorEastAsia" w:hAnsiTheme="minorHAnsi" w:cstheme="minorBidi"/>
                <w:kern w:val="2"/>
                <w:sz w:val="24"/>
                <w:szCs w:val="24"/>
                <w:lang w:eastAsia="sl-SI"/>
                <w14:ligatures w14:val="standardContextual"/>
              </w:rPr>
              <w:tab/>
            </w:r>
            <w:r w:rsidRPr="00E14024">
              <w:rPr>
                <w:rStyle w:val="Hiperpovezava"/>
              </w:rPr>
              <w:t>Otvoritev  sodnega leta 2025 na Vrhovnem sodišču RS (12. februar 2025)</w:t>
            </w:r>
            <w:r>
              <w:rPr>
                <w:webHidden/>
              </w:rPr>
              <w:tab/>
            </w:r>
            <w:r>
              <w:rPr>
                <w:webHidden/>
              </w:rPr>
              <w:fldChar w:fldCharType="begin"/>
            </w:r>
            <w:r>
              <w:rPr>
                <w:webHidden/>
              </w:rPr>
              <w:instrText xml:space="preserve"> PAGEREF _Toc223093842 \h </w:instrText>
            </w:r>
            <w:r>
              <w:rPr>
                <w:webHidden/>
              </w:rPr>
            </w:r>
            <w:r>
              <w:rPr>
                <w:webHidden/>
              </w:rPr>
              <w:fldChar w:fldCharType="separate"/>
            </w:r>
            <w:r w:rsidR="00A76D9F">
              <w:rPr>
                <w:webHidden/>
              </w:rPr>
              <w:t>141</w:t>
            </w:r>
            <w:r>
              <w:rPr>
                <w:webHidden/>
              </w:rPr>
              <w:fldChar w:fldCharType="end"/>
            </w:r>
          </w:hyperlink>
        </w:p>
        <w:p w14:paraId="02B31EC9" w14:textId="382BF73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3" w:history="1">
            <w:r w:rsidRPr="00E14024">
              <w:rPr>
                <w:rStyle w:val="Hiperpovezava"/>
              </w:rPr>
              <w:t>4.5.2.2.4</w:t>
            </w:r>
            <w:r>
              <w:rPr>
                <w:rFonts w:asciiTheme="minorHAnsi" w:eastAsiaTheme="minorEastAsia" w:hAnsiTheme="minorHAnsi" w:cstheme="minorBidi"/>
                <w:kern w:val="2"/>
                <w:sz w:val="24"/>
                <w:szCs w:val="24"/>
                <w:lang w:eastAsia="sl-SI"/>
                <w14:ligatures w14:val="standardContextual"/>
              </w:rPr>
              <w:tab/>
            </w:r>
            <w:r w:rsidRPr="00E14024">
              <w:rPr>
                <w:rStyle w:val="Hiperpovezava"/>
              </w:rPr>
              <w:t>Državno odvetništvo RS na informativnih dnevih na pravnih fakultetah (14. in 15. februar 2025)</w:t>
            </w:r>
            <w:r>
              <w:rPr>
                <w:webHidden/>
              </w:rPr>
              <w:tab/>
            </w:r>
            <w:r>
              <w:rPr>
                <w:webHidden/>
              </w:rPr>
              <w:fldChar w:fldCharType="begin"/>
            </w:r>
            <w:r>
              <w:rPr>
                <w:webHidden/>
              </w:rPr>
              <w:instrText xml:space="preserve"> PAGEREF _Toc223093843 \h </w:instrText>
            </w:r>
            <w:r>
              <w:rPr>
                <w:webHidden/>
              </w:rPr>
            </w:r>
            <w:r>
              <w:rPr>
                <w:webHidden/>
              </w:rPr>
              <w:fldChar w:fldCharType="separate"/>
            </w:r>
            <w:r w:rsidR="00A76D9F">
              <w:rPr>
                <w:webHidden/>
              </w:rPr>
              <w:t>141</w:t>
            </w:r>
            <w:r>
              <w:rPr>
                <w:webHidden/>
              </w:rPr>
              <w:fldChar w:fldCharType="end"/>
            </w:r>
          </w:hyperlink>
        </w:p>
        <w:p w14:paraId="2CB0C682" w14:textId="6BF305E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4" w:history="1">
            <w:r w:rsidRPr="00E14024">
              <w:rPr>
                <w:rStyle w:val="Hiperpovezava"/>
              </w:rPr>
              <w:t>4.5.2.2.5</w:t>
            </w:r>
            <w:r>
              <w:rPr>
                <w:rFonts w:asciiTheme="minorHAnsi" w:eastAsiaTheme="minorEastAsia" w:hAnsiTheme="minorHAnsi" w:cstheme="minorBidi"/>
                <w:kern w:val="2"/>
                <w:sz w:val="24"/>
                <w:szCs w:val="24"/>
                <w:lang w:eastAsia="sl-SI"/>
                <w14:ligatures w14:val="standardContextual"/>
              </w:rPr>
              <w:tab/>
            </w:r>
            <w:r w:rsidRPr="00E14024">
              <w:rPr>
                <w:rStyle w:val="Hiperpovezava"/>
              </w:rPr>
              <w:t>Dnevi Državnega odvetništva RS 2025 (12. in 13. maj 2025)</w:t>
            </w:r>
            <w:r>
              <w:rPr>
                <w:webHidden/>
              </w:rPr>
              <w:tab/>
            </w:r>
            <w:r>
              <w:rPr>
                <w:webHidden/>
              </w:rPr>
              <w:fldChar w:fldCharType="begin"/>
            </w:r>
            <w:r>
              <w:rPr>
                <w:webHidden/>
              </w:rPr>
              <w:instrText xml:space="preserve"> PAGEREF _Toc223093844 \h </w:instrText>
            </w:r>
            <w:r>
              <w:rPr>
                <w:webHidden/>
              </w:rPr>
            </w:r>
            <w:r>
              <w:rPr>
                <w:webHidden/>
              </w:rPr>
              <w:fldChar w:fldCharType="separate"/>
            </w:r>
            <w:r w:rsidR="00A76D9F">
              <w:rPr>
                <w:webHidden/>
              </w:rPr>
              <w:t>142</w:t>
            </w:r>
            <w:r>
              <w:rPr>
                <w:webHidden/>
              </w:rPr>
              <w:fldChar w:fldCharType="end"/>
            </w:r>
          </w:hyperlink>
        </w:p>
        <w:p w14:paraId="14BC39A1" w14:textId="144C59B1"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5" w:history="1">
            <w:r w:rsidRPr="00E14024">
              <w:rPr>
                <w:rStyle w:val="Hiperpovezava"/>
              </w:rPr>
              <w:t>4.5.2.2.6</w:t>
            </w:r>
            <w:r>
              <w:rPr>
                <w:rFonts w:asciiTheme="minorHAnsi" w:eastAsiaTheme="minorEastAsia" w:hAnsiTheme="minorHAnsi" w:cstheme="minorBidi"/>
                <w:kern w:val="2"/>
                <w:sz w:val="24"/>
                <w:szCs w:val="24"/>
                <w:lang w:eastAsia="sl-SI"/>
                <w14:ligatures w14:val="standardContextual"/>
              </w:rPr>
              <w:tab/>
            </w:r>
            <w:r w:rsidRPr="00E14024">
              <w:rPr>
                <w:rStyle w:val="Hiperpovezava"/>
              </w:rPr>
              <w:t>Študijski obisk delegacije albanskega državnega odvetništva v Republiki Sloveniji (18., 19. in 20. junij 2025)</w:t>
            </w:r>
            <w:r>
              <w:rPr>
                <w:webHidden/>
              </w:rPr>
              <w:tab/>
            </w:r>
            <w:r>
              <w:rPr>
                <w:webHidden/>
              </w:rPr>
              <w:fldChar w:fldCharType="begin"/>
            </w:r>
            <w:r>
              <w:rPr>
                <w:webHidden/>
              </w:rPr>
              <w:instrText xml:space="preserve"> PAGEREF _Toc223093845 \h </w:instrText>
            </w:r>
            <w:r>
              <w:rPr>
                <w:webHidden/>
              </w:rPr>
            </w:r>
            <w:r>
              <w:rPr>
                <w:webHidden/>
              </w:rPr>
              <w:fldChar w:fldCharType="separate"/>
            </w:r>
            <w:r w:rsidR="00A76D9F">
              <w:rPr>
                <w:webHidden/>
              </w:rPr>
              <w:t>142</w:t>
            </w:r>
            <w:r>
              <w:rPr>
                <w:webHidden/>
              </w:rPr>
              <w:fldChar w:fldCharType="end"/>
            </w:r>
          </w:hyperlink>
        </w:p>
        <w:p w14:paraId="13FB9C26" w14:textId="00DD4A94"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6" w:history="1">
            <w:r w:rsidRPr="00E14024">
              <w:rPr>
                <w:rStyle w:val="Hiperpovezava"/>
              </w:rPr>
              <w:t>4.5.2.2.7</w:t>
            </w:r>
            <w:r>
              <w:rPr>
                <w:rFonts w:asciiTheme="minorHAnsi" w:eastAsiaTheme="minorEastAsia" w:hAnsiTheme="minorHAnsi" w:cstheme="minorBidi"/>
                <w:kern w:val="2"/>
                <w:sz w:val="24"/>
                <w:szCs w:val="24"/>
                <w:lang w:eastAsia="sl-SI"/>
                <w14:ligatures w14:val="standardContextual"/>
              </w:rPr>
              <w:tab/>
            </w:r>
            <w:r w:rsidRPr="00E14024">
              <w:rPr>
                <w:rStyle w:val="Hiperpovezava"/>
              </w:rPr>
              <w:t>Gostovanje tujih študentov v sodelovanju s Pravno fakulteto Univerze v Mariboru (9. september 2025)</w:t>
            </w:r>
            <w:r>
              <w:rPr>
                <w:webHidden/>
              </w:rPr>
              <w:tab/>
            </w:r>
            <w:r>
              <w:rPr>
                <w:webHidden/>
              </w:rPr>
              <w:fldChar w:fldCharType="begin"/>
            </w:r>
            <w:r>
              <w:rPr>
                <w:webHidden/>
              </w:rPr>
              <w:instrText xml:space="preserve"> PAGEREF _Toc223093846 \h </w:instrText>
            </w:r>
            <w:r>
              <w:rPr>
                <w:webHidden/>
              </w:rPr>
            </w:r>
            <w:r>
              <w:rPr>
                <w:webHidden/>
              </w:rPr>
              <w:fldChar w:fldCharType="separate"/>
            </w:r>
            <w:r w:rsidR="00A76D9F">
              <w:rPr>
                <w:webHidden/>
              </w:rPr>
              <w:t>142</w:t>
            </w:r>
            <w:r>
              <w:rPr>
                <w:webHidden/>
              </w:rPr>
              <w:fldChar w:fldCharType="end"/>
            </w:r>
          </w:hyperlink>
        </w:p>
        <w:p w14:paraId="36A21C4C" w14:textId="68B6C59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7" w:history="1">
            <w:r w:rsidRPr="00E14024">
              <w:rPr>
                <w:rStyle w:val="Hiperpovezava"/>
              </w:rPr>
              <w:t>4.5.2.2.8</w:t>
            </w:r>
            <w:r>
              <w:rPr>
                <w:rFonts w:asciiTheme="minorHAnsi" w:eastAsiaTheme="minorEastAsia" w:hAnsiTheme="minorHAnsi" w:cstheme="minorBidi"/>
                <w:kern w:val="2"/>
                <w:sz w:val="24"/>
                <w:szCs w:val="24"/>
                <w:lang w:eastAsia="sl-SI"/>
                <w14:ligatures w14:val="standardContextual"/>
              </w:rPr>
              <w:tab/>
            </w:r>
            <w:r w:rsidRPr="00E14024">
              <w:rPr>
                <w:rStyle w:val="Hiperpovezava"/>
              </w:rPr>
              <w:t>Sodelovanje v programu EJTN 2025 – sprejem tujih sodnikov in pravosodnega osebja (17. september 2025)</w:t>
            </w:r>
            <w:r>
              <w:rPr>
                <w:webHidden/>
              </w:rPr>
              <w:tab/>
            </w:r>
            <w:r>
              <w:rPr>
                <w:webHidden/>
              </w:rPr>
              <w:fldChar w:fldCharType="begin"/>
            </w:r>
            <w:r>
              <w:rPr>
                <w:webHidden/>
              </w:rPr>
              <w:instrText xml:space="preserve"> PAGEREF _Toc223093847 \h </w:instrText>
            </w:r>
            <w:r>
              <w:rPr>
                <w:webHidden/>
              </w:rPr>
            </w:r>
            <w:r>
              <w:rPr>
                <w:webHidden/>
              </w:rPr>
              <w:fldChar w:fldCharType="separate"/>
            </w:r>
            <w:r w:rsidR="00A76D9F">
              <w:rPr>
                <w:webHidden/>
              </w:rPr>
              <w:t>142</w:t>
            </w:r>
            <w:r>
              <w:rPr>
                <w:webHidden/>
              </w:rPr>
              <w:fldChar w:fldCharType="end"/>
            </w:r>
          </w:hyperlink>
        </w:p>
        <w:p w14:paraId="042455D2" w14:textId="05622D5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48" w:history="1">
            <w:r w:rsidRPr="00E14024">
              <w:rPr>
                <w:rStyle w:val="Hiperpovezava"/>
              </w:rPr>
              <w:t>4.5.2.2.9</w:t>
            </w:r>
            <w:r>
              <w:rPr>
                <w:rFonts w:asciiTheme="minorHAnsi" w:eastAsiaTheme="minorEastAsia" w:hAnsiTheme="minorHAnsi" w:cstheme="minorBidi"/>
                <w:kern w:val="2"/>
                <w:sz w:val="24"/>
                <w:szCs w:val="24"/>
                <w:lang w:eastAsia="sl-SI"/>
                <w14:ligatures w14:val="standardContextual"/>
              </w:rPr>
              <w:tab/>
            </w:r>
            <w:r w:rsidRPr="00E14024">
              <w:rPr>
                <w:rStyle w:val="Hiperpovezava"/>
              </w:rPr>
              <w:t>Dan pravosodja (4. november 2025)</w:t>
            </w:r>
            <w:r>
              <w:rPr>
                <w:webHidden/>
              </w:rPr>
              <w:tab/>
            </w:r>
            <w:r>
              <w:rPr>
                <w:webHidden/>
              </w:rPr>
              <w:fldChar w:fldCharType="begin"/>
            </w:r>
            <w:r>
              <w:rPr>
                <w:webHidden/>
              </w:rPr>
              <w:instrText xml:space="preserve"> PAGEREF _Toc223093848 \h </w:instrText>
            </w:r>
            <w:r>
              <w:rPr>
                <w:webHidden/>
              </w:rPr>
            </w:r>
            <w:r>
              <w:rPr>
                <w:webHidden/>
              </w:rPr>
              <w:fldChar w:fldCharType="separate"/>
            </w:r>
            <w:r w:rsidR="00A76D9F">
              <w:rPr>
                <w:webHidden/>
              </w:rPr>
              <w:t>142</w:t>
            </w:r>
            <w:r>
              <w:rPr>
                <w:webHidden/>
              </w:rPr>
              <w:fldChar w:fldCharType="end"/>
            </w:r>
          </w:hyperlink>
        </w:p>
        <w:p w14:paraId="00FD1456" w14:textId="6E7D9D9A"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3849" w:history="1">
            <w:r w:rsidRPr="00E14024">
              <w:rPr>
                <w:rStyle w:val="Hiperpovezava"/>
              </w:rPr>
              <w:t>4.5.2.2.10</w:t>
            </w:r>
            <w:r>
              <w:rPr>
                <w:rFonts w:asciiTheme="minorHAnsi" w:eastAsiaTheme="minorEastAsia" w:hAnsiTheme="minorHAnsi" w:cstheme="minorBidi"/>
                <w:kern w:val="2"/>
                <w:sz w:val="24"/>
                <w:szCs w:val="24"/>
                <w:lang w:eastAsia="sl-SI"/>
                <w14:ligatures w14:val="standardContextual"/>
              </w:rPr>
              <w:tab/>
            </w:r>
            <w:r w:rsidRPr="00E14024">
              <w:rPr>
                <w:rStyle w:val="Hiperpovezava"/>
              </w:rPr>
              <w:t>Šola Državnega odvetništva RS 2025 (13. in 14. november 2025)</w:t>
            </w:r>
            <w:r>
              <w:rPr>
                <w:webHidden/>
              </w:rPr>
              <w:tab/>
            </w:r>
            <w:r>
              <w:rPr>
                <w:webHidden/>
              </w:rPr>
              <w:fldChar w:fldCharType="begin"/>
            </w:r>
            <w:r>
              <w:rPr>
                <w:webHidden/>
              </w:rPr>
              <w:instrText xml:space="preserve"> PAGEREF _Toc223093849 \h </w:instrText>
            </w:r>
            <w:r>
              <w:rPr>
                <w:webHidden/>
              </w:rPr>
            </w:r>
            <w:r>
              <w:rPr>
                <w:webHidden/>
              </w:rPr>
              <w:fldChar w:fldCharType="separate"/>
            </w:r>
            <w:r w:rsidR="00A76D9F">
              <w:rPr>
                <w:webHidden/>
              </w:rPr>
              <w:t>143</w:t>
            </w:r>
            <w:r>
              <w:rPr>
                <w:webHidden/>
              </w:rPr>
              <w:fldChar w:fldCharType="end"/>
            </w:r>
          </w:hyperlink>
        </w:p>
        <w:p w14:paraId="0801DFD1" w14:textId="6E763D2D"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3850" w:history="1">
            <w:r w:rsidRPr="00E14024">
              <w:rPr>
                <w:rStyle w:val="Hiperpovezava"/>
              </w:rPr>
              <w:t>4.5.2.2.11</w:t>
            </w:r>
            <w:r>
              <w:rPr>
                <w:rFonts w:asciiTheme="minorHAnsi" w:eastAsiaTheme="minorEastAsia" w:hAnsiTheme="minorHAnsi" w:cstheme="minorBidi"/>
                <w:kern w:val="2"/>
                <w:sz w:val="24"/>
                <w:szCs w:val="24"/>
                <w:lang w:eastAsia="sl-SI"/>
                <w14:ligatures w14:val="standardContextual"/>
              </w:rPr>
              <w:tab/>
            </w:r>
            <w:r w:rsidRPr="00E14024">
              <w:rPr>
                <w:rStyle w:val="Hiperpovezava"/>
              </w:rPr>
              <w:t>Srečanje s predstavniki MORS (20. november 2025)</w:t>
            </w:r>
            <w:r>
              <w:rPr>
                <w:webHidden/>
              </w:rPr>
              <w:tab/>
            </w:r>
            <w:r>
              <w:rPr>
                <w:webHidden/>
              </w:rPr>
              <w:fldChar w:fldCharType="begin"/>
            </w:r>
            <w:r>
              <w:rPr>
                <w:webHidden/>
              </w:rPr>
              <w:instrText xml:space="preserve"> PAGEREF _Toc223093850 \h </w:instrText>
            </w:r>
            <w:r>
              <w:rPr>
                <w:webHidden/>
              </w:rPr>
            </w:r>
            <w:r>
              <w:rPr>
                <w:webHidden/>
              </w:rPr>
              <w:fldChar w:fldCharType="separate"/>
            </w:r>
            <w:r w:rsidR="00A76D9F">
              <w:rPr>
                <w:webHidden/>
              </w:rPr>
              <w:t>143</w:t>
            </w:r>
            <w:r>
              <w:rPr>
                <w:webHidden/>
              </w:rPr>
              <w:fldChar w:fldCharType="end"/>
            </w:r>
          </w:hyperlink>
        </w:p>
        <w:p w14:paraId="4AF40DB9" w14:textId="65DA1B24"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3851" w:history="1">
            <w:r w:rsidRPr="00E14024">
              <w:rPr>
                <w:rStyle w:val="Hiperpovezava"/>
              </w:rPr>
              <w:t>4.5.2.2.12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Strokovni obiski na Državnem odvetništvu Republike Hrvaške v okviru regionalne izmenjave – Bjelovar (27. in 28. oktober 2025), Pula (3. in 4. november 2025) in Sisak (27. in 28. november 2025)</w:t>
            </w:r>
            <w:r>
              <w:rPr>
                <w:webHidden/>
              </w:rPr>
              <w:tab/>
            </w:r>
            <w:r>
              <w:rPr>
                <w:webHidden/>
              </w:rPr>
              <w:fldChar w:fldCharType="begin"/>
            </w:r>
            <w:r>
              <w:rPr>
                <w:webHidden/>
              </w:rPr>
              <w:instrText xml:space="preserve"> PAGEREF _Toc223093851 \h </w:instrText>
            </w:r>
            <w:r>
              <w:rPr>
                <w:webHidden/>
              </w:rPr>
            </w:r>
            <w:r>
              <w:rPr>
                <w:webHidden/>
              </w:rPr>
              <w:fldChar w:fldCharType="separate"/>
            </w:r>
            <w:r w:rsidR="00A76D9F">
              <w:rPr>
                <w:webHidden/>
              </w:rPr>
              <w:t>143</w:t>
            </w:r>
            <w:r>
              <w:rPr>
                <w:webHidden/>
              </w:rPr>
              <w:fldChar w:fldCharType="end"/>
            </w:r>
          </w:hyperlink>
        </w:p>
        <w:p w14:paraId="0FBF4B6A" w14:textId="4C323F83"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3852" w:history="1">
            <w:r w:rsidRPr="00E14024">
              <w:rPr>
                <w:rStyle w:val="Hiperpovezava"/>
              </w:rPr>
              <w:t>4.5.2.2.13</w:t>
            </w:r>
            <w:r>
              <w:rPr>
                <w:rFonts w:asciiTheme="minorHAnsi" w:eastAsiaTheme="minorEastAsia" w:hAnsiTheme="minorHAnsi" w:cstheme="minorBidi"/>
                <w:kern w:val="2"/>
                <w:sz w:val="24"/>
                <w:szCs w:val="24"/>
                <w:lang w:eastAsia="sl-SI"/>
                <w14:ligatures w14:val="standardContextual"/>
              </w:rPr>
              <w:tab/>
            </w:r>
            <w:r w:rsidRPr="00E14024">
              <w:rPr>
                <w:rStyle w:val="Hiperpovezava"/>
              </w:rPr>
              <w:t>Sodelovanje na dogodku Karierni izzivi mladih pravnikov (8. december 2025)</w:t>
            </w:r>
            <w:r>
              <w:rPr>
                <w:webHidden/>
              </w:rPr>
              <w:tab/>
            </w:r>
            <w:r>
              <w:rPr>
                <w:webHidden/>
              </w:rPr>
              <w:fldChar w:fldCharType="begin"/>
            </w:r>
            <w:r>
              <w:rPr>
                <w:webHidden/>
              </w:rPr>
              <w:instrText xml:space="preserve"> PAGEREF _Toc223093852 \h </w:instrText>
            </w:r>
            <w:r>
              <w:rPr>
                <w:webHidden/>
              </w:rPr>
            </w:r>
            <w:r>
              <w:rPr>
                <w:webHidden/>
              </w:rPr>
              <w:fldChar w:fldCharType="separate"/>
            </w:r>
            <w:r w:rsidR="00A76D9F">
              <w:rPr>
                <w:webHidden/>
              </w:rPr>
              <w:t>143</w:t>
            </w:r>
            <w:r>
              <w:rPr>
                <w:webHidden/>
              </w:rPr>
              <w:fldChar w:fldCharType="end"/>
            </w:r>
          </w:hyperlink>
        </w:p>
        <w:p w14:paraId="38BCCB2B" w14:textId="36E89F33"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3853" w:history="1">
            <w:r w:rsidRPr="00E14024">
              <w:rPr>
                <w:rStyle w:val="Hiperpovezava"/>
              </w:rPr>
              <w:t>4.5.2.2.14</w:t>
            </w:r>
            <w:r>
              <w:rPr>
                <w:rFonts w:asciiTheme="minorHAnsi" w:eastAsiaTheme="minorEastAsia" w:hAnsiTheme="minorHAnsi" w:cstheme="minorBidi"/>
                <w:kern w:val="2"/>
                <w:sz w:val="24"/>
                <w:szCs w:val="24"/>
                <w:lang w:eastAsia="sl-SI"/>
                <w14:ligatures w14:val="standardContextual"/>
              </w:rPr>
              <w:tab/>
            </w:r>
            <w:r w:rsidRPr="00E14024">
              <w:rPr>
                <w:rStyle w:val="Hiperpovezava"/>
              </w:rPr>
              <w:t>Srečanje generalne državne odvetnice in ministrice za pravosodje (17. december 2025)</w:t>
            </w:r>
            <w:r>
              <w:rPr>
                <w:webHidden/>
              </w:rPr>
              <w:tab/>
            </w:r>
            <w:r>
              <w:rPr>
                <w:webHidden/>
              </w:rPr>
              <w:fldChar w:fldCharType="begin"/>
            </w:r>
            <w:r>
              <w:rPr>
                <w:webHidden/>
              </w:rPr>
              <w:instrText xml:space="preserve"> PAGEREF _Toc223093853 \h </w:instrText>
            </w:r>
            <w:r>
              <w:rPr>
                <w:webHidden/>
              </w:rPr>
            </w:r>
            <w:r>
              <w:rPr>
                <w:webHidden/>
              </w:rPr>
              <w:fldChar w:fldCharType="separate"/>
            </w:r>
            <w:r w:rsidR="00A76D9F">
              <w:rPr>
                <w:webHidden/>
              </w:rPr>
              <w:t>144</w:t>
            </w:r>
            <w:r>
              <w:rPr>
                <w:webHidden/>
              </w:rPr>
              <w:fldChar w:fldCharType="end"/>
            </w:r>
          </w:hyperlink>
        </w:p>
        <w:p w14:paraId="3DCB0A29" w14:textId="775F83C8"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3854" w:history="1">
            <w:r w:rsidRPr="00E14024">
              <w:rPr>
                <w:rStyle w:val="Hiperpovezava"/>
              </w:rPr>
              <w:t>4.5.2.2.15</w:t>
            </w:r>
            <w:r>
              <w:rPr>
                <w:rFonts w:asciiTheme="minorHAnsi" w:eastAsiaTheme="minorEastAsia" w:hAnsiTheme="minorHAnsi" w:cstheme="minorBidi"/>
                <w:kern w:val="2"/>
                <w:sz w:val="24"/>
                <w:szCs w:val="24"/>
                <w:lang w:eastAsia="sl-SI"/>
                <w14:ligatures w14:val="standardContextual"/>
              </w:rPr>
              <w:tab/>
            </w:r>
            <w:r w:rsidRPr="00E14024">
              <w:rPr>
                <w:rStyle w:val="Hiperpovezava"/>
              </w:rPr>
              <w:t>Udeležba na slavnostni seji Ustavnega sodišča Republike Slovenije (18. december 2025)</w:t>
            </w:r>
            <w:r>
              <w:rPr>
                <w:webHidden/>
              </w:rPr>
              <w:tab/>
            </w:r>
            <w:r>
              <w:rPr>
                <w:webHidden/>
              </w:rPr>
              <w:fldChar w:fldCharType="begin"/>
            </w:r>
            <w:r>
              <w:rPr>
                <w:webHidden/>
              </w:rPr>
              <w:instrText xml:space="preserve"> PAGEREF _Toc223093854 \h </w:instrText>
            </w:r>
            <w:r>
              <w:rPr>
                <w:webHidden/>
              </w:rPr>
            </w:r>
            <w:r>
              <w:rPr>
                <w:webHidden/>
              </w:rPr>
              <w:fldChar w:fldCharType="separate"/>
            </w:r>
            <w:r w:rsidR="00A76D9F">
              <w:rPr>
                <w:webHidden/>
              </w:rPr>
              <w:t>144</w:t>
            </w:r>
            <w:r>
              <w:rPr>
                <w:webHidden/>
              </w:rPr>
              <w:fldChar w:fldCharType="end"/>
            </w:r>
          </w:hyperlink>
        </w:p>
        <w:p w14:paraId="3151A30F" w14:textId="560C742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55" w:history="1">
            <w:r w:rsidRPr="00E14024">
              <w:rPr>
                <w:rStyle w:val="Hiperpovezava"/>
              </w:rPr>
              <w:t>4.5.3</w:t>
            </w:r>
            <w:r>
              <w:rPr>
                <w:rFonts w:asciiTheme="minorHAnsi" w:eastAsiaTheme="minorEastAsia" w:hAnsiTheme="minorHAnsi" w:cstheme="minorBidi"/>
                <w:kern w:val="2"/>
                <w:sz w:val="24"/>
                <w:szCs w:val="24"/>
                <w:lang w:eastAsia="sl-SI"/>
                <w14:ligatures w14:val="standardContextual"/>
              </w:rPr>
              <w:tab/>
            </w:r>
            <w:r w:rsidRPr="00E14024">
              <w:rPr>
                <w:rStyle w:val="Hiperpovezava"/>
              </w:rPr>
              <w:t>Sodelovanje zunanjih strokovnjakov in tujih odvetnikov</w:t>
            </w:r>
            <w:r>
              <w:rPr>
                <w:webHidden/>
              </w:rPr>
              <w:tab/>
            </w:r>
            <w:r>
              <w:rPr>
                <w:webHidden/>
              </w:rPr>
              <w:fldChar w:fldCharType="begin"/>
            </w:r>
            <w:r>
              <w:rPr>
                <w:webHidden/>
              </w:rPr>
              <w:instrText xml:space="preserve"> PAGEREF _Toc223093855 \h </w:instrText>
            </w:r>
            <w:r>
              <w:rPr>
                <w:webHidden/>
              </w:rPr>
            </w:r>
            <w:r>
              <w:rPr>
                <w:webHidden/>
              </w:rPr>
              <w:fldChar w:fldCharType="separate"/>
            </w:r>
            <w:r w:rsidR="00A76D9F">
              <w:rPr>
                <w:webHidden/>
              </w:rPr>
              <w:t>145</w:t>
            </w:r>
            <w:r>
              <w:rPr>
                <w:webHidden/>
              </w:rPr>
              <w:fldChar w:fldCharType="end"/>
            </w:r>
          </w:hyperlink>
        </w:p>
        <w:p w14:paraId="23E939F6" w14:textId="6866022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56" w:history="1">
            <w:r w:rsidRPr="00E14024">
              <w:rPr>
                <w:rStyle w:val="Hiperpovezava"/>
              </w:rPr>
              <w:t>4.5.3.1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Sodelovanje zunanjih strokovnjakov</w:t>
            </w:r>
            <w:r>
              <w:rPr>
                <w:webHidden/>
              </w:rPr>
              <w:tab/>
            </w:r>
            <w:r>
              <w:rPr>
                <w:webHidden/>
              </w:rPr>
              <w:fldChar w:fldCharType="begin"/>
            </w:r>
            <w:r>
              <w:rPr>
                <w:webHidden/>
              </w:rPr>
              <w:instrText xml:space="preserve"> PAGEREF _Toc223093856 \h </w:instrText>
            </w:r>
            <w:r>
              <w:rPr>
                <w:webHidden/>
              </w:rPr>
            </w:r>
            <w:r>
              <w:rPr>
                <w:webHidden/>
              </w:rPr>
              <w:fldChar w:fldCharType="separate"/>
            </w:r>
            <w:r w:rsidR="00A76D9F">
              <w:rPr>
                <w:webHidden/>
              </w:rPr>
              <w:t>145</w:t>
            </w:r>
            <w:r>
              <w:rPr>
                <w:webHidden/>
              </w:rPr>
              <w:fldChar w:fldCharType="end"/>
            </w:r>
          </w:hyperlink>
        </w:p>
        <w:p w14:paraId="45615F18" w14:textId="172FCAE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57" w:history="1">
            <w:r w:rsidRPr="00E14024">
              <w:rPr>
                <w:rStyle w:val="Hiperpovezava"/>
              </w:rPr>
              <w:t>4.5.3.2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Vključitev druge strokovno usposobljene domače ali tuje pravne ali fizične osebe</w:t>
            </w:r>
            <w:r>
              <w:rPr>
                <w:webHidden/>
              </w:rPr>
              <w:tab/>
            </w:r>
            <w:r>
              <w:rPr>
                <w:webHidden/>
              </w:rPr>
              <w:fldChar w:fldCharType="begin"/>
            </w:r>
            <w:r>
              <w:rPr>
                <w:webHidden/>
              </w:rPr>
              <w:instrText xml:space="preserve"> PAGEREF _Toc223093857 \h </w:instrText>
            </w:r>
            <w:r>
              <w:rPr>
                <w:webHidden/>
              </w:rPr>
            </w:r>
            <w:r>
              <w:rPr>
                <w:webHidden/>
              </w:rPr>
              <w:fldChar w:fldCharType="separate"/>
            </w:r>
            <w:r w:rsidR="00A76D9F">
              <w:rPr>
                <w:webHidden/>
              </w:rPr>
              <w:t>145</w:t>
            </w:r>
            <w:r>
              <w:rPr>
                <w:webHidden/>
              </w:rPr>
              <w:fldChar w:fldCharType="end"/>
            </w:r>
          </w:hyperlink>
        </w:p>
        <w:p w14:paraId="4389F58F" w14:textId="0AFB338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58" w:history="1">
            <w:r w:rsidRPr="00E14024">
              <w:rPr>
                <w:rStyle w:val="Hiperpovezava"/>
              </w:rPr>
              <w:t>4.5.4</w:t>
            </w:r>
            <w:r>
              <w:rPr>
                <w:rFonts w:asciiTheme="minorHAnsi" w:eastAsiaTheme="minorEastAsia" w:hAnsiTheme="minorHAnsi" w:cstheme="minorBidi"/>
                <w:kern w:val="2"/>
                <w:sz w:val="24"/>
                <w:szCs w:val="24"/>
                <w:lang w:eastAsia="sl-SI"/>
                <w14:ligatures w14:val="standardContextual"/>
              </w:rPr>
              <w:tab/>
            </w:r>
            <w:r w:rsidRPr="00E14024">
              <w:rPr>
                <w:rStyle w:val="Hiperpovezava"/>
              </w:rPr>
              <w:t>Informacije javnega značaja</w:t>
            </w:r>
            <w:r>
              <w:rPr>
                <w:webHidden/>
              </w:rPr>
              <w:tab/>
            </w:r>
            <w:r>
              <w:rPr>
                <w:webHidden/>
              </w:rPr>
              <w:fldChar w:fldCharType="begin"/>
            </w:r>
            <w:r>
              <w:rPr>
                <w:webHidden/>
              </w:rPr>
              <w:instrText xml:space="preserve"> PAGEREF _Toc223093858 \h </w:instrText>
            </w:r>
            <w:r>
              <w:rPr>
                <w:webHidden/>
              </w:rPr>
            </w:r>
            <w:r>
              <w:rPr>
                <w:webHidden/>
              </w:rPr>
              <w:fldChar w:fldCharType="separate"/>
            </w:r>
            <w:r w:rsidR="00A76D9F">
              <w:rPr>
                <w:webHidden/>
              </w:rPr>
              <w:t>146</w:t>
            </w:r>
            <w:r>
              <w:rPr>
                <w:webHidden/>
              </w:rPr>
              <w:fldChar w:fldCharType="end"/>
            </w:r>
          </w:hyperlink>
        </w:p>
        <w:p w14:paraId="1E9E40A0" w14:textId="06DDD04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59" w:history="1">
            <w:r w:rsidRPr="00E14024">
              <w:rPr>
                <w:rStyle w:val="Hiperpovezava"/>
              </w:rPr>
              <w:t>4.5.5</w:t>
            </w:r>
            <w:r>
              <w:rPr>
                <w:rFonts w:asciiTheme="minorHAnsi" w:eastAsiaTheme="minorEastAsia" w:hAnsiTheme="minorHAnsi" w:cstheme="minorBidi"/>
                <w:kern w:val="2"/>
                <w:sz w:val="24"/>
                <w:szCs w:val="24"/>
                <w:lang w:eastAsia="sl-SI"/>
                <w14:ligatures w14:val="standardContextual"/>
              </w:rPr>
              <w:tab/>
            </w:r>
            <w:r w:rsidRPr="00E14024">
              <w:rPr>
                <w:rStyle w:val="Hiperpovezava"/>
              </w:rPr>
              <w:t>Področje varstva osebnih podatkov</w:t>
            </w:r>
            <w:r>
              <w:rPr>
                <w:webHidden/>
              </w:rPr>
              <w:tab/>
            </w:r>
            <w:r>
              <w:rPr>
                <w:webHidden/>
              </w:rPr>
              <w:fldChar w:fldCharType="begin"/>
            </w:r>
            <w:r>
              <w:rPr>
                <w:webHidden/>
              </w:rPr>
              <w:instrText xml:space="preserve"> PAGEREF _Toc223093859 \h </w:instrText>
            </w:r>
            <w:r>
              <w:rPr>
                <w:webHidden/>
              </w:rPr>
            </w:r>
            <w:r>
              <w:rPr>
                <w:webHidden/>
              </w:rPr>
              <w:fldChar w:fldCharType="separate"/>
            </w:r>
            <w:r w:rsidR="00A76D9F">
              <w:rPr>
                <w:webHidden/>
              </w:rPr>
              <w:t>147</w:t>
            </w:r>
            <w:r>
              <w:rPr>
                <w:webHidden/>
              </w:rPr>
              <w:fldChar w:fldCharType="end"/>
            </w:r>
          </w:hyperlink>
        </w:p>
        <w:p w14:paraId="3821ED27" w14:textId="3EF50218"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60" w:history="1">
            <w:r w:rsidRPr="00E14024">
              <w:rPr>
                <w:rStyle w:val="Hiperpovezava"/>
              </w:rPr>
              <w:t>4.5.6</w:t>
            </w:r>
            <w:r>
              <w:rPr>
                <w:rFonts w:asciiTheme="minorHAnsi" w:eastAsiaTheme="minorEastAsia" w:hAnsiTheme="minorHAnsi" w:cstheme="minorBidi"/>
                <w:kern w:val="2"/>
                <w:sz w:val="24"/>
                <w:szCs w:val="24"/>
                <w:lang w:eastAsia="sl-SI"/>
                <w14:ligatures w14:val="standardContextual"/>
              </w:rPr>
              <w:tab/>
            </w:r>
            <w:r w:rsidRPr="00E14024">
              <w:rPr>
                <w:rStyle w:val="Hiperpovezava"/>
              </w:rPr>
              <w:t>Področje ravnanja in varovanja tajnih podatkov</w:t>
            </w:r>
            <w:r>
              <w:rPr>
                <w:webHidden/>
              </w:rPr>
              <w:tab/>
            </w:r>
            <w:r>
              <w:rPr>
                <w:webHidden/>
              </w:rPr>
              <w:fldChar w:fldCharType="begin"/>
            </w:r>
            <w:r>
              <w:rPr>
                <w:webHidden/>
              </w:rPr>
              <w:instrText xml:space="preserve"> PAGEREF _Toc223093860 \h </w:instrText>
            </w:r>
            <w:r>
              <w:rPr>
                <w:webHidden/>
              </w:rPr>
            </w:r>
            <w:r>
              <w:rPr>
                <w:webHidden/>
              </w:rPr>
              <w:fldChar w:fldCharType="separate"/>
            </w:r>
            <w:r w:rsidR="00A76D9F">
              <w:rPr>
                <w:webHidden/>
              </w:rPr>
              <w:t>148</w:t>
            </w:r>
            <w:r>
              <w:rPr>
                <w:webHidden/>
              </w:rPr>
              <w:fldChar w:fldCharType="end"/>
            </w:r>
          </w:hyperlink>
        </w:p>
        <w:p w14:paraId="0893BF66" w14:textId="2F5EE17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61" w:history="1">
            <w:r w:rsidRPr="00E14024">
              <w:rPr>
                <w:rStyle w:val="Hiperpovezava"/>
                <w:lang w:eastAsia="sl-SI"/>
              </w:rPr>
              <w:t>4.5.7</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Standardi profesionalne etike državnih odvetnikov</w:t>
            </w:r>
            <w:r>
              <w:rPr>
                <w:webHidden/>
              </w:rPr>
              <w:tab/>
            </w:r>
            <w:r>
              <w:rPr>
                <w:webHidden/>
              </w:rPr>
              <w:fldChar w:fldCharType="begin"/>
            </w:r>
            <w:r>
              <w:rPr>
                <w:webHidden/>
              </w:rPr>
              <w:instrText xml:space="preserve"> PAGEREF _Toc223093861 \h </w:instrText>
            </w:r>
            <w:r>
              <w:rPr>
                <w:webHidden/>
              </w:rPr>
            </w:r>
            <w:r>
              <w:rPr>
                <w:webHidden/>
              </w:rPr>
              <w:fldChar w:fldCharType="separate"/>
            </w:r>
            <w:r w:rsidR="00A76D9F">
              <w:rPr>
                <w:webHidden/>
              </w:rPr>
              <w:t>149</w:t>
            </w:r>
            <w:r>
              <w:rPr>
                <w:webHidden/>
              </w:rPr>
              <w:fldChar w:fldCharType="end"/>
            </w:r>
          </w:hyperlink>
        </w:p>
        <w:p w14:paraId="27225172" w14:textId="7C46B944"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62" w:history="1">
            <w:r w:rsidRPr="00E14024">
              <w:rPr>
                <w:rStyle w:val="Hiperpovezava"/>
                <w:lang w:eastAsia="sl-SI"/>
              </w:rPr>
              <w:t>4.5.8</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Skrb za okolje</w:t>
            </w:r>
            <w:r>
              <w:rPr>
                <w:webHidden/>
              </w:rPr>
              <w:tab/>
            </w:r>
            <w:r>
              <w:rPr>
                <w:webHidden/>
              </w:rPr>
              <w:fldChar w:fldCharType="begin"/>
            </w:r>
            <w:r>
              <w:rPr>
                <w:webHidden/>
              </w:rPr>
              <w:instrText xml:space="preserve"> PAGEREF _Toc223093862 \h </w:instrText>
            </w:r>
            <w:r>
              <w:rPr>
                <w:webHidden/>
              </w:rPr>
            </w:r>
            <w:r>
              <w:rPr>
                <w:webHidden/>
              </w:rPr>
              <w:fldChar w:fldCharType="separate"/>
            </w:r>
            <w:r w:rsidR="00A76D9F">
              <w:rPr>
                <w:webHidden/>
              </w:rPr>
              <w:t>149</w:t>
            </w:r>
            <w:r>
              <w:rPr>
                <w:webHidden/>
              </w:rPr>
              <w:fldChar w:fldCharType="end"/>
            </w:r>
          </w:hyperlink>
        </w:p>
        <w:p w14:paraId="6A9B4E64" w14:textId="337C76C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63" w:history="1">
            <w:r w:rsidRPr="00E14024">
              <w:rPr>
                <w:rStyle w:val="Hiperpovezava"/>
              </w:rPr>
              <w:t>4.5.9</w:t>
            </w:r>
            <w:r>
              <w:rPr>
                <w:rFonts w:asciiTheme="minorHAnsi" w:eastAsiaTheme="minorEastAsia" w:hAnsiTheme="minorHAnsi" w:cstheme="minorBidi"/>
                <w:kern w:val="2"/>
                <w:sz w:val="24"/>
                <w:szCs w:val="24"/>
                <w:lang w:eastAsia="sl-SI"/>
                <w14:ligatures w14:val="standardContextual"/>
              </w:rPr>
              <w:tab/>
            </w:r>
            <w:r w:rsidRPr="00E14024">
              <w:rPr>
                <w:rStyle w:val="Hiperpovezava"/>
              </w:rPr>
              <w:t>Dejavnosti Državnega odvetništva RS na področju mednarodnega sodelovanja</w:t>
            </w:r>
            <w:r>
              <w:rPr>
                <w:webHidden/>
              </w:rPr>
              <w:tab/>
            </w:r>
            <w:r>
              <w:rPr>
                <w:webHidden/>
              </w:rPr>
              <w:fldChar w:fldCharType="begin"/>
            </w:r>
            <w:r>
              <w:rPr>
                <w:webHidden/>
              </w:rPr>
              <w:instrText xml:space="preserve"> PAGEREF _Toc223093863 \h </w:instrText>
            </w:r>
            <w:r>
              <w:rPr>
                <w:webHidden/>
              </w:rPr>
            </w:r>
            <w:r>
              <w:rPr>
                <w:webHidden/>
              </w:rPr>
              <w:fldChar w:fldCharType="separate"/>
            </w:r>
            <w:r w:rsidR="00A76D9F">
              <w:rPr>
                <w:webHidden/>
              </w:rPr>
              <w:t>150</w:t>
            </w:r>
            <w:r>
              <w:rPr>
                <w:webHidden/>
              </w:rPr>
              <w:fldChar w:fldCharType="end"/>
            </w:r>
          </w:hyperlink>
        </w:p>
        <w:p w14:paraId="631B3335" w14:textId="02B5646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64" w:history="1">
            <w:r w:rsidRPr="00E14024">
              <w:rPr>
                <w:rStyle w:val="Hiperpovezava"/>
              </w:rPr>
              <w:t>4.5.9.1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_Toc223093864 \h </w:instrText>
            </w:r>
            <w:r>
              <w:rPr>
                <w:webHidden/>
              </w:rPr>
            </w:r>
            <w:r>
              <w:rPr>
                <w:webHidden/>
              </w:rPr>
              <w:fldChar w:fldCharType="separate"/>
            </w:r>
            <w:r w:rsidR="00A76D9F">
              <w:rPr>
                <w:webHidden/>
              </w:rPr>
              <w:t>150</w:t>
            </w:r>
            <w:r>
              <w:rPr>
                <w:webHidden/>
              </w:rPr>
              <w:fldChar w:fldCharType="end"/>
            </w:r>
          </w:hyperlink>
        </w:p>
        <w:p w14:paraId="25887323" w14:textId="2A92BBD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65" w:history="1">
            <w:r w:rsidRPr="00E14024">
              <w:rPr>
                <w:rStyle w:val="Hiperpovezava"/>
              </w:rPr>
              <w:t>4.5.9.2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Srečanje z odvetniki iz zamejstva</w:t>
            </w:r>
            <w:r>
              <w:rPr>
                <w:webHidden/>
              </w:rPr>
              <w:tab/>
            </w:r>
            <w:r>
              <w:rPr>
                <w:webHidden/>
              </w:rPr>
              <w:fldChar w:fldCharType="begin"/>
            </w:r>
            <w:r>
              <w:rPr>
                <w:webHidden/>
              </w:rPr>
              <w:instrText xml:space="preserve"> PAGEREF _Toc223093865 \h </w:instrText>
            </w:r>
            <w:r>
              <w:rPr>
                <w:webHidden/>
              </w:rPr>
            </w:r>
            <w:r>
              <w:rPr>
                <w:webHidden/>
              </w:rPr>
              <w:fldChar w:fldCharType="separate"/>
            </w:r>
            <w:r w:rsidR="00A76D9F">
              <w:rPr>
                <w:webHidden/>
              </w:rPr>
              <w:t>150</w:t>
            </w:r>
            <w:r>
              <w:rPr>
                <w:webHidden/>
              </w:rPr>
              <w:fldChar w:fldCharType="end"/>
            </w:r>
          </w:hyperlink>
        </w:p>
        <w:p w14:paraId="7EB5DB5B" w14:textId="7BB4025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66" w:history="1">
            <w:r w:rsidRPr="00E14024">
              <w:rPr>
                <w:rStyle w:val="Hiperpovezava"/>
              </w:rPr>
              <w:t>4.5.9.3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Obisk delegacije albanskih državnih odvetnikov</w:t>
            </w:r>
            <w:r>
              <w:rPr>
                <w:webHidden/>
              </w:rPr>
              <w:tab/>
            </w:r>
            <w:r>
              <w:rPr>
                <w:webHidden/>
              </w:rPr>
              <w:fldChar w:fldCharType="begin"/>
            </w:r>
            <w:r>
              <w:rPr>
                <w:webHidden/>
              </w:rPr>
              <w:instrText xml:space="preserve"> PAGEREF _Toc223093866 \h </w:instrText>
            </w:r>
            <w:r>
              <w:rPr>
                <w:webHidden/>
              </w:rPr>
            </w:r>
            <w:r>
              <w:rPr>
                <w:webHidden/>
              </w:rPr>
              <w:fldChar w:fldCharType="separate"/>
            </w:r>
            <w:r w:rsidR="00A76D9F">
              <w:rPr>
                <w:webHidden/>
              </w:rPr>
              <w:t>151</w:t>
            </w:r>
            <w:r>
              <w:rPr>
                <w:webHidden/>
              </w:rPr>
              <w:fldChar w:fldCharType="end"/>
            </w:r>
          </w:hyperlink>
        </w:p>
        <w:p w14:paraId="21AD2381" w14:textId="7FCADE92" w:rsidR="000300A6" w:rsidRDefault="000300A6">
          <w:pPr>
            <w:pStyle w:val="Kazalovsebine4"/>
            <w:rPr>
              <w:rStyle w:val="Hiperpovezava"/>
            </w:rPr>
          </w:pPr>
          <w:hyperlink w:anchor="_Toc223093867" w:history="1">
            <w:r w:rsidRPr="00E14024">
              <w:rPr>
                <w:rStyle w:val="Hiperpovezava"/>
              </w:rPr>
              <w:t>4.5.9.4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Obisk Državnega odvetništva Republike Hrvaške</w:t>
            </w:r>
            <w:r>
              <w:rPr>
                <w:webHidden/>
              </w:rPr>
              <w:tab/>
            </w:r>
            <w:r>
              <w:rPr>
                <w:webHidden/>
              </w:rPr>
              <w:fldChar w:fldCharType="begin"/>
            </w:r>
            <w:r>
              <w:rPr>
                <w:webHidden/>
              </w:rPr>
              <w:instrText xml:space="preserve"> PAGEREF _Toc223093867 \h </w:instrText>
            </w:r>
            <w:r>
              <w:rPr>
                <w:webHidden/>
              </w:rPr>
            </w:r>
            <w:r>
              <w:rPr>
                <w:webHidden/>
              </w:rPr>
              <w:fldChar w:fldCharType="separate"/>
            </w:r>
            <w:r w:rsidR="00A76D9F">
              <w:rPr>
                <w:webHidden/>
              </w:rPr>
              <w:t>152</w:t>
            </w:r>
            <w:r>
              <w:rPr>
                <w:webHidden/>
              </w:rPr>
              <w:fldChar w:fldCharType="end"/>
            </w:r>
          </w:hyperlink>
        </w:p>
        <w:p w14:paraId="25A8BA54" w14:textId="614AD35F" w:rsidR="005F37AA" w:rsidRDefault="005F37AA" w:rsidP="005F37AA">
          <w:pPr>
            <w:pStyle w:val="Kazalovsebine1"/>
            <w:tabs>
              <w:tab w:val="left" w:pos="788"/>
            </w:tabs>
            <w:rPr>
              <w:rFonts w:asciiTheme="minorHAnsi" w:hAnsiTheme="minorHAnsi" w:cstheme="minorBidi"/>
              <w:noProof/>
              <w:kern w:val="2"/>
              <w:sz w:val="24"/>
              <w:szCs w:val="24"/>
              <w14:ligatures w14:val="standardContextual"/>
            </w:rPr>
          </w:pPr>
          <w:hyperlink w:anchor="_Toc223093868" w:history="1">
            <w:r>
              <w:rPr>
                <w:rStyle w:val="Hiperpovezava"/>
                <w:noProof/>
              </w:rPr>
              <w:t>II. POSEBNI STATISTIČNI DEL</w:t>
            </w:r>
            <w:r>
              <w:rPr>
                <w:noProof/>
                <w:webHidden/>
              </w:rPr>
              <w:tab/>
            </w:r>
            <w:r>
              <w:rPr>
                <w:noProof/>
                <w:webHidden/>
              </w:rPr>
              <w:fldChar w:fldCharType="begin"/>
            </w:r>
            <w:r>
              <w:rPr>
                <w:noProof/>
                <w:webHidden/>
              </w:rPr>
              <w:instrText xml:space="preserve"> PAGEREF _Toc223093868 \h </w:instrText>
            </w:r>
            <w:r>
              <w:rPr>
                <w:noProof/>
                <w:webHidden/>
              </w:rPr>
            </w:r>
            <w:r>
              <w:rPr>
                <w:noProof/>
                <w:webHidden/>
              </w:rPr>
              <w:fldChar w:fldCharType="separate"/>
            </w:r>
            <w:r w:rsidR="00A76D9F">
              <w:rPr>
                <w:noProof/>
                <w:webHidden/>
              </w:rPr>
              <w:t>153</w:t>
            </w:r>
            <w:r>
              <w:rPr>
                <w:noProof/>
                <w:webHidden/>
              </w:rPr>
              <w:fldChar w:fldCharType="end"/>
            </w:r>
          </w:hyperlink>
        </w:p>
        <w:p w14:paraId="0A37BFA4" w14:textId="09B300BD"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868" w:history="1">
            <w:r w:rsidRPr="00E14024">
              <w:rPr>
                <w:rStyle w:val="Hiperpovezava"/>
                <w:noProof/>
              </w:rPr>
              <w:t>1</w:t>
            </w:r>
            <w:r>
              <w:rPr>
                <w:rFonts w:asciiTheme="minorHAnsi" w:hAnsiTheme="minorHAnsi" w:cstheme="minorBidi"/>
                <w:noProof/>
                <w:kern w:val="2"/>
                <w:sz w:val="24"/>
                <w:szCs w:val="24"/>
                <w14:ligatures w14:val="standardContextual"/>
              </w:rPr>
              <w:tab/>
            </w:r>
            <w:r w:rsidRPr="00E14024">
              <w:rPr>
                <w:rStyle w:val="Hiperpovezava"/>
                <w:noProof/>
              </w:rPr>
              <w:t>PODATKI O GIBANJU ZADEV PO PODROČJIH IN PO ODDELKIH</w:t>
            </w:r>
            <w:r>
              <w:rPr>
                <w:noProof/>
                <w:webHidden/>
              </w:rPr>
              <w:tab/>
            </w:r>
            <w:r>
              <w:rPr>
                <w:noProof/>
                <w:webHidden/>
              </w:rPr>
              <w:fldChar w:fldCharType="begin"/>
            </w:r>
            <w:r>
              <w:rPr>
                <w:noProof/>
                <w:webHidden/>
              </w:rPr>
              <w:instrText xml:space="preserve"> PAGEREF _Toc223093868 \h </w:instrText>
            </w:r>
            <w:r>
              <w:rPr>
                <w:noProof/>
                <w:webHidden/>
              </w:rPr>
            </w:r>
            <w:r>
              <w:rPr>
                <w:noProof/>
                <w:webHidden/>
              </w:rPr>
              <w:fldChar w:fldCharType="separate"/>
            </w:r>
            <w:r w:rsidR="00A76D9F">
              <w:rPr>
                <w:noProof/>
                <w:webHidden/>
              </w:rPr>
              <w:t>153</w:t>
            </w:r>
            <w:r>
              <w:rPr>
                <w:noProof/>
                <w:webHidden/>
              </w:rPr>
              <w:fldChar w:fldCharType="end"/>
            </w:r>
          </w:hyperlink>
        </w:p>
        <w:p w14:paraId="17BFBDC3" w14:textId="557F11D7"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869" w:history="1">
            <w:r w:rsidRPr="00E14024">
              <w:rPr>
                <w:rStyle w:val="Hiperpovezava"/>
                <w:rFonts w:eastAsia="Times New Roman"/>
                <w:noProof/>
              </w:rPr>
              <w:t>2</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 xml:space="preserve">UDELEŽBA NA </w:t>
            </w:r>
            <w:r w:rsidRPr="00E14024">
              <w:rPr>
                <w:rStyle w:val="Hiperpovezava"/>
                <w:noProof/>
              </w:rPr>
              <w:t>NAROKIH</w:t>
            </w:r>
            <w:r>
              <w:rPr>
                <w:noProof/>
                <w:webHidden/>
              </w:rPr>
              <w:tab/>
            </w:r>
            <w:r>
              <w:rPr>
                <w:noProof/>
                <w:webHidden/>
              </w:rPr>
              <w:fldChar w:fldCharType="begin"/>
            </w:r>
            <w:r>
              <w:rPr>
                <w:noProof/>
                <w:webHidden/>
              </w:rPr>
              <w:instrText xml:space="preserve"> PAGEREF _Toc223093869 \h </w:instrText>
            </w:r>
            <w:r>
              <w:rPr>
                <w:noProof/>
                <w:webHidden/>
              </w:rPr>
            </w:r>
            <w:r>
              <w:rPr>
                <w:noProof/>
                <w:webHidden/>
              </w:rPr>
              <w:fldChar w:fldCharType="separate"/>
            </w:r>
            <w:r w:rsidR="00A76D9F">
              <w:rPr>
                <w:noProof/>
                <w:webHidden/>
              </w:rPr>
              <w:t>170</w:t>
            </w:r>
            <w:r>
              <w:rPr>
                <w:noProof/>
                <w:webHidden/>
              </w:rPr>
              <w:fldChar w:fldCharType="end"/>
            </w:r>
          </w:hyperlink>
        </w:p>
        <w:p w14:paraId="31DFAABF" w14:textId="4DAC15F4"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870" w:history="1">
            <w:r w:rsidRPr="00E14024">
              <w:rPr>
                <w:rStyle w:val="Hiperpovezava"/>
                <w:rFonts w:eastAsia="Times New Roman"/>
                <w:noProof/>
              </w:rPr>
              <w:t>3</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PROCESNA DEJANJA</w:t>
            </w:r>
            <w:r>
              <w:rPr>
                <w:noProof/>
                <w:webHidden/>
              </w:rPr>
              <w:tab/>
            </w:r>
            <w:r>
              <w:rPr>
                <w:noProof/>
                <w:webHidden/>
              </w:rPr>
              <w:fldChar w:fldCharType="begin"/>
            </w:r>
            <w:r>
              <w:rPr>
                <w:noProof/>
                <w:webHidden/>
              </w:rPr>
              <w:instrText xml:space="preserve"> PAGEREF _Toc223093870 \h </w:instrText>
            </w:r>
            <w:r>
              <w:rPr>
                <w:noProof/>
                <w:webHidden/>
              </w:rPr>
            </w:r>
            <w:r>
              <w:rPr>
                <w:noProof/>
                <w:webHidden/>
              </w:rPr>
              <w:fldChar w:fldCharType="separate"/>
            </w:r>
            <w:r w:rsidR="00A76D9F">
              <w:rPr>
                <w:noProof/>
                <w:webHidden/>
              </w:rPr>
              <w:t>171</w:t>
            </w:r>
            <w:r>
              <w:rPr>
                <w:noProof/>
                <w:webHidden/>
              </w:rPr>
              <w:fldChar w:fldCharType="end"/>
            </w:r>
          </w:hyperlink>
        </w:p>
        <w:p w14:paraId="6CA6311C" w14:textId="02DCB156"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871" w:history="1">
            <w:r w:rsidRPr="00E14024">
              <w:rPr>
                <w:rStyle w:val="Hiperpovezava"/>
                <w:rFonts w:eastAsia="Times New Roman"/>
                <w:noProof/>
              </w:rPr>
              <w:t>4</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PREDHODNI POSTOPKI</w:t>
            </w:r>
            <w:r>
              <w:rPr>
                <w:noProof/>
                <w:webHidden/>
              </w:rPr>
              <w:tab/>
            </w:r>
            <w:r>
              <w:rPr>
                <w:noProof/>
                <w:webHidden/>
              </w:rPr>
              <w:fldChar w:fldCharType="begin"/>
            </w:r>
            <w:r>
              <w:rPr>
                <w:noProof/>
                <w:webHidden/>
              </w:rPr>
              <w:instrText xml:space="preserve"> PAGEREF _Toc223093871 \h </w:instrText>
            </w:r>
            <w:r>
              <w:rPr>
                <w:noProof/>
                <w:webHidden/>
              </w:rPr>
            </w:r>
            <w:r>
              <w:rPr>
                <w:noProof/>
                <w:webHidden/>
              </w:rPr>
              <w:fldChar w:fldCharType="separate"/>
            </w:r>
            <w:r w:rsidR="00A76D9F">
              <w:rPr>
                <w:noProof/>
                <w:webHidden/>
              </w:rPr>
              <w:t>171</w:t>
            </w:r>
            <w:r>
              <w:rPr>
                <w:noProof/>
                <w:webHidden/>
              </w:rPr>
              <w:fldChar w:fldCharType="end"/>
            </w:r>
          </w:hyperlink>
        </w:p>
        <w:p w14:paraId="3EB6E334" w14:textId="7C3600D1"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872" w:history="1">
            <w:r w:rsidRPr="00E14024">
              <w:rPr>
                <w:rStyle w:val="Hiperpovezava"/>
                <w:rFonts w:eastAsia="Times New Roman"/>
                <w:noProof/>
              </w:rPr>
              <w:t>5</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ZASTOPANJE PRED SODIŠČI IN UPRAVNIMI ORGANI V REPUBLIKI SLOVENIJI, PRAVNO SVETOVANJE IN OBLIKOVANJE PRAVNIH MNENJ</w:t>
            </w:r>
            <w:r>
              <w:rPr>
                <w:noProof/>
                <w:webHidden/>
              </w:rPr>
              <w:tab/>
            </w:r>
            <w:r>
              <w:rPr>
                <w:noProof/>
                <w:webHidden/>
              </w:rPr>
              <w:fldChar w:fldCharType="begin"/>
            </w:r>
            <w:r>
              <w:rPr>
                <w:noProof/>
                <w:webHidden/>
              </w:rPr>
              <w:instrText xml:space="preserve"> PAGEREF _Toc223093872 \h </w:instrText>
            </w:r>
            <w:r>
              <w:rPr>
                <w:noProof/>
                <w:webHidden/>
              </w:rPr>
            </w:r>
            <w:r>
              <w:rPr>
                <w:noProof/>
                <w:webHidden/>
              </w:rPr>
              <w:fldChar w:fldCharType="separate"/>
            </w:r>
            <w:r w:rsidR="00A76D9F">
              <w:rPr>
                <w:noProof/>
                <w:webHidden/>
              </w:rPr>
              <w:t>173</w:t>
            </w:r>
            <w:r>
              <w:rPr>
                <w:noProof/>
                <w:webHidden/>
              </w:rPr>
              <w:fldChar w:fldCharType="end"/>
            </w:r>
          </w:hyperlink>
        </w:p>
        <w:p w14:paraId="09370841" w14:textId="72B20E40"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873" w:history="1">
            <w:r w:rsidRPr="00E14024">
              <w:rPr>
                <w:rStyle w:val="Hiperpovezava"/>
                <w:noProof/>
              </w:rPr>
              <w:t>5.1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Zastopanje pred sodišči in upravnimi organi v Republiki Sloveniji</w:t>
            </w:r>
            <w:r>
              <w:rPr>
                <w:noProof/>
                <w:webHidden/>
              </w:rPr>
              <w:tab/>
            </w:r>
            <w:r>
              <w:rPr>
                <w:noProof/>
                <w:webHidden/>
              </w:rPr>
              <w:fldChar w:fldCharType="begin"/>
            </w:r>
            <w:r>
              <w:rPr>
                <w:noProof/>
                <w:webHidden/>
              </w:rPr>
              <w:instrText xml:space="preserve"> PAGEREF _Toc223093873 \h </w:instrText>
            </w:r>
            <w:r>
              <w:rPr>
                <w:noProof/>
                <w:webHidden/>
              </w:rPr>
            </w:r>
            <w:r>
              <w:rPr>
                <w:noProof/>
                <w:webHidden/>
              </w:rPr>
              <w:fldChar w:fldCharType="separate"/>
            </w:r>
            <w:r w:rsidR="00A76D9F">
              <w:rPr>
                <w:noProof/>
                <w:webHidden/>
              </w:rPr>
              <w:t>173</w:t>
            </w:r>
            <w:r>
              <w:rPr>
                <w:noProof/>
                <w:webHidden/>
              </w:rPr>
              <w:fldChar w:fldCharType="end"/>
            </w:r>
          </w:hyperlink>
        </w:p>
        <w:p w14:paraId="1F44483C" w14:textId="3E92C77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74" w:history="1">
            <w:r w:rsidRPr="00E14024">
              <w:rPr>
                <w:rStyle w:val="Hiperpovezava"/>
              </w:rPr>
              <w:t>5.1.1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_Toc223093874 \h </w:instrText>
            </w:r>
            <w:r>
              <w:rPr>
                <w:webHidden/>
              </w:rPr>
            </w:r>
            <w:r>
              <w:rPr>
                <w:webHidden/>
              </w:rPr>
              <w:fldChar w:fldCharType="separate"/>
            </w:r>
            <w:r w:rsidR="00A76D9F">
              <w:rPr>
                <w:webHidden/>
              </w:rPr>
              <w:t>173</w:t>
            </w:r>
            <w:r>
              <w:rPr>
                <w:webHidden/>
              </w:rPr>
              <w:fldChar w:fldCharType="end"/>
            </w:r>
          </w:hyperlink>
        </w:p>
        <w:p w14:paraId="1993D621" w14:textId="07FCD91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75" w:history="1">
            <w:r w:rsidRPr="00E14024">
              <w:rPr>
                <w:rStyle w:val="Hiperpovezava"/>
              </w:rPr>
              <w:t>5.1.2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Prevzem zastopanja na podlagi tretjega odstavka 12. člena Zakona o državnem odvetništvu</w:t>
            </w:r>
            <w:r>
              <w:rPr>
                <w:webHidden/>
              </w:rPr>
              <w:tab/>
            </w:r>
            <w:r>
              <w:rPr>
                <w:webHidden/>
              </w:rPr>
              <w:fldChar w:fldCharType="begin"/>
            </w:r>
            <w:r>
              <w:rPr>
                <w:webHidden/>
              </w:rPr>
              <w:instrText xml:space="preserve"> PAGEREF _Toc223093875 \h </w:instrText>
            </w:r>
            <w:r>
              <w:rPr>
                <w:webHidden/>
              </w:rPr>
            </w:r>
            <w:r>
              <w:rPr>
                <w:webHidden/>
              </w:rPr>
              <w:fldChar w:fldCharType="separate"/>
            </w:r>
            <w:r w:rsidR="00A76D9F">
              <w:rPr>
                <w:webHidden/>
              </w:rPr>
              <w:t>174</w:t>
            </w:r>
            <w:r>
              <w:rPr>
                <w:webHidden/>
              </w:rPr>
              <w:fldChar w:fldCharType="end"/>
            </w:r>
          </w:hyperlink>
        </w:p>
        <w:p w14:paraId="578A6988" w14:textId="2578D45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76" w:history="1">
            <w:r w:rsidRPr="00E14024">
              <w:rPr>
                <w:rStyle w:val="Hiperpovezava"/>
              </w:rPr>
              <w:t>5.1.2.1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Presoja izjemnosti pomena</w:t>
            </w:r>
            <w:r>
              <w:rPr>
                <w:webHidden/>
              </w:rPr>
              <w:tab/>
            </w:r>
            <w:r>
              <w:rPr>
                <w:webHidden/>
              </w:rPr>
              <w:fldChar w:fldCharType="begin"/>
            </w:r>
            <w:r>
              <w:rPr>
                <w:webHidden/>
              </w:rPr>
              <w:instrText xml:space="preserve"> PAGEREF _Toc223093876 \h </w:instrText>
            </w:r>
            <w:r>
              <w:rPr>
                <w:webHidden/>
              </w:rPr>
            </w:r>
            <w:r>
              <w:rPr>
                <w:webHidden/>
              </w:rPr>
              <w:fldChar w:fldCharType="separate"/>
            </w:r>
            <w:r w:rsidR="00A76D9F">
              <w:rPr>
                <w:webHidden/>
              </w:rPr>
              <w:t>174</w:t>
            </w:r>
            <w:r>
              <w:rPr>
                <w:webHidden/>
              </w:rPr>
              <w:fldChar w:fldCharType="end"/>
            </w:r>
          </w:hyperlink>
        </w:p>
        <w:p w14:paraId="73FF736D" w14:textId="6FEE3AF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77" w:history="1">
            <w:r w:rsidRPr="00E14024">
              <w:rPr>
                <w:rStyle w:val="Hiperpovezava"/>
              </w:rPr>
              <w:t>5.1.2.2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Pregled odločitev glede prevzema zastopanja po tretjem odstavku 12. člena Zakona o državnem odvetništvu</w:t>
            </w:r>
            <w:r>
              <w:rPr>
                <w:webHidden/>
              </w:rPr>
              <w:tab/>
            </w:r>
            <w:r>
              <w:rPr>
                <w:webHidden/>
              </w:rPr>
              <w:fldChar w:fldCharType="begin"/>
            </w:r>
            <w:r>
              <w:rPr>
                <w:webHidden/>
              </w:rPr>
              <w:instrText xml:space="preserve"> PAGEREF _Toc223093877 \h </w:instrText>
            </w:r>
            <w:r>
              <w:rPr>
                <w:webHidden/>
              </w:rPr>
            </w:r>
            <w:r>
              <w:rPr>
                <w:webHidden/>
              </w:rPr>
              <w:fldChar w:fldCharType="separate"/>
            </w:r>
            <w:r w:rsidR="00A76D9F">
              <w:rPr>
                <w:webHidden/>
              </w:rPr>
              <w:t>175</w:t>
            </w:r>
            <w:r>
              <w:rPr>
                <w:webHidden/>
              </w:rPr>
              <w:fldChar w:fldCharType="end"/>
            </w:r>
          </w:hyperlink>
        </w:p>
        <w:p w14:paraId="29FC0174" w14:textId="1717F47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78" w:history="1">
            <w:r w:rsidRPr="00E14024">
              <w:rPr>
                <w:rStyle w:val="Hiperpovezava"/>
              </w:rPr>
              <w:t>5.1.2.2.1</w:t>
            </w:r>
            <w:r>
              <w:rPr>
                <w:rFonts w:asciiTheme="minorHAnsi" w:eastAsiaTheme="minorEastAsia" w:hAnsiTheme="minorHAnsi" w:cstheme="minorBidi"/>
                <w:kern w:val="2"/>
                <w:sz w:val="24"/>
                <w:szCs w:val="24"/>
                <w:lang w:eastAsia="sl-SI"/>
                <w14:ligatures w14:val="standardContextual"/>
              </w:rPr>
              <w:tab/>
            </w:r>
            <w:r w:rsidRPr="00E14024">
              <w:rPr>
                <w:rStyle w:val="Hiperpovezava"/>
              </w:rPr>
              <w:t>Odklonitev prevzema zastopanja</w:t>
            </w:r>
            <w:r>
              <w:rPr>
                <w:webHidden/>
              </w:rPr>
              <w:tab/>
            </w:r>
            <w:r>
              <w:rPr>
                <w:webHidden/>
              </w:rPr>
              <w:fldChar w:fldCharType="begin"/>
            </w:r>
            <w:r>
              <w:rPr>
                <w:webHidden/>
              </w:rPr>
              <w:instrText xml:space="preserve"> PAGEREF _Toc223093878 \h </w:instrText>
            </w:r>
            <w:r>
              <w:rPr>
                <w:webHidden/>
              </w:rPr>
            </w:r>
            <w:r>
              <w:rPr>
                <w:webHidden/>
              </w:rPr>
              <w:fldChar w:fldCharType="separate"/>
            </w:r>
            <w:r w:rsidR="00A76D9F">
              <w:rPr>
                <w:webHidden/>
              </w:rPr>
              <w:t>176</w:t>
            </w:r>
            <w:r>
              <w:rPr>
                <w:webHidden/>
              </w:rPr>
              <w:fldChar w:fldCharType="end"/>
            </w:r>
          </w:hyperlink>
        </w:p>
        <w:p w14:paraId="43D08580" w14:textId="4E9A951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79" w:history="1">
            <w:r w:rsidRPr="00E14024">
              <w:rPr>
                <w:rStyle w:val="Hiperpovezava"/>
              </w:rPr>
              <w:t>5.1.2.2.2</w:t>
            </w:r>
            <w:r>
              <w:rPr>
                <w:rFonts w:asciiTheme="minorHAnsi" w:eastAsiaTheme="minorEastAsia" w:hAnsiTheme="minorHAnsi" w:cstheme="minorBidi"/>
                <w:kern w:val="2"/>
                <w:sz w:val="24"/>
                <w:szCs w:val="24"/>
                <w:lang w:eastAsia="sl-SI"/>
                <w14:ligatures w14:val="standardContextual"/>
              </w:rPr>
              <w:tab/>
            </w:r>
            <w:r w:rsidRPr="00E14024">
              <w:rPr>
                <w:rStyle w:val="Hiperpovezava"/>
              </w:rPr>
              <w:t xml:space="preserve">Odločitev o hipotetičnem predlogu za </w:t>
            </w:r>
            <w:r w:rsidRPr="00E14024">
              <w:rPr>
                <w:rStyle w:val="Hiperpovezava"/>
                <w:shd w:val="clear" w:color="auto" w:fill="FFFFFF"/>
              </w:rPr>
              <w:t>prevzem zastopanja</w:t>
            </w:r>
            <w:r>
              <w:rPr>
                <w:webHidden/>
              </w:rPr>
              <w:tab/>
            </w:r>
            <w:r>
              <w:rPr>
                <w:webHidden/>
              </w:rPr>
              <w:fldChar w:fldCharType="begin"/>
            </w:r>
            <w:r>
              <w:rPr>
                <w:webHidden/>
              </w:rPr>
              <w:instrText xml:space="preserve"> PAGEREF _Toc223093879 \h </w:instrText>
            </w:r>
            <w:r>
              <w:rPr>
                <w:webHidden/>
              </w:rPr>
            </w:r>
            <w:r>
              <w:rPr>
                <w:webHidden/>
              </w:rPr>
              <w:fldChar w:fldCharType="separate"/>
            </w:r>
            <w:r w:rsidR="00A76D9F">
              <w:rPr>
                <w:webHidden/>
              </w:rPr>
              <w:t>176</w:t>
            </w:r>
            <w:r>
              <w:rPr>
                <w:webHidden/>
              </w:rPr>
              <w:fldChar w:fldCharType="end"/>
            </w:r>
          </w:hyperlink>
        </w:p>
        <w:p w14:paraId="319E487B" w14:textId="5BC7DE6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80" w:history="1">
            <w:r w:rsidRPr="00E14024">
              <w:rPr>
                <w:rStyle w:val="Hiperpovezava"/>
              </w:rPr>
              <w:t>5.1.2.2.3</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Predlog</w:t>
            </w:r>
            <w:r w:rsidRPr="00E14024">
              <w:rPr>
                <w:rStyle w:val="Hiperpovezava"/>
                <w:shd w:val="clear" w:color="auto" w:fill="FFFFFF"/>
              </w:rPr>
              <w:t xml:space="preserve"> za zastopanje, ki je bil naknadno umaknjen:</w:t>
            </w:r>
            <w:r>
              <w:rPr>
                <w:webHidden/>
              </w:rPr>
              <w:tab/>
            </w:r>
            <w:r>
              <w:rPr>
                <w:webHidden/>
              </w:rPr>
              <w:fldChar w:fldCharType="begin"/>
            </w:r>
            <w:r>
              <w:rPr>
                <w:webHidden/>
              </w:rPr>
              <w:instrText xml:space="preserve"> PAGEREF _Toc223093880 \h </w:instrText>
            </w:r>
            <w:r>
              <w:rPr>
                <w:webHidden/>
              </w:rPr>
            </w:r>
            <w:r>
              <w:rPr>
                <w:webHidden/>
              </w:rPr>
              <w:fldChar w:fldCharType="separate"/>
            </w:r>
            <w:r w:rsidR="00A76D9F">
              <w:rPr>
                <w:webHidden/>
              </w:rPr>
              <w:t>176</w:t>
            </w:r>
            <w:r>
              <w:rPr>
                <w:webHidden/>
              </w:rPr>
              <w:fldChar w:fldCharType="end"/>
            </w:r>
          </w:hyperlink>
        </w:p>
        <w:p w14:paraId="204F6D61" w14:textId="159A1BB8"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81" w:history="1">
            <w:r w:rsidRPr="00E14024">
              <w:rPr>
                <w:rStyle w:val="Hiperpovezava"/>
              </w:rPr>
              <w:t>5.1.2.2.4</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Preuranjen predlog za prevzem zastopanja</w:t>
            </w:r>
            <w:r>
              <w:rPr>
                <w:webHidden/>
              </w:rPr>
              <w:tab/>
            </w:r>
            <w:r>
              <w:rPr>
                <w:webHidden/>
              </w:rPr>
              <w:fldChar w:fldCharType="begin"/>
            </w:r>
            <w:r>
              <w:rPr>
                <w:webHidden/>
              </w:rPr>
              <w:instrText xml:space="preserve"> PAGEREF _Toc223093881 \h </w:instrText>
            </w:r>
            <w:r>
              <w:rPr>
                <w:webHidden/>
              </w:rPr>
            </w:r>
            <w:r>
              <w:rPr>
                <w:webHidden/>
              </w:rPr>
              <w:fldChar w:fldCharType="separate"/>
            </w:r>
            <w:r w:rsidR="00A76D9F">
              <w:rPr>
                <w:webHidden/>
              </w:rPr>
              <w:t>177</w:t>
            </w:r>
            <w:r>
              <w:rPr>
                <w:webHidden/>
              </w:rPr>
              <w:fldChar w:fldCharType="end"/>
            </w:r>
          </w:hyperlink>
        </w:p>
        <w:p w14:paraId="2223DBC9" w14:textId="53D61EE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82" w:history="1">
            <w:r w:rsidRPr="00E14024">
              <w:rPr>
                <w:rStyle w:val="Hiperpovezava"/>
              </w:rPr>
              <w:t>5.1.2.2.5</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Prevzem zastopanja</w:t>
            </w:r>
            <w:r>
              <w:rPr>
                <w:webHidden/>
              </w:rPr>
              <w:tab/>
            </w:r>
            <w:r>
              <w:rPr>
                <w:webHidden/>
              </w:rPr>
              <w:fldChar w:fldCharType="begin"/>
            </w:r>
            <w:r>
              <w:rPr>
                <w:webHidden/>
              </w:rPr>
              <w:instrText xml:space="preserve"> PAGEREF _Toc223093882 \h </w:instrText>
            </w:r>
            <w:r>
              <w:rPr>
                <w:webHidden/>
              </w:rPr>
            </w:r>
            <w:r>
              <w:rPr>
                <w:webHidden/>
              </w:rPr>
              <w:fldChar w:fldCharType="separate"/>
            </w:r>
            <w:r w:rsidR="00A76D9F">
              <w:rPr>
                <w:webHidden/>
              </w:rPr>
              <w:t>177</w:t>
            </w:r>
            <w:r>
              <w:rPr>
                <w:webHidden/>
              </w:rPr>
              <w:fldChar w:fldCharType="end"/>
            </w:r>
          </w:hyperlink>
        </w:p>
        <w:p w14:paraId="54B374AD" w14:textId="677FC259"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883" w:history="1">
            <w:r w:rsidRPr="00E14024">
              <w:rPr>
                <w:rStyle w:val="Hiperpovezava"/>
                <w:noProof/>
              </w:rPr>
              <w:t>5.2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Pravno svetovanje</w:t>
            </w:r>
            <w:r>
              <w:rPr>
                <w:noProof/>
                <w:webHidden/>
              </w:rPr>
              <w:tab/>
            </w:r>
            <w:r>
              <w:rPr>
                <w:noProof/>
                <w:webHidden/>
              </w:rPr>
              <w:fldChar w:fldCharType="begin"/>
            </w:r>
            <w:r>
              <w:rPr>
                <w:noProof/>
                <w:webHidden/>
              </w:rPr>
              <w:instrText xml:space="preserve"> PAGEREF _Toc223093883 \h </w:instrText>
            </w:r>
            <w:r>
              <w:rPr>
                <w:noProof/>
                <w:webHidden/>
              </w:rPr>
            </w:r>
            <w:r>
              <w:rPr>
                <w:noProof/>
                <w:webHidden/>
              </w:rPr>
              <w:fldChar w:fldCharType="separate"/>
            </w:r>
            <w:r w:rsidR="00A76D9F">
              <w:rPr>
                <w:noProof/>
                <w:webHidden/>
              </w:rPr>
              <w:t>178</w:t>
            </w:r>
            <w:r>
              <w:rPr>
                <w:noProof/>
                <w:webHidden/>
              </w:rPr>
              <w:fldChar w:fldCharType="end"/>
            </w:r>
          </w:hyperlink>
        </w:p>
        <w:p w14:paraId="038FF5B5" w14:textId="2C6AF2B3"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84" w:history="1">
            <w:r w:rsidRPr="00E14024">
              <w:rPr>
                <w:rStyle w:val="Hiperpovezava"/>
              </w:rPr>
              <w:t>5.2.1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_Toc223093884 \h </w:instrText>
            </w:r>
            <w:r>
              <w:rPr>
                <w:webHidden/>
              </w:rPr>
            </w:r>
            <w:r>
              <w:rPr>
                <w:webHidden/>
              </w:rPr>
              <w:fldChar w:fldCharType="separate"/>
            </w:r>
            <w:r w:rsidR="00A76D9F">
              <w:rPr>
                <w:webHidden/>
              </w:rPr>
              <w:t>178</w:t>
            </w:r>
            <w:r>
              <w:rPr>
                <w:webHidden/>
              </w:rPr>
              <w:fldChar w:fldCharType="end"/>
            </w:r>
          </w:hyperlink>
        </w:p>
        <w:p w14:paraId="44D1C099" w14:textId="3A7A659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85" w:history="1">
            <w:r w:rsidRPr="00E14024">
              <w:rPr>
                <w:rStyle w:val="Hiperpovezava"/>
              </w:rPr>
              <w:t>5.2.1.1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_Toc223093885 \h </w:instrText>
            </w:r>
            <w:r>
              <w:rPr>
                <w:webHidden/>
              </w:rPr>
            </w:r>
            <w:r>
              <w:rPr>
                <w:webHidden/>
              </w:rPr>
              <w:fldChar w:fldCharType="separate"/>
            </w:r>
            <w:r w:rsidR="00A76D9F">
              <w:rPr>
                <w:webHidden/>
              </w:rPr>
              <w:t>178</w:t>
            </w:r>
            <w:r>
              <w:rPr>
                <w:webHidden/>
              </w:rPr>
              <w:fldChar w:fldCharType="end"/>
            </w:r>
          </w:hyperlink>
        </w:p>
        <w:p w14:paraId="3DD68EFD" w14:textId="621540A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86" w:history="1">
            <w:r w:rsidRPr="00E14024">
              <w:rPr>
                <w:rStyle w:val="Hiperpovezava"/>
              </w:rPr>
              <w:t>5.2.1.2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Svetovalno-analitični oddelek</w:t>
            </w:r>
            <w:r>
              <w:rPr>
                <w:webHidden/>
              </w:rPr>
              <w:tab/>
            </w:r>
            <w:r>
              <w:rPr>
                <w:webHidden/>
              </w:rPr>
              <w:fldChar w:fldCharType="begin"/>
            </w:r>
            <w:r>
              <w:rPr>
                <w:webHidden/>
              </w:rPr>
              <w:instrText xml:space="preserve"> PAGEREF _Toc223093886 \h </w:instrText>
            </w:r>
            <w:r>
              <w:rPr>
                <w:webHidden/>
              </w:rPr>
            </w:r>
            <w:r>
              <w:rPr>
                <w:webHidden/>
              </w:rPr>
              <w:fldChar w:fldCharType="separate"/>
            </w:r>
            <w:r w:rsidR="00A76D9F">
              <w:rPr>
                <w:webHidden/>
              </w:rPr>
              <w:t>178</w:t>
            </w:r>
            <w:r>
              <w:rPr>
                <w:webHidden/>
              </w:rPr>
              <w:fldChar w:fldCharType="end"/>
            </w:r>
          </w:hyperlink>
        </w:p>
        <w:p w14:paraId="6B385ED8" w14:textId="35CE152D"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87" w:history="1">
            <w:r w:rsidRPr="00E14024">
              <w:rPr>
                <w:rStyle w:val="Hiperpovezava"/>
              </w:rPr>
              <w:t>5.2.2</w:t>
            </w:r>
            <w:r>
              <w:rPr>
                <w:rFonts w:asciiTheme="minorHAnsi" w:eastAsiaTheme="minorEastAsia" w:hAnsiTheme="minorHAnsi" w:cstheme="minorBidi"/>
                <w:kern w:val="2"/>
                <w:sz w:val="24"/>
                <w:szCs w:val="24"/>
                <w:lang w:eastAsia="sl-SI"/>
                <w14:ligatures w14:val="standardContextual"/>
              </w:rPr>
              <w:tab/>
            </w:r>
            <w:r w:rsidRPr="00E14024">
              <w:rPr>
                <w:rStyle w:val="Hiperpovezava"/>
              </w:rPr>
              <w:t>Oblikovanje pravnega mnenja na zahtevo državnega organa</w:t>
            </w:r>
            <w:r>
              <w:rPr>
                <w:webHidden/>
              </w:rPr>
              <w:tab/>
            </w:r>
            <w:r>
              <w:rPr>
                <w:webHidden/>
              </w:rPr>
              <w:fldChar w:fldCharType="begin"/>
            </w:r>
            <w:r>
              <w:rPr>
                <w:webHidden/>
              </w:rPr>
              <w:instrText xml:space="preserve"> PAGEREF _Toc223093887 \h </w:instrText>
            </w:r>
            <w:r>
              <w:rPr>
                <w:webHidden/>
              </w:rPr>
            </w:r>
            <w:r>
              <w:rPr>
                <w:webHidden/>
              </w:rPr>
              <w:fldChar w:fldCharType="separate"/>
            </w:r>
            <w:r w:rsidR="00A76D9F">
              <w:rPr>
                <w:webHidden/>
              </w:rPr>
              <w:t>179</w:t>
            </w:r>
            <w:r>
              <w:rPr>
                <w:webHidden/>
              </w:rPr>
              <w:fldChar w:fldCharType="end"/>
            </w:r>
          </w:hyperlink>
        </w:p>
        <w:p w14:paraId="6C9B63A0" w14:textId="66A7B3E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88" w:history="1">
            <w:r w:rsidRPr="00E14024">
              <w:rPr>
                <w:rStyle w:val="Hiperpovezava"/>
              </w:rPr>
              <w:t>5.2.2.1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Normativna ureditev</w:t>
            </w:r>
            <w:r>
              <w:rPr>
                <w:webHidden/>
              </w:rPr>
              <w:tab/>
            </w:r>
            <w:r>
              <w:rPr>
                <w:webHidden/>
              </w:rPr>
              <w:fldChar w:fldCharType="begin"/>
            </w:r>
            <w:r>
              <w:rPr>
                <w:webHidden/>
              </w:rPr>
              <w:instrText xml:space="preserve"> PAGEREF _Toc223093888 \h </w:instrText>
            </w:r>
            <w:r>
              <w:rPr>
                <w:webHidden/>
              </w:rPr>
            </w:r>
            <w:r>
              <w:rPr>
                <w:webHidden/>
              </w:rPr>
              <w:fldChar w:fldCharType="separate"/>
            </w:r>
            <w:r w:rsidR="00A76D9F">
              <w:rPr>
                <w:webHidden/>
              </w:rPr>
              <w:t>179</w:t>
            </w:r>
            <w:r>
              <w:rPr>
                <w:webHidden/>
              </w:rPr>
              <w:fldChar w:fldCharType="end"/>
            </w:r>
          </w:hyperlink>
        </w:p>
        <w:p w14:paraId="2049E557" w14:textId="0E9F7DF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89" w:history="1">
            <w:r w:rsidRPr="00E14024">
              <w:rPr>
                <w:rStyle w:val="Hiperpovezava"/>
              </w:rPr>
              <w:t>5.2.2.2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Statistika</w:t>
            </w:r>
            <w:r>
              <w:rPr>
                <w:webHidden/>
              </w:rPr>
              <w:tab/>
            </w:r>
            <w:r>
              <w:rPr>
                <w:webHidden/>
              </w:rPr>
              <w:fldChar w:fldCharType="begin"/>
            </w:r>
            <w:r>
              <w:rPr>
                <w:webHidden/>
              </w:rPr>
              <w:instrText xml:space="preserve"> PAGEREF _Toc223093889 \h </w:instrText>
            </w:r>
            <w:r>
              <w:rPr>
                <w:webHidden/>
              </w:rPr>
            </w:r>
            <w:r>
              <w:rPr>
                <w:webHidden/>
              </w:rPr>
              <w:fldChar w:fldCharType="separate"/>
            </w:r>
            <w:r w:rsidR="00A76D9F">
              <w:rPr>
                <w:webHidden/>
              </w:rPr>
              <w:t>180</w:t>
            </w:r>
            <w:r>
              <w:rPr>
                <w:webHidden/>
              </w:rPr>
              <w:fldChar w:fldCharType="end"/>
            </w:r>
          </w:hyperlink>
        </w:p>
        <w:p w14:paraId="4DF009F4" w14:textId="4030F58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90" w:history="1">
            <w:r w:rsidRPr="00E14024">
              <w:rPr>
                <w:rStyle w:val="Hiperpovezava"/>
              </w:rPr>
              <w:t>5.2.2.3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Predstavitev primerov</w:t>
            </w:r>
            <w:r>
              <w:rPr>
                <w:webHidden/>
              </w:rPr>
              <w:tab/>
            </w:r>
            <w:r>
              <w:rPr>
                <w:webHidden/>
              </w:rPr>
              <w:fldChar w:fldCharType="begin"/>
            </w:r>
            <w:r>
              <w:rPr>
                <w:webHidden/>
              </w:rPr>
              <w:instrText xml:space="preserve"> PAGEREF _Toc223093890 \h </w:instrText>
            </w:r>
            <w:r>
              <w:rPr>
                <w:webHidden/>
              </w:rPr>
            </w:r>
            <w:r>
              <w:rPr>
                <w:webHidden/>
              </w:rPr>
              <w:fldChar w:fldCharType="separate"/>
            </w:r>
            <w:r w:rsidR="00A76D9F">
              <w:rPr>
                <w:webHidden/>
              </w:rPr>
              <w:t>180</w:t>
            </w:r>
            <w:r>
              <w:rPr>
                <w:webHidden/>
              </w:rPr>
              <w:fldChar w:fldCharType="end"/>
            </w:r>
          </w:hyperlink>
        </w:p>
        <w:p w14:paraId="0CBABD32" w14:textId="61AB73E0"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91" w:history="1">
            <w:r w:rsidRPr="00E14024">
              <w:rPr>
                <w:rStyle w:val="Hiperpovezava"/>
              </w:rPr>
              <w:t>5.2.2.3.1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Pravna mnenja na podlagi prvega odstavka 25. člena ZDOdv:</w:t>
            </w:r>
            <w:r>
              <w:rPr>
                <w:webHidden/>
              </w:rPr>
              <w:tab/>
            </w:r>
            <w:r>
              <w:rPr>
                <w:webHidden/>
              </w:rPr>
              <w:fldChar w:fldCharType="begin"/>
            </w:r>
            <w:r>
              <w:rPr>
                <w:webHidden/>
              </w:rPr>
              <w:instrText xml:space="preserve"> PAGEREF _Toc223093891 \h </w:instrText>
            </w:r>
            <w:r>
              <w:rPr>
                <w:webHidden/>
              </w:rPr>
            </w:r>
            <w:r>
              <w:rPr>
                <w:webHidden/>
              </w:rPr>
              <w:fldChar w:fldCharType="separate"/>
            </w:r>
            <w:r w:rsidR="00A76D9F">
              <w:rPr>
                <w:webHidden/>
              </w:rPr>
              <w:t>180</w:t>
            </w:r>
            <w:r>
              <w:rPr>
                <w:webHidden/>
              </w:rPr>
              <w:fldChar w:fldCharType="end"/>
            </w:r>
          </w:hyperlink>
        </w:p>
        <w:p w14:paraId="72F8DBB0" w14:textId="70F906E6"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892" w:history="1">
            <w:r w:rsidRPr="00E14024">
              <w:rPr>
                <w:rStyle w:val="Hiperpovezava"/>
              </w:rPr>
              <w:t>5.2.2.3.2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Pravna mnenja na podlagi drugega odstavka 25. člena ZDOdv:</w:t>
            </w:r>
            <w:r>
              <w:rPr>
                <w:webHidden/>
              </w:rPr>
              <w:tab/>
            </w:r>
            <w:r>
              <w:rPr>
                <w:webHidden/>
              </w:rPr>
              <w:fldChar w:fldCharType="begin"/>
            </w:r>
            <w:r>
              <w:rPr>
                <w:webHidden/>
              </w:rPr>
              <w:instrText xml:space="preserve"> PAGEREF _Toc223093892 \h </w:instrText>
            </w:r>
            <w:r>
              <w:rPr>
                <w:webHidden/>
              </w:rPr>
            </w:r>
            <w:r>
              <w:rPr>
                <w:webHidden/>
              </w:rPr>
              <w:fldChar w:fldCharType="separate"/>
            </w:r>
            <w:r w:rsidR="00A76D9F">
              <w:rPr>
                <w:webHidden/>
              </w:rPr>
              <w:t>181</w:t>
            </w:r>
            <w:r>
              <w:rPr>
                <w:webHidden/>
              </w:rPr>
              <w:fldChar w:fldCharType="end"/>
            </w:r>
          </w:hyperlink>
        </w:p>
        <w:p w14:paraId="5010D570" w14:textId="0AA49C3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893" w:history="1">
            <w:r w:rsidRPr="00E14024">
              <w:rPr>
                <w:rStyle w:val="Hiperpovezava"/>
              </w:rPr>
              <w:t>5.2.2.4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Oblikovanje pravnega mnenja v zvezi z zakonodajo</w:t>
            </w:r>
            <w:r>
              <w:rPr>
                <w:webHidden/>
              </w:rPr>
              <w:tab/>
            </w:r>
            <w:r>
              <w:rPr>
                <w:webHidden/>
              </w:rPr>
              <w:fldChar w:fldCharType="begin"/>
            </w:r>
            <w:r>
              <w:rPr>
                <w:webHidden/>
              </w:rPr>
              <w:instrText xml:space="preserve"> PAGEREF _Toc223093893 \h </w:instrText>
            </w:r>
            <w:r>
              <w:rPr>
                <w:webHidden/>
              </w:rPr>
            </w:r>
            <w:r>
              <w:rPr>
                <w:webHidden/>
              </w:rPr>
              <w:fldChar w:fldCharType="separate"/>
            </w:r>
            <w:r w:rsidR="00A76D9F">
              <w:rPr>
                <w:webHidden/>
              </w:rPr>
              <w:t>181</w:t>
            </w:r>
            <w:r>
              <w:rPr>
                <w:webHidden/>
              </w:rPr>
              <w:fldChar w:fldCharType="end"/>
            </w:r>
          </w:hyperlink>
        </w:p>
        <w:p w14:paraId="30D9161C" w14:textId="691A8F23"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94" w:history="1">
            <w:r w:rsidRPr="00E14024">
              <w:rPr>
                <w:rStyle w:val="Hiperpovezava"/>
              </w:rPr>
              <w:t>5.2.3</w:t>
            </w:r>
            <w:r>
              <w:rPr>
                <w:rFonts w:asciiTheme="minorHAnsi" w:eastAsiaTheme="minorEastAsia" w:hAnsiTheme="minorHAnsi" w:cstheme="minorBidi"/>
                <w:kern w:val="2"/>
                <w:sz w:val="24"/>
                <w:szCs w:val="24"/>
                <w:lang w:eastAsia="sl-SI"/>
                <w14:ligatures w14:val="standardContextual"/>
              </w:rPr>
              <w:tab/>
            </w:r>
            <w:r w:rsidRPr="00E14024">
              <w:rPr>
                <w:rStyle w:val="Hiperpovezava"/>
              </w:rPr>
              <w:t>Oblikovanje pravnega mnenja na predlog drugih subjektov</w:t>
            </w:r>
            <w:r>
              <w:rPr>
                <w:webHidden/>
              </w:rPr>
              <w:tab/>
            </w:r>
            <w:r>
              <w:rPr>
                <w:webHidden/>
              </w:rPr>
              <w:fldChar w:fldCharType="begin"/>
            </w:r>
            <w:r>
              <w:rPr>
                <w:webHidden/>
              </w:rPr>
              <w:instrText xml:space="preserve"> PAGEREF _Toc223093894 \h </w:instrText>
            </w:r>
            <w:r>
              <w:rPr>
                <w:webHidden/>
              </w:rPr>
            </w:r>
            <w:r>
              <w:rPr>
                <w:webHidden/>
              </w:rPr>
              <w:fldChar w:fldCharType="separate"/>
            </w:r>
            <w:r w:rsidR="00A76D9F">
              <w:rPr>
                <w:webHidden/>
              </w:rPr>
              <w:t>183</w:t>
            </w:r>
            <w:r>
              <w:rPr>
                <w:webHidden/>
              </w:rPr>
              <w:fldChar w:fldCharType="end"/>
            </w:r>
          </w:hyperlink>
        </w:p>
        <w:p w14:paraId="133203A5" w14:textId="7452E58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95" w:history="1">
            <w:r w:rsidRPr="00E14024">
              <w:rPr>
                <w:rStyle w:val="Hiperpovezava"/>
              </w:rPr>
              <w:t>5.2.4</w:t>
            </w:r>
            <w:r>
              <w:rPr>
                <w:rFonts w:asciiTheme="minorHAnsi" w:eastAsiaTheme="minorEastAsia" w:hAnsiTheme="minorHAnsi" w:cstheme="minorBidi"/>
                <w:kern w:val="2"/>
                <w:sz w:val="24"/>
                <w:szCs w:val="24"/>
                <w:lang w:eastAsia="sl-SI"/>
                <w14:ligatures w14:val="standardContextual"/>
              </w:rPr>
              <w:tab/>
            </w:r>
            <w:r w:rsidRPr="00E14024">
              <w:rPr>
                <w:rStyle w:val="Hiperpovezava"/>
              </w:rPr>
              <w:t>Oblikovanje priporočil Državnega odvetništva Republike Slovenije</w:t>
            </w:r>
            <w:r>
              <w:rPr>
                <w:webHidden/>
              </w:rPr>
              <w:tab/>
            </w:r>
            <w:r>
              <w:rPr>
                <w:webHidden/>
              </w:rPr>
              <w:fldChar w:fldCharType="begin"/>
            </w:r>
            <w:r>
              <w:rPr>
                <w:webHidden/>
              </w:rPr>
              <w:instrText xml:space="preserve"> PAGEREF _Toc223093895 \h </w:instrText>
            </w:r>
            <w:r>
              <w:rPr>
                <w:webHidden/>
              </w:rPr>
            </w:r>
            <w:r>
              <w:rPr>
                <w:webHidden/>
              </w:rPr>
              <w:fldChar w:fldCharType="separate"/>
            </w:r>
            <w:r w:rsidR="00A76D9F">
              <w:rPr>
                <w:webHidden/>
              </w:rPr>
              <w:t>184</w:t>
            </w:r>
            <w:r>
              <w:rPr>
                <w:webHidden/>
              </w:rPr>
              <w:fldChar w:fldCharType="end"/>
            </w:r>
          </w:hyperlink>
        </w:p>
        <w:p w14:paraId="00C291C2" w14:textId="2231D2ED"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896" w:history="1">
            <w:r w:rsidRPr="00E14024">
              <w:rPr>
                <w:rStyle w:val="Hiperpovezava"/>
              </w:rPr>
              <w:t>5.2.5</w:t>
            </w:r>
            <w:r>
              <w:rPr>
                <w:rFonts w:asciiTheme="minorHAnsi" w:eastAsiaTheme="minorEastAsia" w:hAnsiTheme="minorHAnsi" w:cstheme="minorBidi"/>
                <w:kern w:val="2"/>
                <w:sz w:val="24"/>
                <w:szCs w:val="24"/>
                <w:lang w:eastAsia="sl-SI"/>
                <w14:ligatures w14:val="standardContextual"/>
              </w:rPr>
              <w:tab/>
            </w:r>
            <w:r w:rsidRPr="00E14024">
              <w:rPr>
                <w:rStyle w:val="Hiperpovezava"/>
              </w:rPr>
              <w:t>Oblikovanje internih pravnih mnenj</w:t>
            </w:r>
            <w:r>
              <w:rPr>
                <w:webHidden/>
              </w:rPr>
              <w:tab/>
            </w:r>
            <w:r>
              <w:rPr>
                <w:webHidden/>
              </w:rPr>
              <w:fldChar w:fldCharType="begin"/>
            </w:r>
            <w:r>
              <w:rPr>
                <w:webHidden/>
              </w:rPr>
              <w:instrText xml:space="preserve"> PAGEREF _Toc223093896 \h </w:instrText>
            </w:r>
            <w:r>
              <w:rPr>
                <w:webHidden/>
              </w:rPr>
            </w:r>
            <w:r>
              <w:rPr>
                <w:webHidden/>
              </w:rPr>
              <w:fldChar w:fldCharType="separate"/>
            </w:r>
            <w:r w:rsidR="00A76D9F">
              <w:rPr>
                <w:webHidden/>
              </w:rPr>
              <w:t>185</w:t>
            </w:r>
            <w:r>
              <w:rPr>
                <w:webHidden/>
              </w:rPr>
              <w:fldChar w:fldCharType="end"/>
            </w:r>
          </w:hyperlink>
        </w:p>
        <w:p w14:paraId="435E7786" w14:textId="76E9A8AE"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897" w:history="1">
            <w:r w:rsidRPr="00E14024">
              <w:rPr>
                <w:rStyle w:val="Hiperpovezava"/>
                <w:noProof/>
              </w:rPr>
              <w:t>5.3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Zastopanje in oblikovanje pravnih mnenj – zbirni statistični pregled</w:t>
            </w:r>
            <w:r>
              <w:rPr>
                <w:noProof/>
                <w:webHidden/>
              </w:rPr>
              <w:tab/>
            </w:r>
            <w:r>
              <w:rPr>
                <w:noProof/>
                <w:webHidden/>
              </w:rPr>
              <w:fldChar w:fldCharType="begin"/>
            </w:r>
            <w:r>
              <w:rPr>
                <w:noProof/>
                <w:webHidden/>
              </w:rPr>
              <w:instrText xml:space="preserve"> PAGEREF _Toc223093897 \h </w:instrText>
            </w:r>
            <w:r>
              <w:rPr>
                <w:noProof/>
                <w:webHidden/>
              </w:rPr>
            </w:r>
            <w:r>
              <w:rPr>
                <w:noProof/>
                <w:webHidden/>
              </w:rPr>
              <w:fldChar w:fldCharType="separate"/>
            </w:r>
            <w:r w:rsidR="00A76D9F">
              <w:rPr>
                <w:noProof/>
                <w:webHidden/>
              </w:rPr>
              <w:t>185</w:t>
            </w:r>
            <w:r>
              <w:rPr>
                <w:noProof/>
                <w:webHidden/>
              </w:rPr>
              <w:fldChar w:fldCharType="end"/>
            </w:r>
          </w:hyperlink>
        </w:p>
        <w:p w14:paraId="1A1C246D" w14:textId="77817296"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898" w:history="1">
            <w:r w:rsidRPr="00E14024">
              <w:rPr>
                <w:rStyle w:val="Hiperpovezava"/>
                <w:rFonts w:eastAsia="Times New Roman"/>
                <w:noProof/>
              </w:rPr>
              <w:t>6</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ZASTOPANJE PRED TUJIMI SODIŠČI IN TUJIMI ARBITRAŽAMI TER MEDNARODNIMI SODIŠČI IN MEDNARODNIMI ARBITRAŽAMI</w:t>
            </w:r>
            <w:r>
              <w:rPr>
                <w:noProof/>
                <w:webHidden/>
              </w:rPr>
              <w:tab/>
            </w:r>
            <w:r>
              <w:rPr>
                <w:noProof/>
                <w:webHidden/>
              </w:rPr>
              <w:fldChar w:fldCharType="begin"/>
            </w:r>
            <w:r>
              <w:rPr>
                <w:noProof/>
                <w:webHidden/>
              </w:rPr>
              <w:instrText xml:space="preserve"> PAGEREF _Toc223093898 \h </w:instrText>
            </w:r>
            <w:r>
              <w:rPr>
                <w:noProof/>
                <w:webHidden/>
              </w:rPr>
            </w:r>
            <w:r>
              <w:rPr>
                <w:noProof/>
                <w:webHidden/>
              </w:rPr>
              <w:fldChar w:fldCharType="separate"/>
            </w:r>
            <w:r w:rsidR="00A76D9F">
              <w:rPr>
                <w:noProof/>
                <w:webHidden/>
              </w:rPr>
              <w:t>188</w:t>
            </w:r>
            <w:r>
              <w:rPr>
                <w:noProof/>
                <w:webHidden/>
              </w:rPr>
              <w:fldChar w:fldCharType="end"/>
            </w:r>
          </w:hyperlink>
        </w:p>
        <w:p w14:paraId="44AE393F" w14:textId="2C02344C" w:rsidR="000300A6" w:rsidRDefault="000300A6">
          <w:pPr>
            <w:pStyle w:val="Kazalovsebine1"/>
            <w:tabs>
              <w:tab w:val="left" w:pos="788"/>
            </w:tabs>
            <w:rPr>
              <w:rStyle w:val="Hiperpovezava"/>
              <w:noProof/>
            </w:rPr>
          </w:pPr>
          <w:hyperlink w:anchor="_Toc223093899" w:history="1">
            <w:r w:rsidRPr="00E14024">
              <w:rPr>
                <w:rStyle w:val="Hiperpovezava"/>
                <w:rFonts w:eastAsia="Times New Roman"/>
                <w:noProof/>
              </w:rPr>
              <w:t>7</w:t>
            </w:r>
            <w:r>
              <w:rPr>
                <w:rFonts w:asciiTheme="minorHAnsi" w:hAnsiTheme="minorHAnsi" w:cstheme="minorBidi"/>
                <w:noProof/>
                <w:kern w:val="2"/>
                <w:sz w:val="24"/>
                <w:szCs w:val="24"/>
                <w14:ligatures w14:val="standardContextual"/>
              </w:rPr>
              <w:tab/>
            </w:r>
            <w:r w:rsidRPr="00E14024">
              <w:rPr>
                <w:rStyle w:val="Hiperpovezava"/>
                <w:rFonts w:eastAsia="Times New Roman"/>
                <w:noProof/>
              </w:rPr>
              <w:t>ZADEVE, V KATERIH JE BILO VLOŽENO PRAVNO SREDSTVO</w:t>
            </w:r>
            <w:r>
              <w:rPr>
                <w:noProof/>
                <w:webHidden/>
              </w:rPr>
              <w:tab/>
            </w:r>
            <w:r>
              <w:rPr>
                <w:noProof/>
                <w:webHidden/>
              </w:rPr>
              <w:fldChar w:fldCharType="begin"/>
            </w:r>
            <w:r>
              <w:rPr>
                <w:noProof/>
                <w:webHidden/>
              </w:rPr>
              <w:instrText xml:space="preserve"> PAGEREF _Toc223093899 \h </w:instrText>
            </w:r>
            <w:r>
              <w:rPr>
                <w:noProof/>
                <w:webHidden/>
              </w:rPr>
            </w:r>
            <w:r>
              <w:rPr>
                <w:noProof/>
                <w:webHidden/>
              </w:rPr>
              <w:fldChar w:fldCharType="separate"/>
            </w:r>
            <w:r w:rsidR="00A76D9F">
              <w:rPr>
                <w:noProof/>
                <w:webHidden/>
              </w:rPr>
              <w:t>189</w:t>
            </w:r>
            <w:r>
              <w:rPr>
                <w:noProof/>
                <w:webHidden/>
              </w:rPr>
              <w:fldChar w:fldCharType="end"/>
            </w:r>
          </w:hyperlink>
        </w:p>
        <w:p w14:paraId="46F6A2E3" w14:textId="022817D9" w:rsidR="00BC487C" w:rsidRDefault="00BC487C" w:rsidP="00BC487C">
          <w:pPr>
            <w:pStyle w:val="Kazalovsebine1"/>
            <w:tabs>
              <w:tab w:val="left" w:pos="788"/>
            </w:tabs>
            <w:rPr>
              <w:rFonts w:asciiTheme="minorHAnsi" w:hAnsiTheme="minorHAnsi" w:cstheme="minorBidi"/>
              <w:noProof/>
              <w:kern w:val="2"/>
              <w:sz w:val="24"/>
              <w:szCs w:val="24"/>
              <w14:ligatures w14:val="standardContextual"/>
            </w:rPr>
          </w:pPr>
          <w:hyperlink w:anchor="_Toc223093900" w:history="1">
            <w:r>
              <w:rPr>
                <w:rStyle w:val="Hiperpovezava"/>
                <w:noProof/>
              </w:rPr>
              <w:t>III. ANALITČNI DEL</w:t>
            </w:r>
            <w:r>
              <w:rPr>
                <w:noProof/>
                <w:webHidden/>
              </w:rPr>
              <w:tab/>
            </w:r>
            <w:r>
              <w:rPr>
                <w:noProof/>
                <w:webHidden/>
              </w:rPr>
              <w:fldChar w:fldCharType="begin"/>
            </w:r>
            <w:r>
              <w:rPr>
                <w:noProof/>
                <w:webHidden/>
              </w:rPr>
              <w:instrText xml:space="preserve"> PAGEREF _Toc223093900 \h </w:instrText>
            </w:r>
            <w:r>
              <w:rPr>
                <w:noProof/>
                <w:webHidden/>
              </w:rPr>
            </w:r>
            <w:r>
              <w:rPr>
                <w:noProof/>
                <w:webHidden/>
              </w:rPr>
              <w:fldChar w:fldCharType="separate"/>
            </w:r>
            <w:r w:rsidR="00A76D9F">
              <w:rPr>
                <w:noProof/>
                <w:webHidden/>
              </w:rPr>
              <w:t>191</w:t>
            </w:r>
            <w:r>
              <w:rPr>
                <w:noProof/>
                <w:webHidden/>
              </w:rPr>
              <w:fldChar w:fldCharType="end"/>
            </w:r>
          </w:hyperlink>
        </w:p>
        <w:p w14:paraId="6AD702F2" w14:textId="228AA38D"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3900" w:history="1">
            <w:r w:rsidRPr="00E14024">
              <w:rPr>
                <w:rStyle w:val="Hiperpovezava"/>
                <w:noProof/>
              </w:rPr>
              <w:t>1</w:t>
            </w:r>
            <w:r>
              <w:rPr>
                <w:rFonts w:asciiTheme="minorHAnsi" w:hAnsiTheme="minorHAnsi" w:cstheme="minorBidi"/>
                <w:noProof/>
                <w:kern w:val="2"/>
                <w:sz w:val="24"/>
                <w:szCs w:val="24"/>
                <w14:ligatures w14:val="standardContextual"/>
              </w:rPr>
              <w:tab/>
            </w:r>
            <w:r w:rsidRPr="00E14024">
              <w:rPr>
                <w:rStyle w:val="Hiperpovezava"/>
                <w:noProof/>
              </w:rPr>
              <w:t>KRATKA OBRAZLOŽITEV PRIMERJALNIH VREDNOSTI PO POSAMEZNIH PODROČJIH Z NAVEDBO UKREPOV, KI SO BILI IZVEDENI ZA OBVLADOVANJE IN IZBOLJŠANJE REZULTATOV</w:t>
            </w:r>
            <w:r>
              <w:rPr>
                <w:noProof/>
                <w:webHidden/>
              </w:rPr>
              <w:tab/>
            </w:r>
            <w:r>
              <w:rPr>
                <w:noProof/>
                <w:webHidden/>
              </w:rPr>
              <w:fldChar w:fldCharType="begin"/>
            </w:r>
            <w:r>
              <w:rPr>
                <w:noProof/>
                <w:webHidden/>
              </w:rPr>
              <w:instrText xml:space="preserve"> PAGEREF _Toc223093900 \h </w:instrText>
            </w:r>
            <w:r>
              <w:rPr>
                <w:noProof/>
                <w:webHidden/>
              </w:rPr>
            </w:r>
            <w:r>
              <w:rPr>
                <w:noProof/>
                <w:webHidden/>
              </w:rPr>
              <w:fldChar w:fldCharType="separate"/>
            </w:r>
            <w:r w:rsidR="00A76D9F">
              <w:rPr>
                <w:noProof/>
                <w:webHidden/>
              </w:rPr>
              <w:t>191</w:t>
            </w:r>
            <w:r>
              <w:rPr>
                <w:noProof/>
                <w:webHidden/>
              </w:rPr>
              <w:fldChar w:fldCharType="end"/>
            </w:r>
          </w:hyperlink>
        </w:p>
        <w:p w14:paraId="5598EEAE" w14:textId="14176CD0"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01" w:history="1">
            <w:r w:rsidRPr="00E14024">
              <w:rPr>
                <w:rStyle w:val="Hiperpovezava"/>
                <w:noProof/>
              </w:rPr>
              <w:t>1.1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Pregled gibanja zadev v letu 2025</w:t>
            </w:r>
            <w:r>
              <w:rPr>
                <w:noProof/>
                <w:webHidden/>
              </w:rPr>
              <w:tab/>
            </w:r>
            <w:r>
              <w:rPr>
                <w:noProof/>
                <w:webHidden/>
              </w:rPr>
              <w:fldChar w:fldCharType="begin"/>
            </w:r>
            <w:r>
              <w:rPr>
                <w:noProof/>
                <w:webHidden/>
              </w:rPr>
              <w:instrText xml:space="preserve"> PAGEREF _Toc223093901 \h </w:instrText>
            </w:r>
            <w:r>
              <w:rPr>
                <w:noProof/>
                <w:webHidden/>
              </w:rPr>
            </w:r>
            <w:r>
              <w:rPr>
                <w:noProof/>
                <w:webHidden/>
              </w:rPr>
              <w:fldChar w:fldCharType="separate"/>
            </w:r>
            <w:r w:rsidR="00A76D9F">
              <w:rPr>
                <w:noProof/>
                <w:webHidden/>
              </w:rPr>
              <w:t>191</w:t>
            </w:r>
            <w:r>
              <w:rPr>
                <w:noProof/>
                <w:webHidden/>
              </w:rPr>
              <w:fldChar w:fldCharType="end"/>
            </w:r>
          </w:hyperlink>
        </w:p>
        <w:p w14:paraId="67097149" w14:textId="2212C1FD"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02" w:history="1">
            <w:r w:rsidRPr="00E14024">
              <w:rPr>
                <w:rStyle w:val="Hiperpovezava"/>
                <w:noProof/>
              </w:rPr>
              <w:t>1.2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Civilnopravne in gospodarske zadeve</w:t>
            </w:r>
            <w:r>
              <w:rPr>
                <w:noProof/>
                <w:webHidden/>
              </w:rPr>
              <w:tab/>
            </w:r>
            <w:r>
              <w:rPr>
                <w:noProof/>
                <w:webHidden/>
              </w:rPr>
              <w:fldChar w:fldCharType="begin"/>
            </w:r>
            <w:r>
              <w:rPr>
                <w:noProof/>
                <w:webHidden/>
              </w:rPr>
              <w:instrText xml:space="preserve"> PAGEREF _Toc223093902 \h </w:instrText>
            </w:r>
            <w:r>
              <w:rPr>
                <w:noProof/>
                <w:webHidden/>
              </w:rPr>
            </w:r>
            <w:r>
              <w:rPr>
                <w:noProof/>
                <w:webHidden/>
              </w:rPr>
              <w:fldChar w:fldCharType="separate"/>
            </w:r>
            <w:r w:rsidR="00A76D9F">
              <w:rPr>
                <w:noProof/>
                <w:webHidden/>
              </w:rPr>
              <w:t>194</w:t>
            </w:r>
            <w:r>
              <w:rPr>
                <w:noProof/>
                <w:webHidden/>
              </w:rPr>
              <w:fldChar w:fldCharType="end"/>
            </w:r>
          </w:hyperlink>
        </w:p>
        <w:p w14:paraId="704BE2D2" w14:textId="1A39802A"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03" w:history="1">
            <w:r w:rsidRPr="00E14024">
              <w:rPr>
                <w:rStyle w:val="Hiperpovezava"/>
              </w:rPr>
              <w:t>1.2.1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_Toc223093903 \h </w:instrText>
            </w:r>
            <w:r>
              <w:rPr>
                <w:webHidden/>
              </w:rPr>
            </w:r>
            <w:r>
              <w:rPr>
                <w:webHidden/>
              </w:rPr>
              <w:fldChar w:fldCharType="separate"/>
            </w:r>
            <w:r w:rsidR="00A76D9F">
              <w:rPr>
                <w:webHidden/>
              </w:rPr>
              <w:t>194</w:t>
            </w:r>
            <w:r>
              <w:rPr>
                <w:webHidden/>
              </w:rPr>
              <w:fldChar w:fldCharType="end"/>
            </w:r>
          </w:hyperlink>
        </w:p>
        <w:p w14:paraId="2A49824F" w14:textId="4C68EF7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04" w:history="1">
            <w:r w:rsidRPr="00E14024">
              <w:rPr>
                <w:rStyle w:val="Hiperpovezava"/>
              </w:rPr>
              <w:t>1.2.1.1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Opredelitev nekaterih, v letu 2025 aktualnejših, civilnopravnih in gospodarskopravnih področij dela, ki jih obravnava Državno odvetništvo RS</w:t>
            </w:r>
            <w:r>
              <w:rPr>
                <w:webHidden/>
              </w:rPr>
              <w:tab/>
            </w:r>
            <w:r>
              <w:rPr>
                <w:webHidden/>
              </w:rPr>
              <w:fldChar w:fldCharType="begin"/>
            </w:r>
            <w:r>
              <w:rPr>
                <w:webHidden/>
              </w:rPr>
              <w:instrText xml:space="preserve"> PAGEREF _Toc223093904 \h </w:instrText>
            </w:r>
            <w:r>
              <w:rPr>
                <w:webHidden/>
              </w:rPr>
            </w:r>
            <w:r>
              <w:rPr>
                <w:webHidden/>
              </w:rPr>
              <w:fldChar w:fldCharType="separate"/>
            </w:r>
            <w:r w:rsidR="00A76D9F">
              <w:rPr>
                <w:webHidden/>
              </w:rPr>
              <w:t>194</w:t>
            </w:r>
            <w:r>
              <w:rPr>
                <w:webHidden/>
              </w:rPr>
              <w:fldChar w:fldCharType="end"/>
            </w:r>
          </w:hyperlink>
        </w:p>
        <w:p w14:paraId="6118D974" w14:textId="5F6CB339"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05" w:history="1">
            <w:r w:rsidRPr="00E14024">
              <w:rPr>
                <w:rStyle w:val="Hiperpovezava"/>
              </w:rPr>
              <w:t>1.2.1.1.1</w:t>
            </w:r>
            <w:r>
              <w:rPr>
                <w:rFonts w:asciiTheme="minorHAnsi" w:eastAsiaTheme="minorEastAsia" w:hAnsiTheme="minorHAnsi" w:cstheme="minorBidi"/>
                <w:kern w:val="2"/>
                <w:sz w:val="24"/>
                <w:szCs w:val="24"/>
                <w:lang w:eastAsia="sl-SI"/>
                <w14:ligatures w14:val="standardContextual"/>
              </w:rPr>
              <w:tab/>
            </w:r>
            <w:r w:rsidRPr="00E14024">
              <w:rPr>
                <w:rStyle w:val="Hiperpovezava"/>
              </w:rPr>
              <w:t>Zadeve iz naslova odškodninske odgovornosti države</w:t>
            </w:r>
            <w:r>
              <w:rPr>
                <w:webHidden/>
              </w:rPr>
              <w:tab/>
            </w:r>
            <w:r>
              <w:rPr>
                <w:webHidden/>
              </w:rPr>
              <w:fldChar w:fldCharType="begin"/>
            </w:r>
            <w:r>
              <w:rPr>
                <w:webHidden/>
              </w:rPr>
              <w:instrText xml:space="preserve"> PAGEREF _Toc223093905 \h </w:instrText>
            </w:r>
            <w:r>
              <w:rPr>
                <w:webHidden/>
              </w:rPr>
            </w:r>
            <w:r>
              <w:rPr>
                <w:webHidden/>
              </w:rPr>
              <w:fldChar w:fldCharType="separate"/>
            </w:r>
            <w:r w:rsidR="00A76D9F">
              <w:rPr>
                <w:webHidden/>
              </w:rPr>
              <w:t>194</w:t>
            </w:r>
            <w:r>
              <w:rPr>
                <w:webHidden/>
              </w:rPr>
              <w:fldChar w:fldCharType="end"/>
            </w:r>
          </w:hyperlink>
        </w:p>
        <w:p w14:paraId="115B1F4B" w14:textId="5CDEF63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06" w:history="1">
            <w:r w:rsidRPr="00E14024">
              <w:rPr>
                <w:rStyle w:val="Hiperpovezava"/>
              </w:rPr>
              <w:t>1.2.1.1.2</w:t>
            </w:r>
            <w:r>
              <w:rPr>
                <w:rFonts w:asciiTheme="minorHAnsi" w:eastAsiaTheme="minorEastAsia" w:hAnsiTheme="minorHAnsi" w:cstheme="minorBidi"/>
                <w:kern w:val="2"/>
                <w:sz w:val="24"/>
                <w:szCs w:val="24"/>
                <w:lang w:eastAsia="sl-SI"/>
                <w14:ligatures w14:val="standardContextual"/>
              </w:rPr>
              <w:tab/>
            </w:r>
            <w:r w:rsidRPr="00E14024">
              <w:rPr>
                <w:rStyle w:val="Hiperpovezava"/>
              </w:rPr>
              <w:t>Zadeve na podlagi Zakona o odpravi krivic zaradi izbrisa pravnih oseb iz sodnega registra v obdobju od 23. julija 1999 do 15. januarja 2008</w:t>
            </w:r>
            <w:r>
              <w:rPr>
                <w:webHidden/>
              </w:rPr>
              <w:tab/>
            </w:r>
            <w:r>
              <w:rPr>
                <w:webHidden/>
              </w:rPr>
              <w:fldChar w:fldCharType="begin"/>
            </w:r>
            <w:r>
              <w:rPr>
                <w:webHidden/>
              </w:rPr>
              <w:instrText xml:space="preserve"> PAGEREF _Toc223093906 \h </w:instrText>
            </w:r>
            <w:r>
              <w:rPr>
                <w:webHidden/>
              </w:rPr>
            </w:r>
            <w:r>
              <w:rPr>
                <w:webHidden/>
              </w:rPr>
              <w:fldChar w:fldCharType="separate"/>
            </w:r>
            <w:r w:rsidR="00A76D9F">
              <w:rPr>
                <w:webHidden/>
              </w:rPr>
              <w:t>195</w:t>
            </w:r>
            <w:r>
              <w:rPr>
                <w:webHidden/>
              </w:rPr>
              <w:fldChar w:fldCharType="end"/>
            </w:r>
          </w:hyperlink>
        </w:p>
        <w:p w14:paraId="6FCC4627" w14:textId="561DC8E0"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07" w:history="1">
            <w:r w:rsidRPr="00E14024">
              <w:rPr>
                <w:rStyle w:val="Hiperpovezava"/>
              </w:rPr>
              <w:t>1.2.1.1.3</w:t>
            </w:r>
            <w:r>
              <w:rPr>
                <w:rFonts w:asciiTheme="minorHAnsi" w:eastAsiaTheme="minorEastAsia" w:hAnsiTheme="minorHAnsi" w:cstheme="minorBidi"/>
                <w:kern w:val="2"/>
                <w:sz w:val="24"/>
                <w:szCs w:val="24"/>
                <w:lang w:eastAsia="sl-SI"/>
                <w14:ligatures w14:val="standardContextual"/>
              </w:rPr>
              <w:tab/>
            </w:r>
            <w:r w:rsidRPr="00E14024">
              <w:rPr>
                <w:rStyle w:val="Hiperpovezava"/>
              </w:rPr>
              <w:t>Zadeve, ki se nanašajo na plačilo odškodnine iz naslova odgovornosti Republike Slovenije za kršitve pravice do dostojanstva zaradi neprimernih pogojev bivanja v zavodih za prestajanje kazni zapora</w:t>
            </w:r>
            <w:r>
              <w:rPr>
                <w:webHidden/>
              </w:rPr>
              <w:tab/>
            </w:r>
            <w:r>
              <w:rPr>
                <w:webHidden/>
              </w:rPr>
              <w:fldChar w:fldCharType="begin"/>
            </w:r>
            <w:r>
              <w:rPr>
                <w:webHidden/>
              </w:rPr>
              <w:instrText xml:space="preserve"> PAGEREF _Toc223093907 \h </w:instrText>
            </w:r>
            <w:r>
              <w:rPr>
                <w:webHidden/>
              </w:rPr>
            </w:r>
            <w:r>
              <w:rPr>
                <w:webHidden/>
              </w:rPr>
              <w:fldChar w:fldCharType="separate"/>
            </w:r>
            <w:r w:rsidR="00A76D9F">
              <w:rPr>
                <w:webHidden/>
              </w:rPr>
              <w:t>196</w:t>
            </w:r>
            <w:r>
              <w:rPr>
                <w:webHidden/>
              </w:rPr>
              <w:fldChar w:fldCharType="end"/>
            </w:r>
          </w:hyperlink>
        </w:p>
        <w:p w14:paraId="0AAC3211" w14:textId="2FCA031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08" w:history="1">
            <w:r w:rsidRPr="00E14024">
              <w:rPr>
                <w:rStyle w:val="Hiperpovezava"/>
              </w:rPr>
              <w:t>1.2.1.1.4</w:t>
            </w:r>
            <w:r>
              <w:rPr>
                <w:rFonts w:asciiTheme="minorHAnsi" w:eastAsiaTheme="minorEastAsia" w:hAnsiTheme="minorHAnsi" w:cstheme="minorBidi"/>
                <w:kern w:val="2"/>
                <w:sz w:val="24"/>
                <w:szCs w:val="24"/>
                <w:lang w:eastAsia="sl-SI"/>
                <w14:ligatures w14:val="standardContextual"/>
              </w:rPr>
              <w:tab/>
            </w:r>
            <w:r w:rsidRPr="00E14024">
              <w:rPr>
                <w:rStyle w:val="Hiperpovezava"/>
              </w:rPr>
              <w:t>Druge pomembnejše civilnopravne in gospodarskopravne zadeve</w:t>
            </w:r>
            <w:r>
              <w:rPr>
                <w:webHidden/>
              </w:rPr>
              <w:tab/>
            </w:r>
            <w:r>
              <w:rPr>
                <w:webHidden/>
              </w:rPr>
              <w:fldChar w:fldCharType="begin"/>
            </w:r>
            <w:r>
              <w:rPr>
                <w:webHidden/>
              </w:rPr>
              <w:instrText xml:space="preserve"> PAGEREF _Toc223093908 \h </w:instrText>
            </w:r>
            <w:r>
              <w:rPr>
                <w:webHidden/>
              </w:rPr>
            </w:r>
            <w:r>
              <w:rPr>
                <w:webHidden/>
              </w:rPr>
              <w:fldChar w:fldCharType="separate"/>
            </w:r>
            <w:r w:rsidR="00A76D9F">
              <w:rPr>
                <w:webHidden/>
              </w:rPr>
              <w:t>197</w:t>
            </w:r>
            <w:r>
              <w:rPr>
                <w:webHidden/>
              </w:rPr>
              <w:fldChar w:fldCharType="end"/>
            </w:r>
          </w:hyperlink>
        </w:p>
        <w:p w14:paraId="0B097F3C" w14:textId="21578036"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09" w:history="1">
            <w:r w:rsidRPr="00E14024">
              <w:rPr>
                <w:rStyle w:val="Hiperpovezava"/>
              </w:rPr>
              <w:t>1.2.2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_Toc223093909 \h </w:instrText>
            </w:r>
            <w:r>
              <w:rPr>
                <w:webHidden/>
              </w:rPr>
            </w:r>
            <w:r>
              <w:rPr>
                <w:webHidden/>
              </w:rPr>
              <w:fldChar w:fldCharType="separate"/>
            </w:r>
            <w:r w:rsidR="00A76D9F">
              <w:rPr>
                <w:webHidden/>
              </w:rPr>
              <w:t>197</w:t>
            </w:r>
            <w:r>
              <w:rPr>
                <w:webHidden/>
              </w:rPr>
              <w:fldChar w:fldCharType="end"/>
            </w:r>
          </w:hyperlink>
        </w:p>
        <w:p w14:paraId="0662D819" w14:textId="51830BE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10" w:history="1">
            <w:r w:rsidRPr="00E14024">
              <w:rPr>
                <w:rStyle w:val="Hiperpovezava"/>
              </w:rPr>
              <w:t>1.2.3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_Toc223093910 \h </w:instrText>
            </w:r>
            <w:r>
              <w:rPr>
                <w:webHidden/>
              </w:rPr>
            </w:r>
            <w:r>
              <w:rPr>
                <w:webHidden/>
              </w:rPr>
              <w:fldChar w:fldCharType="separate"/>
            </w:r>
            <w:r w:rsidR="00A76D9F">
              <w:rPr>
                <w:webHidden/>
              </w:rPr>
              <w:t>198</w:t>
            </w:r>
            <w:r>
              <w:rPr>
                <w:webHidden/>
              </w:rPr>
              <w:fldChar w:fldCharType="end"/>
            </w:r>
          </w:hyperlink>
        </w:p>
        <w:p w14:paraId="1908EC82" w14:textId="7DEEE14C"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11" w:history="1">
            <w:r w:rsidRPr="00E14024">
              <w:rPr>
                <w:rStyle w:val="Hiperpovezava"/>
              </w:rPr>
              <w:t>1.2.4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_Toc223093911 \h </w:instrText>
            </w:r>
            <w:r>
              <w:rPr>
                <w:webHidden/>
              </w:rPr>
            </w:r>
            <w:r>
              <w:rPr>
                <w:webHidden/>
              </w:rPr>
              <w:fldChar w:fldCharType="separate"/>
            </w:r>
            <w:r w:rsidR="00A76D9F">
              <w:rPr>
                <w:webHidden/>
              </w:rPr>
              <w:t>198</w:t>
            </w:r>
            <w:r>
              <w:rPr>
                <w:webHidden/>
              </w:rPr>
              <w:fldChar w:fldCharType="end"/>
            </w:r>
          </w:hyperlink>
        </w:p>
        <w:p w14:paraId="0665FE43" w14:textId="2BB0B0F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12" w:history="1">
            <w:r w:rsidRPr="00E14024">
              <w:rPr>
                <w:rStyle w:val="Hiperpovezava"/>
              </w:rPr>
              <w:t>1.2.4.1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_Toc223093912 \h </w:instrText>
            </w:r>
            <w:r>
              <w:rPr>
                <w:webHidden/>
              </w:rPr>
            </w:r>
            <w:r>
              <w:rPr>
                <w:webHidden/>
              </w:rPr>
              <w:fldChar w:fldCharType="separate"/>
            </w:r>
            <w:r w:rsidR="00A76D9F">
              <w:rPr>
                <w:webHidden/>
              </w:rPr>
              <w:t>198</w:t>
            </w:r>
            <w:r>
              <w:rPr>
                <w:webHidden/>
              </w:rPr>
              <w:fldChar w:fldCharType="end"/>
            </w:r>
          </w:hyperlink>
        </w:p>
        <w:p w14:paraId="11D80B50" w14:textId="75952AB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13" w:history="1">
            <w:r w:rsidRPr="00E14024">
              <w:rPr>
                <w:rStyle w:val="Hiperpovezava"/>
              </w:rPr>
              <w:t>1.2.4.2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Zadeve na podlagi Zakona o odpravi krivic zaradi izbrisa pravnih oseb iz sodnega registra v obdobju od 23. julija 1999 do 15. januarja 2008</w:t>
            </w:r>
            <w:r>
              <w:rPr>
                <w:webHidden/>
              </w:rPr>
              <w:tab/>
            </w:r>
            <w:r>
              <w:rPr>
                <w:webHidden/>
              </w:rPr>
              <w:fldChar w:fldCharType="begin"/>
            </w:r>
            <w:r>
              <w:rPr>
                <w:webHidden/>
              </w:rPr>
              <w:instrText xml:space="preserve"> PAGEREF _Toc223093913 \h </w:instrText>
            </w:r>
            <w:r>
              <w:rPr>
                <w:webHidden/>
              </w:rPr>
            </w:r>
            <w:r>
              <w:rPr>
                <w:webHidden/>
              </w:rPr>
              <w:fldChar w:fldCharType="separate"/>
            </w:r>
            <w:r w:rsidR="00A76D9F">
              <w:rPr>
                <w:webHidden/>
              </w:rPr>
              <w:t>199</w:t>
            </w:r>
            <w:r>
              <w:rPr>
                <w:webHidden/>
              </w:rPr>
              <w:fldChar w:fldCharType="end"/>
            </w:r>
          </w:hyperlink>
        </w:p>
        <w:p w14:paraId="2836ADAB" w14:textId="55AA3328"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14" w:history="1">
            <w:r w:rsidRPr="00E14024">
              <w:rPr>
                <w:rStyle w:val="Hiperpovezava"/>
              </w:rPr>
              <w:t>1.2.4.2.1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Pravna problematika</w:t>
            </w:r>
            <w:r>
              <w:rPr>
                <w:webHidden/>
              </w:rPr>
              <w:tab/>
            </w:r>
            <w:r>
              <w:rPr>
                <w:webHidden/>
              </w:rPr>
              <w:fldChar w:fldCharType="begin"/>
            </w:r>
            <w:r>
              <w:rPr>
                <w:webHidden/>
              </w:rPr>
              <w:instrText xml:space="preserve"> PAGEREF _Toc223093914 \h </w:instrText>
            </w:r>
            <w:r>
              <w:rPr>
                <w:webHidden/>
              </w:rPr>
            </w:r>
            <w:r>
              <w:rPr>
                <w:webHidden/>
              </w:rPr>
              <w:fldChar w:fldCharType="separate"/>
            </w:r>
            <w:r w:rsidR="00A76D9F">
              <w:rPr>
                <w:webHidden/>
              </w:rPr>
              <w:t>199</w:t>
            </w:r>
            <w:r>
              <w:rPr>
                <w:webHidden/>
              </w:rPr>
              <w:fldChar w:fldCharType="end"/>
            </w:r>
          </w:hyperlink>
        </w:p>
        <w:p w14:paraId="54B13609" w14:textId="359A022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15" w:history="1">
            <w:r w:rsidRPr="00E14024">
              <w:rPr>
                <w:rStyle w:val="Hiperpovezava"/>
              </w:rPr>
              <w:t>1.2.4.2.2</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Delovna skupina in njene aktivnosti v letu 2025</w:t>
            </w:r>
            <w:r>
              <w:rPr>
                <w:webHidden/>
              </w:rPr>
              <w:tab/>
            </w:r>
            <w:r>
              <w:rPr>
                <w:webHidden/>
              </w:rPr>
              <w:fldChar w:fldCharType="begin"/>
            </w:r>
            <w:r>
              <w:rPr>
                <w:webHidden/>
              </w:rPr>
              <w:instrText xml:space="preserve"> PAGEREF _Toc223093915 \h </w:instrText>
            </w:r>
            <w:r>
              <w:rPr>
                <w:webHidden/>
              </w:rPr>
            </w:r>
            <w:r>
              <w:rPr>
                <w:webHidden/>
              </w:rPr>
              <w:fldChar w:fldCharType="separate"/>
            </w:r>
            <w:r w:rsidR="00A76D9F">
              <w:rPr>
                <w:webHidden/>
              </w:rPr>
              <w:t>201</w:t>
            </w:r>
            <w:r>
              <w:rPr>
                <w:webHidden/>
              </w:rPr>
              <w:fldChar w:fldCharType="end"/>
            </w:r>
          </w:hyperlink>
        </w:p>
        <w:p w14:paraId="2D72EAF6" w14:textId="29F567B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16" w:history="1">
            <w:r w:rsidRPr="00E14024">
              <w:rPr>
                <w:rStyle w:val="Hiperpovezava"/>
              </w:rPr>
              <w:t>1.2.4.3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Zadeve »Agrarne skupnosti«</w:t>
            </w:r>
            <w:r>
              <w:rPr>
                <w:webHidden/>
              </w:rPr>
              <w:tab/>
            </w:r>
            <w:r>
              <w:rPr>
                <w:webHidden/>
              </w:rPr>
              <w:fldChar w:fldCharType="begin"/>
            </w:r>
            <w:r>
              <w:rPr>
                <w:webHidden/>
              </w:rPr>
              <w:instrText xml:space="preserve"> PAGEREF _Toc223093916 \h </w:instrText>
            </w:r>
            <w:r>
              <w:rPr>
                <w:webHidden/>
              </w:rPr>
            </w:r>
            <w:r>
              <w:rPr>
                <w:webHidden/>
              </w:rPr>
              <w:fldChar w:fldCharType="separate"/>
            </w:r>
            <w:r w:rsidR="00A76D9F">
              <w:rPr>
                <w:webHidden/>
              </w:rPr>
              <w:t>202</w:t>
            </w:r>
            <w:r>
              <w:rPr>
                <w:webHidden/>
              </w:rPr>
              <w:fldChar w:fldCharType="end"/>
            </w:r>
          </w:hyperlink>
        </w:p>
        <w:p w14:paraId="2CACA43A" w14:textId="6F49B53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17" w:history="1">
            <w:r w:rsidRPr="00E14024">
              <w:rPr>
                <w:rStyle w:val="Hiperpovezava"/>
              </w:rPr>
              <w:t>1.2.4.4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Zadeve, ki se nanašajo na obravnavo zahtevkov iz naslova kršitev pogodb v zvezi s poslovanjem in obratovanjem Letališča E. Rusjana Maribor</w:t>
            </w:r>
            <w:r>
              <w:rPr>
                <w:webHidden/>
              </w:rPr>
              <w:tab/>
            </w:r>
            <w:r>
              <w:rPr>
                <w:webHidden/>
              </w:rPr>
              <w:fldChar w:fldCharType="begin"/>
            </w:r>
            <w:r>
              <w:rPr>
                <w:webHidden/>
              </w:rPr>
              <w:instrText xml:space="preserve"> PAGEREF _Toc223093917 \h </w:instrText>
            </w:r>
            <w:r>
              <w:rPr>
                <w:webHidden/>
              </w:rPr>
            </w:r>
            <w:r>
              <w:rPr>
                <w:webHidden/>
              </w:rPr>
              <w:fldChar w:fldCharType="separate"/>
            </w:r>
            <w:r w:rsidR="00A76D9F">
              <w:rPr>
                <w:webHidden/>
              </w:rPr>
              <w:t>204</w:t>
            </w:r>
            <w:r>
              <w:rPr>
                <w:webHidden/>
              </w:rPr>
              <w:fldChar w:fldCharType="end"/>
            </w:r>
          </w:hyperlink>
        </w:p>
        <w:p w14:paraId="76251C22" w14:textId="1A52D29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18" w:history="1">
            <w:r w:rsidRPr="00E14024">
              <w:rPr>
                <w:rStyle w:val="Hiperpovezava"/>
                <w:bCs/>
              </w:rPr>
              <w:t>1.2.4.5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Zadeve lovskih družin zaradi ugotovitve lastninske pravice</w:t>
            </w:r>
            <w:r>
              <w:rPr>
                <w:webHidden/>
              </w:rPr>
              <w:tab/>
            </w:r>
            <w:r>
              <w:rPr>
                <w:webHidden/>
              </w:rPr>
              <w:fldChar w:fldCharType="begin"/>
            </w:r>
            <w:r>
              <w:rPr>
                <w:webHidden/>
              </w:rPr>
              <w:instrText xml:space="preserve"> PAGEREF _Toc223093918 \h </w:instrText>
            </w:r>
            <w:r>
              <w:rPr>
                <w:webHidden/>
              </w:rPr>
            </w:r>
            <w:r>
              <w:rPr>
                <w:webHidden/>
              </w:rPr>
              <w:fldChar w:fldCharType="separate"/>
            </w:r>
            <w:r w:rsidR="00A76D9F">
              <w:rPr>
                <w:webHidden/>
              </w:rPr>
              <w:t>205</w:t>
            </w:r>
            <w:r>
              <w:rPr>
                <w:webHidden/>
              </w:rPr>
              <w:fldChar w:fldCharType="end"/>
            </w:r>
          </w:hyperlink>
        </w:p>
        <w:p w14:paraId="08B5471B" w14:textId="1F251EA2"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19" w:history="1">
            <w:r w:rsidRPr="00E14024">
              <w:rPr>
                <w:rStyle w:val="Hiperpovezava"/>
                <w:noProof/>
              </w:rPr>
              <w:t>1.3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Delovnopravne in socialnopravne zadeve</w:t>
            </w:r>
            <w:r>
              <w:rPr>
                <w:noProof/>
                <w:webHidden/>
              </w:rPr>
              <w:tab/>
            </w:r>
            <w:r>
              <w:rPr>
                <w:noProof/>
                <w:webHidden/>
              </w:rPr>
              <w:fldChar w:fldCharType="begin"/>
            </w:r>
            <w:r>
              <w:rPr>
                <w:noProof/>
                <w:webHidden/>
              </w:rPr>
              <w:instrText xml:space="preserve"> PAGEREF _Toc223093919 \h </w:instrText>
            </w:r>
            <w:r>
              <w:rPr>
                <w:noProof/>
                <w:webHidden/>
              </w:rPr>
            </w:r>
            <w:r>
              <w:rPr>
                <w:noProof/>
                <w:webHidden/>
              </w:rPr>
              <w:fldChar w:fldCharType="separate"/>
            </w:r>
            <w:r w:rsidR="00A76D9F">
              <w:rPr>
                <w:noProof/>
                <w:webHidden/>
              </w:rPr>
              <w:t>205</w:t>
            </w:r>
            <w:r>
              <w:rPr>
                <w:noProof/>
                <w:webHidden/>
              </w:rPr>
              <w:fldChar w:fldCharType="end"/>
            </w:r>
          </w:hyperlink>
        </w:p>
        <w:p w14:paraId="2D7588F0" w14:textId="345BAC4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20" w:history="1">
            <w:r w:rsidRPr="00E14024">
              <w:rPr>
                <w:rStyle w:val="Hiperpovezava"/>
              </w:rPr>
              <w:t>1.3.1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_Toc223093920 \h </w:instrText>
            </w:r>
            <w:r>
              <w:rPr>
                <w:webHidden/>
              </w:rPr>
            </w:r>
            <w:r>
              <w:rPr>
                <w:webHidden/>
              </w:rPr>
              <w:fldChar w:fldCharType="separate"/>
            </w:r>
            <w:r w:rsidR="00A76D9F">
              <w:rPr>
                <w:webHidden/>
              </w:rPr>
              <w:t>205</w:t>
            </w:r>
            <w:r>
              <w:rPr>
                <w:webHidden/>
              </w:rPr>
              <w:fldChar w:fldCharType="end"/>
            </w:r>
          </w:hyperlink>
        </w:p>
        <w:p w14:paraId="11132686" w14:textId="697CA8C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21" w:history="1">
            <w:r w:rsidRPr="00E14024">
              <w:rPr>
                <w:rStyle w:val="Hiperpovezava"/>
              </w:rPr>
              <w:t>1.3.2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_Toc223093921 \h </w:instrText>
            </w:r>
            <w:r>
              <w:rPr>
                <w:webHidden/>
              </w:rPr>
            </w:r>
            <w:r>
              <w:rPr>
                <w:webHidden/>
              </w:rPr>
              <w:fldChar w:fldCharType="separate"/>
            </w:r>
            <w:r w:rsidR="00A76D9F">
              <w:rPr>
                <w:webHidden/>
              </w:rPr>
              <w:t>207</w:t>
            </w:r>
            <w:r>
              <w:rPr>
                <w:webHidden/>
              </w:rPr>
              <w:fldChar w:fldCharType="end"/>
            </w:r>
          </w:hyperlink>
        </w:p>
        <w:p w14:paraId="26B99329" w14:textId="056666F9"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22" w:history="1">
            <w:r w:rsidRPr="00E14024">
              <w:rPr>
                <w:rStyle w:val="Hiperpovezava"/>
              </w:rPr>
              <w:t>1.3.3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_Toc223093922 \h </w:instrText>
            </w:r>
            <w:r>
              <w:rPr>
                <w:webHidden/>
              </w:rPr>
            </w:r>
            <w:r>
              <w:rPr>
                <w:webHidden/>
              </w:rPr>
              <w:fldChar w:fldCharType="separate"/>
            </w:r>
            <w:r w:rsidR="00A76D9F">
              <w:rPr>
                <w:webHidden/>
              </w:rPr>
              <w:t>208</w:t>
            </w:r>
            <w:r>
              <w:rPr>
                <w:webHidden/>
              </w:rPr>
              <w:fldChar w:fldCharType="end"/>
            </w:r>
          </w:hyperlink>
        </w:p>
        <w:p w14:paraId="384F5360" w14:textId="56E6ED80"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23" w:history="1">
            <w:r w:rsidRPr="00E14024">
              <w:rPr>
                <w:rStyle w:val="Hiperpovezava"/>
              </w:rPr>
              <w:t>1.3.4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_Toc223093923 \h </w:instrText>
            </w:r>
            <w:r>
              <w:rPr>
                <w:webHidden/>
              </w:rPr>
            </w:r>
            <w:r>
              <w:rPr>
                <w:webHidden/>
              </w:rPr>
              <w:fldChar w:fldCharType="separate"/>
            </w:r>
            <w:r w:rsidR="00A76D9F">
              <w:rPr>
                <w:webHidden/>
              </w:rPr>
              <w:t>209</w:t>
            </w:r>
            <w:r>
              <w:rPr>
                <w:webHidden/>
              </w:rPr>
              <w:fldChar w:fldCharType="end"/>
            </w:r>
          </w:hyperlink>
        </w:p>
        <w:p w14:paraId="563E6EA7" w14:textId="41B19E3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24" w:history="1">
            <w:r w:rsidRPr="00E14024">
              <w:rPr>
                <w:rStyle w:val="Hiperpovezava"/>
                <w:rFonts w:eastAsia="Calibri"/>
              </w:rPr>
              <w:t>1.3.4.1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Uvodno</w:t>
            </w:r>
            <w:r>
              <w:rPr>
                <w:webHidden/>
              </w:rPr>
              <w:tab/>
            </w:r>
            <w:r>
              <w:rPr>
                <w:webHidden/>
              </w:rPr>
              <w:fldChar w:fldCharType="begin"/>
            </w:r>
            <w:r>
              <w:rPr>
                <w:webHidden/>
              </w:rPr>
              <w:instrText xml:space="preserve"> PAGEREF _Toc223093924 \h </w:instrText>
            </w:r>
            <w:r>
              <w:rPr>
                <w:webHidden/>
              </w:rPr>
            </w:r>
            <w:r>
              <w:rPr>
                <w:webHidden/>
              </w:rPr>
              <w:fldChar w:fldCharType="separate"/>
            </w:r>
            <w:r w:rsidR="00A76D9F">
              <w:rPr>
                <w:webHidden/>
              </w:rPr>
              <w:t>209</w:t>
            </w:r>
            <w:r>
              <w:rPr>
                <w:webHidden/>
              </w:rPr>
              <w:fldChar w:fldCharType="end"/>
            </w:r>
          </w:hyperlink>
        </w:p>
        <w:p w14:paraId="3427E246" w14:textId="3C3270F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25" w:history="1">
            <w:r w:rsidRPr="00E14024">
              <w:rPr>
                <w:rStyle w:val="Hiperpovezava"/>
              </w:rPr>
              <w:t>1.3.4.2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Prizadevanja Državnega odvetništva RS za mirno reševanje sporov</w:t>
            </w:r>
            <w:r>
              <w:rPr>
                <w:webHidden/>
              </w:rPr>
              <w:tab/>
            </w:r>
            <w:r>
              <w:rPr>
                <w:webHidden/>
              </w:rPr>
              <w:fldChar w:fldCharType="begin"/>
            </w:r>
            <w:r>
              <w:rPr>
                <w:webHidden/>
              </w:rPr>
              <w:instrText xml:space="preserve"> PAGEREF _Toc223093925 \h </w:instrText>
            </w:r>
            <w:r>
              <w:rPr>
                <w:webHidden/>
              </w:rPr>
            </w:r>
            <w:r>
              <w:rPr>
                <w:webHidden/>
              </w:rPr>
              <w:fldChar w:fldCharType="separate"/>
            </w:r>
            <w:r w:rsidR="00A76D9F">
              <w:rPr>
                <w:webHidden/>
              </w:rPr>
              <w:t>210</w:t>
            </w:r>
            <w:r>
              <w:rPr>
                <w:webHidden/>
              </w:rPr>
              <w:fldChar w:fldCharType="end"/>
            </w:r>
          </w:hyperlink>
        </w:p>
        <w:p w14:paraId="79205697" w14:textId="7E02B0D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26" w:history="1">
            <w:r w:rsidRPr="00E14024">
              <w:rPr>
                <w:rStyle w:val="Hiperpovezava"/>
              </w:rPr>
              <w:t>1.3.4.3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Delovnopravne zadeve</w:t>
            </w:r>
            <w:r>
              <w:rPr>
                <w:webHidden/>
              </w:rPr>
              <w:tab/>
            </w:r>
            <w:r>
              <w:rPr>
                <w:webHidden/>
              </w:rPr>
              <w:fldChar w:fldCharType="begin"/>
            </w:r>
            <w:r>
              <w:rPr>
                <w:webHidden/>
              </w:rPr>
              <w:instrText xml:space="preserve"> PAGEREF _Toc223093926 \h </w:instrText>
            </w:r>
            <w:r>
              <w:rPr>
                <w:webHidden/>
              </w:rPr>
            </w:r>
            <w:r>
              <w:rPr>
                <w:webHidden/>
              </w:rPr>
              <w:fldChar w:fldCharType="separate"/>
            </w:r>
            <w:r w:rsidR="00A76D9F">
              <w:rPr>
                <w:webHidden/>
              </w:rPr>
              <w:t>210</w:t>
            </w:r>
            <w:r>
              <w:rPr>
                <w:webHidden/>
              </w:rPr>
              <w:fldChar w:fldCharType="end"/>
            </w:r>
          </w:hyperlink>
        </w:p>
        <w:p w14:paraId="68A6E3C7" w14:textId="7805B02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27" w:history="1">
            <w:r w:rsidRPr="00E14024">
              <w:rPr>
                <w:rStyle w:val="Hiperpovezava"/>
              </w:rPr>
              <w:t>1.3.4.3.1</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Delovni spori iz naslova stalne pripravljenosti</w:t>
            </w:r>
            <w:r>
              <w:rPr>
                <w:webHidden/>
              </w:rPr>
              <w:tab/>
            </w:r>
            <w:r>
              <w:rPr>
                <w:webHidden/>
              </w:rPr>
              <w:fldChar w:fldCharType="begin"/>
            </w:r>
            <w:r>
              <w:rPr>
                <w:webHidden/>
              </w:rPr>
              <w:instrText xml:space="preserve"> PAGEREF _Toc223093927 \h </w:instrText>
            </w:r>
            <w:r>
              <w:rPr>
                <w:webHidden/>
              </w:rPr>
            </w:r>
            <w:r>
              <w:rPr>
                <w:webHidden/>
              </w:rPr>
              <w:fldChar w:fldCharType="separate"/>
            </w:r>
            <w:r w:rsidR="00A76D9F">
              <w:rPr>
                <w:webHidden/>
              </w:rPr>
              <w:t>210</w:t>
            </w:r>
            <w:r>
              <w:rPr>
                <w:webHidden/>
              </w:rPr>
              <w:fldChar w:fldCharType="end"/>
            </w:r>
          </w:hyperlink>
        </w:p>
        <w:p w14:paraId="657D2C1F" w14:textId="7A28F05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28" w:history="1">
            <w:r w:rsidRPr="00E14024">
              <w:rPr>
                <w:rStyle w:val="Hiperpovezava"/>
              </w:rPr>
              <w:t>1.3.4.3.2</w:t>
            </w:r>
            <w:r>
              <w:rPr>
                <w:rFonts w:asciiTheme="minorHAnsi" w:eastAsiaTheme="minorEastAsia" w:hAnsiTheme="minorHAnsi" w:cstheme="minorBidi"/>
                <w:kern w:val="2"/>
                <w:sz w:val="24"/>
                <w:szCs w:val="24"/>
                <w:lang w:eastAsia="sl-SI"/>
                <w14:ligatures w14:val="standardContextual"/>
              </w:rPr>
              <w:tab/>
            </w:r>
            <w:r w:rsidRPr="00E14024">
              <w:rPr>
                <w:rStyle w:val="Hiperpovezava"/>
              </w:rPr>
              <w:t>Tožbe sodnikov na izplačilo razlike v plači</w:t>
            </w:r>
            <w:r>
              <w:rPr>
                <w:webHidden/>
              </w:rPr>
              <w:tab/>
            </w:r>
            <w:r>
              <w:rPr>
                <w:webHidden/>
              </w:rPr>
              <w:fldChar w:fldCharType="begin"/>
            </w:r>
            <w:r>
              <w:rPr>
                <w:webHidden/>
              </w:rPr>
              <w:instrText xml:space="preserve"> PAGEREF _Toc223093928 \h </w:instrText>
            </w:r>
            <w:r>
              <w:rPr>
                <w:webHidden/>
              </w:rPr>
            </w:r>
            <w:r>
              <w:rPr>
                <w:webHidden/>
              </w:rPr>
              <w:fldChar w:fldCharType="separate"/>
            </w:r>
            <w:r w:rsidR="00A76D9F">
              <w:rPr>
                <w:webHidden/>
              </w:rPr>
              <w:t>213</w:t>
            </w:r>
            <w:r>
              <w:rPr>
                <w:webHidden/>
              </w:rPr>
              <w:fldChar w:fldCharType="end"/>
            </w:r>
          </w:hyperlink>
        </w:p>
        <w:p w14:paraId="0E129182" w14:textId="6CF938A1"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29" w:history="1">
            <w:r w:rsidRPr="00E14024">
              <w:rPr>
                <w:rStyle w:val="Hiperpovezava"/>
              </w:rPr>
              <w:t>1.3.4.3.3</w:t>
            </w:r>
            <w:r>
              <w:rPr>
                <w:rFonts w:asciiTheme="minorHAnsi" w:eastAsiaTheme="minorEastAsia" w:hAnsiTheme="minorHAnsi" w:cstheme="minorBidi"/>
                <w:kern w:val="2"/>
                <w:sz w:val="24"/>
                <w:szCs w:val="24"/>
                <w:lang w:eastAsia="sl-SI"/>
                <w14:ligatures w14:val="standardContextual"/>
              </w:rPr>
              <w:tab/>
            </w:r>
            <w:r w:rsidRPr="00E14024">
              <w:rPr>
                <w:rStyle w:val="Hiperpovezava"/>
              </w:rPr>
              <w:t>Kolektivni delovni spor predlagatelja Radiotelevizije Slovenije zoper nasprotno udeleženko Republiko Slovenijo, Ministrstvo za delo, družino, socialne zadeve in enake možnosti, zaradi dopustitve postopka o ugotavljanju reprezentativnosti Sindikata delavcev radiodifuzije Slovenije</w:t>
            </w:r>
            <w:r>
              <w:rPr>
                <w:webHidden/>
              </w:rPr>
              <w:tab/>
            </w:r>
            <w:r>
              <w:rPr>
                <w:webHidden/>
              </w:rPr>
              <w:fldChar w:fldCharType="begin"/>
            </w:r>
            <w:r>
              <w:rPr>
                <w:webHidden/>
              </w:rPr>
              <w:instrText xml:space="preserve"> PAGEREF _Toc223093929 \h </w:instrText>
            </w:r>
            <w:r>
              <w:rPr>
                <w:webHidden/>
              </w:rPr>
            </w:r>
            <w:r>
              <w:rPr>
                <w:webHidden/>
              </w:rPr>
              <w:fldChar w:fldCharType="separate"/>
            </w:r>
            <w:r w:rsidR="00A76D9F">
              <w:rPr>
                <w:webHidden/>
              </w:rPr>
              <w:t>214</w:t>
            </w:r>
            <w:r>
              <w:rPr>
                <w:webHidden/>
              </w:rPr>
              <w:fldChar w:fldCharType="end"/>
            </w:r>
          </w:hyperlink>
        </w:p>
        <w:p w14:paraId="7964DF72" w14:textId="4D58336E"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0" w:history="1">
            <w:r w:rsidRPr="00E14024">
              <w:rPr>
                <w:rStyle w:val="Hiperpovezava"/>
              </w:rPr>
              <w:t>1.3.4.3.4</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Delovni spori sindikalnih zaupnikov</w:t>
            </w:r>
            <w:r>
              <w:rPr>
                <w:webHidden/>
              </w:rPr>
              <w:tab/>
            </w:r>
            <w:r>
              <w:rPr>
                <w:webHidden/>
              </w:rPr>
              <w:fldChar w:fldCharType="begin"/>
            </w:r>
            <w:r>
              <w:rPr>
                <w:webHidden/>
              </w:rPr>
              <w:instrText xml:space="preserve"> PAGEREF _Toc223093930 \h </w:instrText>
            </w:r>
            <w:r>
              <w:rPr>
                <w:webHidden/>
              </w:rPr>
            </w:r>
            <w:r>
              <w:rPr>
                <w:webHidden/>
              </w:rPr>
              <w:fldChar w:fldCharType="separate"/>
            </w:r>
            <w:r w:rsidR="00A76D9F">
              <w:rPr>
                <w:webHidden/>
              </w:rPr>
              <w:t>215</w:t>
            </w:r>
            <w:r>
              <w:rPr>
                <w:webHidden/>
              </w:rPr>
              <w:fldChar w:fldCharType="end"/>
            </w:r>
          </w:hyperlink>
        </w:p>
        <w:p w14:paraId="2DDD1399" w14:textId="327E2B7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1" w:history="1">
            <w:r w:rsidRPr="00E14024">
              <w:rPr>
                <w:rStyle w:val="Hiperpovezava"/>
              </w:rPr>
              <w:t>1.3.4.3.5</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Delovni spori policistov zaradi prijave v obvezno pokojninsko zavarovanje</w:t>
            </w:r>
            <w:r>
              <w:rPr>
                <w:webHidden/>
              </w:rPr>
              <w:tab/>
            </w:r>
            <w:r>
              <w:rPr>
                <w:webHidden/>
              </w:rPr>
              <w:fldChar w:fldCharType="begin"/>
            </w:r>
            <w:r>
              <w:rPr>
                <w:webHidden/>
              </w:rPr>
              <w:instrText xml:space="preserve"> PAGEREF _Toc223093931 \h </w:instrText>
            </w:r>
            <w:r>
              <w:rPr>
                <w:webHidden/>
              </w:rPr>
            </w:r>
            <w:r>
              <w:rPr>
                <w:webHidden/>
              </w:rPr>
              <w:fldChar w:fldCharType="separate"/>
            </w:r>
            <w:r w:rsidR="00A76D9F">
              <w:rPr>
                <w:webHidden/>
              </w:rPr>
              <w:t>216</w:t>
            </w:r>
            <w:r>
              <w:rPr>
                <w:webHidden/>
              </w:rPr>
              <w:fldChar w:fldCharType="end"/>
            </w:r>
          </w:hyperlink>
        </w:p>
        <w:p w14:paraId="15459FBD" w14:textId="7E16022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2" w:history="1">
            <w:r w:rsidRPr="00E14024">
              <w:rPr>
                <w:rStyle w:val="Hiperpovezava"/>
              </w:rPr>
              <w:t>1.3.4.3.6</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Delovni spori policistov zaradi izplačila dodatka za stalno pripravljenost na domu</w:t>
            </w:r>
            <w:r>
              <w:rPr>
                <w:webHidden/>
              </w:rPr>
              <w:tab/>
            </w:r>
            <w:r>
              <w:rPr>
                <w:webHidden/>
              </w:rPr>
              <w:fldChar w:fldCharType="begin"/>
            </w:r>
            <w:r>
              <w:rPr>
                <w:webHidden/>
              </w:rPr>
              <w:instrText xml:space="preserve"> PAGEREF _Toc223093932 \h </w:instrText>
            </w:r>
            <w:r>
              <w:rPr>
                <w:webHidden/>
              </w:rPr>
            </w:r>
            <w:r>
              <w:rPr>
                <w:webHidden/>
              </w:rPr>
              <w:fldChar w:fldCharType="separate"/>
            </w:r>
            <w:r w:rsidR="00A76D9F">
              <w:rPr>
                <w:webHidden/>
              </w:rPr>
              <w:t>216</w:t>
            </w:r>
            <w:r>
              <w:rPr>
                <w:webHidden/>
              </w:rPr>
              <w:fldChar w:fldCharType="end"/>
            </w:r>
          </w:hyperlink>
        </w:p>
        <w:p w14:paraId="2B0DD041" w14:textId="6D00CB6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33" w:history="1">
            <w:r w:rsidRPr="00E14024">
              <w:rPr>
                <w:rStyle w:val="Hiperpovezava"/>
              </w:rPr>
              <w:t>1.3.4.4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Socialnopravne zadeve</w:t>
            </w:r>
            <w:r>
              <w:rPr>
                <w:webHidden/>
              </w:rPr>
              <w:tab/>
            </w:r>
            <w:r>
              <w:rPr>
                <w:webHidden/>
              </w:rPr>
              <w:fldChar w:fldCharType="begin"/>
            </w:r>
            <w:r>
              <w:rPr>
                <w:webHidden/>
              </w:rPr>
              <w:instrText xml:space="preserve"> PAGEREF _Toc223093933 \h </w:instrText>
            </w:r>
            <w:r>
              <w:rPr>
                <w:webHidden/>
              </w:rPr>
            </w:r>
            <w:r>
              <w:rPr>
                <w:webHidden/>
              </w:rPr>
              <w:fldChar w:fldCharType="separate"/>
            </w:r>
            <w:r w:rsidR="00A76D9F">
              <w:rPr>
                <w:webHidden/>
              </w:rPr>
              <w:t>216</w:t>
            </w:r>
            <w:r>
              <w:rPr>
                <w:webHidden/>
              </w:rPr>
              <w:fldChar w:fldCharType="end"/>
            </w:r>
          </w:hyperlink>
        </w:p>
        <w:p w14:paraId="4BFB291A" w14:textId="2244ECD8"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4" w:history="1">
            <w:r w:rsidRPr="00E14024">
              <w:rPr>
                <w:rStyle w:val="Hiperpovezava"/>
              </w:rPr>
              <w:t>1.3.4.4.1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_Toc223093934 \h </w:instrText>
            </w:r>
            <w:r>
              <w:rPr>
                <w:webHidden/>
              </w:rPr>
            </w:r>
            <w:r>
              <w:rPr>
                <w:webHidden/>
              </w:rPr>
              <w:fldChar w:fldCharType="separate"/>
            </w:r>
            <w:r w:rsidR="00A76D9F">
              <w:rPr>
                <w:webHidden/>
              </w:rPr>
              <w:t>216</w:t>
            </w:r>
            <w:r>
              <w:rPr>
                <w:webHidden/>
              </w:rPr>
              <w:fldChar w:fldCharType="end"/>
            </w:r>
          </w:hyperlink>
        </w:p>
        <w:p w14:paraId="7D649BF7" w14:textId="0BAB94D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5" w:history="1">
            <w:r w:rsidRPr="00E14024">
              <w:rPr>
                <w:rStyle w:val="Hiperpovezava"/>
              </w:rPr>
              <w:t>1.3.4.4.2</w:t>
            </w:r>
            <w:r>
              <w:rPr>
                <w:rFonts w:asciiTheme="minorHAnsi" w:eastAsiaTheme="minorEastAsia" w:hAnsiTheme="minorHAnsi" w:cstheme="minorBidi"/>
                <w:kern w:val="2"/>
                <w:sz w:val="24"/>
                <w:szCs w:val="24"/>
                <w:lang w:eastAsia="sl-SI"/>
                <w14:ligatures w14:val="standardContextual"/>
              </w:rPr>
              <w:tab/>
            </w:r>
            <w:r w:rsidRPr="00E14024">
              <w:rPr>
                <w:rStyle w:val="Hiperpovezava"/>
              </w:rPr>
              <w:t>Socialni spori o pravici do Zoisove štipendije</w:t>
            </w:r>
            <w:r>
              <w:rPr>
                <w:webHidden/>
              </w:rPr>
              <w:tab/>
            </w:r>
            <w:r>
              <w:rPr>
                <w:webHidden/>
              </w:rPr>
              <w:fldChar w:fldCharType="begin"/>
            </w:r>
            <w:r>
              <w:rPr>
                <w:webHidden/>
              </w:rPr>
              <w:instrText xml:space="preserve"> PAGEREF _Toc223093935 \h </w:instrText>
            </w:r>
            <w:r>
              <w:rPr>
                <w:webHidden/>
              </w:rPr>
            </w:r>
            <w:r>
              <w:rPr>
                <w:webHidden/>
              </w:rPr>
              <w:fldChar w:fldCharType="separate"/>
            </w:r>
            <w:r w:rsidR="00A76D9F">
              <w:rPr>
                <w:webHidden/>
              </w:rPr>
              <w:t>217</w:t>
            </w:r>
            <w:r>
              <w:rPr>
                <w:webHidden/>
              </w:rPr>
              <w:fldChar w:fldCharType="end"/>
            </w:r>
          </w:hyperlink>
        </w:p>
        <w:p w14:paraId="17C0448D" w14:textId="7C14A9A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6" w:history="1">
            <w:r w:rsidRPr="00E14024">
              <w:rPr>
                <w:rStyle w:val="Hiperpovezava"/>
              </w:rPr>
              <w:t>1.3.4.4.3</w:t>
            </w:r>
            <w:r>
              <w:rPr>
                <w:rFonts w:asciiTheme="minorHAnsi" w:eastAsiaTheme="minorEastAsia" w:hAnsiTheme="minorHAnsi" w:cstheme="minorBidi"/>
                <w:kern w:val="2"/>
                <w:sz w:val="24"/>
                <w:szCs w:val="24"/>
                <w:lang w:eastAsia="sl-SI"/>
                <w14:ligatures w14:val="standardContextual"/>
              </w:rPr>
              <w:tab/>
            </w:r>
            <w:r w:rsidRPr="00E14024">
              <w:rPr>
                <w:rStyle w:val="Hiperpovezava"/>
              </w:rPr>
              <w:t>Odpis vračila državnih štipendij</w:t>
            </w:r>
            <w:r>
              <w:rPr>
                <w:webHidden/>
              </w:rPr>
              <w:tab/>
            </w:r>
            <w:r>
              <w:rPr>
                <w:webHidden/>
              </w:rPr>
              <w:fldChar w:fldCharType="begin"/>
            </w:r>
            <w:r>
              <w:rPr>
                <w:webHidden/>
              </w:rPr>
              <w:instrText xml:space="preserve"> PAGEREF _Toc223093936 \h </w:instrText>
            </w:r>
            <w:r>
              <w:rPr>
                <w:webHidden/>
              </w:rPr>
            </w:r>
            <w:r>
              <w:rPr>
                <w:webHidden/>
              </w:rPr>
              <w:fldChar w:fldCharType="separate"/>
            </w:r>
            <w:r w:rsidR="00A76D9F">
              <w:rPr>
                <w:webHidden/>
              </w:rPr>
              <w:t>218</w:t>
            </w:r>
            <w:r>
              <w:rPr>
                <w:webHidden/>
              </w:rPr>
              <w:fldChar w:fldCharType="end"/>
            </w:r>
          </w:hyperlink>
        </w:p>
        <w:p w14:paraId="46128567" w14:textId="7FB8589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7" w:history="1">
            <w:r w:rsidRPr="00E14024">
              <w:rPr>
                <w:rStyle w:val="Hiperpovezava"/>
              </w:rPr>
              <w:t>1.3.4.4.4</w:t>
            </w:r>
            <w:r>
              <w:rPr>
                <w:rFonts w:asciiTheme="minorHAnsi" w:eastAsiaTheme="minorEastAsia" w:hAnsiTheme="minorHAnsi" w:cstheme="minorBidi"/>
                <w:kern w:val="2"/>
                <w:sz w:val="24"/>
                <w:szCs w:val="24"/>
                <w:lang w:eastAsia="sl-SI"/>
                <w14:ligatures w14:val="standardContextual"/>
              </w:rPr>
              <w:tab/>
            </w:r>
            <w:r w:rsidRPr="00E14024">
              <w:rPr>
                <w:rStyle w:val="Hiperpovezava"/>
              </w:rPr>
              <w:t>Odločba Ustavnega sodišča, št. U-I-41/23-9 z dne 10. 4. 2025</w:t>
            </w:r>
            <w:r>
              <w:rPr>
                <w:webHidden/>
              </w:rPr>
              <w:tab/>
            </w:r>
            <w:r>
              <w:rPr>
                <w:webHidden/>
              </w:rPr>
              <w:fldChar w:fldCharType="begin"/>
            </w:r>
            <w:r>
              <w:rPr>
                <w:webHidden/>
              </w:rPr>
              <w:instrText xml:space="preserve"> PAGEREF _Toc223093937 \h </w:instrText>
            </w:r>
            <w:r>
              <w:rPr>
                <w:webHidden/>
              </w:rPr>
            </w:r>
            <w:r>
              <w:rPr>
                <w:webHidden/>
              </w:rPr>
              <w:fldChar w:fldCharType="separate"/>
            </w:r>
            <w:r w:rsidR="00A76D9F">
              <w:rPr>
                <w:webHidden/>
              </w:rPr>
              <w:t>218</w:t>
            </w:r>
            <w:r>
              <w:rPr>
                <w:webHidden/>
              </w:rPr>
              <w:fldChar w:fldCharType="end"/>
            </w:r>
          </w:hyperlink>
        </w:p>
        <w:p w14:paraId="4F949264" w14:textId="2E60FFE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8" w:history="1">
            <w:r w:rsidRPr="00E14024">
              <w:rPr>
                <w:rStyle w:val="Hiperpovezava"/>
              </w:rPr>
              <w:t>1.3.4.4.5</w:t>
            </w:r>
            <w:r>
              <w:rPr>
                <w:rFonts w:asciiTheme="minorHAnsi" w:eastAsiaTheme="minorEastAsia" w:hAnsiTheme="minorHAnsi" w:cstheme="minorBidi"/>
                <w:kern w:val="2"/>
                <w:sz w:val="24"/>
                <w:szCs w:val="24"/>
                <w:lang w:eastAsia="sl-SI"/>
                <w14:ligatures w14:val="standardContextual"/>
              </w:rPr>
              <w:tab/>
            </w:r>
            <w:r w:rsidRPr="00E14024">
              <w:rPr>
                <w:rStyle w:val="Hiperpovezava"/>
              </w:rPr>
              <w:t>Zakon o socialnem vključevanju invalidov</w:t>
            </w:r>
            <w:r>
              <w:rPr>
                <w:webHidden/>
              </w:rPr>
              <w:tab/>
            </w:r>
            <w:r>
              <w:rPr>
                <w:webHidden/>
              </w:rPr>
              <w:fldChar w:fldCharType="begin"/>
            </w:r>
            <w:r>
              <w:rPr>
                <w:webHidden/>
              </w:rPr>
              <w:instrText xml:space="preserve"> PAGEREF _Toc223093938 \h </w:instrText>
            </w:r>
            <w:r>
              <w:rPr>
                <w:webHidden/>
              </w:rPr>
            </w:r>
            <w:r>
              <w:rPr>
                <w:webHidden/>
              </w:rPr>
              <w:fldChar w:fldCharType="separate"/>
            </w:r>
            <w:r w:rsidR="00A76D9F">
              <w:rPr>
                <w:webHidden/>
              </w:rPr>
              <w:t>219</w:t>
            </w:r>
            <w:r>
              <w:rPr>
                <w:webHidden/>
              </w:rPr>
              <w:fldChar w:fldCharType="end"/>
            </w:r>
          </w:hyperlink>
        </w:p>
        <w:p w14:paraId="11C0D53B" w14:textId="36A108F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39" w:history="1">
            <w:r w:rsidRPr="00E14024">
              <w:rPr>
                <w:rStyle w:val="Hiperpovezava"/>
              </w:rPr>
              <w:t>1.3.4.4.6</w:t>
            </w:r>
            <w:r>
              <w:rPr>
                <w:rFonts w:asciiTheme="minorHAnsi" w:eastAsiaTheme="minorEastAsia" w:hAnsiTheme="minorHAnsi" w:cstheme="minorBidi"/>
                <w:kern w:val="2"/>
                <w:sz w:val="24"/>
                <w:szCs w:val="24"/>
                <w:lang w:eastAsia="sl-SI"/>
                <w14:ligatures w14:val="standardContextual"/>
              </w:rPr>
              <w:tab/>
            </w:r>
            <w:r w:rsidRPr="00E14024">
              <w:rPr>
                <w:rStyle w:val="Hiperpovezava"/>
              </w:rPr>
              <w:t>Procesne aktivnosti Državnega odvetništva RS za oblikovanje sodne prakse v socialnih sporih</w:t>
            </w:r>
            <w:r>
              <w:rPr>
                <w:webHidden/>
              </w:rPr>
              <w:tab/>
            </w:r>
            <w:r>
              <w:rPr>
                <w:webHidden/>
              </w:rPr>
              <w:fldChar w:fldCharType="begin"/>
            </w:r>
            <w:r>
              <w:rPr>
                <w:webHidden/>
              </w:rPr>
              <w:instrText xml:space="preserve"> PAGEREF _Toc223093939 \h </w:instrText>
            </w:r>
            <w:r>
              <w:rPr>
                <w:webHidden/>
              </w:rPr>
            </w:r>
            <w:r>
              <w:rPr>
                <w:webHidden/>
              </w:rPr>
              <w:fldChar w:fldCharType="separate"/>
            </w:r>
            <w:r w:rsidR="00A76D9F">
              <w:rPr>
                <w:webHidden/>
              </w:rPr>
              <w:t>219</w:t>
            </w:r>
            <w:r>
              <w:rPr>
                <w:webHidden/>
              </w:rPr>
              <w:fldChar w:fldCharType="end"/>
            </w:r>
          </w:hyperlink>
        </w:p>
        <w:p w14:paraId="2DC0F62D" w14:textId="23E3928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40" w:history="1">
            <w:r w:rsidRPr="00E14024">
              <w:rPr>
                <w:rStyle w:val="Hiperpovezava"/>
                <w:rFonts w:eastAsia="Calibri"/>
              </w:rPr>
              <w:t>1.3.4.5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Splošna priporočila Državnega odvetništva RS</w:t>
            </w:r>
            <w:r>
              <w:rPr>
                <w:webHidden/>
              </w:rPr>
              <w:tab/>
            </w:r>
            <w:r>
              <w:rPr>
                <w:webHidden/>
              </w:rPr>
              <w:fldChar w:fldCharType="begin"/>
            </w:r>
            <w:r>
              <w:rPr>
                <w:webHidden/>
              </w:rPr>
              <w:instrText xml:space="preserve"> PAGEREF _Toc223093940 \h </w:instrText>
            </w:r>
            <w:r>
              <w:rPr>
                <w:webHidden/>
              </w:rPr>
            </w:r>
            <w:r>
              <w:rPr>
                <w:webHidden/>
              </w:rPr>
              <w:fldChar w:fldCharType="separate"/>
            </w:r>
            <w:r w:rsidR="00A76D9F">
              <w:rPr>
                <w:webHidden/>
              </w:rPr>
              <w:t>221</w:t>
            </w:r>
            <w:r>
              <w:rPr>
                <w:webHidden/>
              </w:rPr>
              <w:fldChar w:fldCharType="end"/>
            </w:r>
          </w:hyperlink>
        </w:p>
        <w:p w14:paraId="5EB0E999" w14:textId="64EBD26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41" w:history="1">
            <w:r w:rsidRPr="00E14024">
              <w:rPr>
                <w:rStyle w:val="Hiperpovezava"/>
                <w:rFonts w:eastAsia="Calibri"/>
              </w:rPr>
              <w:t>1.3.4.6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rPr>
              <w:t>Predlog spremembe 28. člena ZPIZ-2</w:t>
            </w:r>
            <w:r>
              <w:rPr>
                <w:webHidden/>
              </w:rPr>
              <w:tab/>
            </w:r>
            <w:r>
              <w:rPr>
                <w:webHidden/>
              </w:rPr>
              <w:fldChar w:fldCharType="begin"/>
            </w:r>
            <w:r>
              <w:rPr>
                <w:webHidden/>
              </w:rPr>
              <w:instrText xml:space="preserve"> PAGEREF _Toc223093941 \h </w:instrText>
            </w:r>
            <w:r>
              <w:rPr>
                <w:webHidden/>
              </w:rPr>
            </w:r>
            <w:r>
              <w:rPr>
                <w:webHidden/>
              </w:rPr>
              <w:fldChar w:fldCharType="separate"/>
            </w:r>
            <w:r w:rsidR="00A76D9F">
              <w:rPr>
                <w:webHidden/>
              </w:rPr>
              <w:t>222</w:t>
            </w:r>
            <w:r>
              <w:rPr>
                <w:webHidden/>
              </w:rPr>
              <w:fldChar w:fldCharType="end"/>
            </w:r>
          </w:hyperlink>
        </w:p>
        <w:p w14:paraId="43FE76D6" w14:textId="45D6B799"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42" w:history="1">
            <w:r w:rsidRPr="00E14024">
              <w:rPr>
                <w:rStyle w:val="Hiperpovezava"/>
                <w:noProof/>
              </w:rPr>
              <w:t>1.4</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Predhodni postopki</w:t>
            </w:r>
            <w:r>
              <w:rPr>
                <w:noProof/>
                <w:webHidden/>
              </w:rPr>
              <w:tab/>
            </w:r>
            <w:r>
              <w:rPr>
                <w:noProof/>
                <w:webHidden/>
              </w:rPr>
              <w:fldChar w:fldCharType="begin"/>
            </w:r>
            <w:r>
              <w:rPr>
                <w:noProof/>
                <w:webHidden/>
              </w:rPr>
              <w:instrText xml:space="preserve"> PAGEREF _Toc223093942 \h </w:instrText>
            </w:r>
            <w:r>
              <w:rPr>
                <w:noProof/>
                <w:webHidden/>
              </w:rPr>
            </w:r>
            <w:r>
              <w:rPr>
                <w:noProof/>
                <w:webHidden/>
              </w:rPr>
              <w:fldChar w:fldCharType="separate"/>
            </w:r>
            <w:r w:rsidR="00A76D9F">
              <w:rPr>
                <w:noProof/>
                <w:webHidden/>
              </w:rPr>
              <w:t>223</w:t>
            </w:r>
            <w:r>
              <w:rPr>
                <w:noProof/>
                <w:webHidden/>
              </w:rPr>
              <w:fldChar w:fldCharType="end"/>
            </w:r>
          </w:hyperlink>
        </w:p>
        <w:p w14:paraId="1421CAEF" w14:textId="27DE975C"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43" w:history="1">
            <w:r w:rsidRPr="00E14024">
              <w:rPr>
                <w:rStyle w:val="Hiperpovezava"/>
              </w:rPr>
              <w:t>1.4.1</w:t>
            </w:r>
            <w:r>
              <w:rPr>
                <w:rFonts w:asciiTheme="minorHAnsi" w:eastAsiaTheme="minorEastAsia" w:hAnsiTheme="minorHAnsi" w:cstheme="minorBidi"/>
                <w:kern w:val="2"/>
                <w:sz w:val="24"/>
                <w:szCs w:val="24"/>
                <w:lang w:eastAsia="sl-SI"/>
                <w14:ligatures w14:val="standardContextual"/>
              </w:rPr>
              <w:tab/>
            </w:r>
            <w:r w:rsidRPr="00E14024">
              <w:rPr>
                <w:rStyle w:val="Hiperpovezava"/>
              </w:rPr>
              <w:t>Postopki po 5. oddelku II. poglavja ZDOdv</w:t>
            </w:r>
            <w:r>
              <w:rPr>
                <w:webHidden/>
              </w:rPr>
              <w:tab/>
            </w:r>
            <w:r>
              <w:rPr>
                <w:webHidden/>
              </w:rPr>
              <w:fldChar w:fldCharType="begin"/>
            </w:r>
            <w:r>
              <w:rPr>
                <w:webHidden/>
              </w:rPr>
              <w:instrText xml:space="preserve"> PAGEREF _Toc223093943 \h </w:instrText>
            </w:r>
            <w:r>
              <w:rPr>
                <w:webHidden/>
              </w:rPr>
            </w:r>
            <w:r>
              <w:rPr>
                <w:webHidden/>
              </w:rPr>
              <w:fldChar w:fldCharType="separate"/>
            </w:r>
            <w:r w:rsidR="00A76D9F">
              <w:rPr>
                <w:webHidden/>
              </w:rPr>
              <w:t>223</w:t>
            </w:r>
            <w:r>
              <w:rPr>
                <w:webHidden/>
              </w:rPr>
              <w:fldChar w:fldCharType="end"/>
            </w:r>
          </w:hyperlink>
        </w:p>
        <w:p w14:paraId="6F72E878" w14:textId="3207FB1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44" w:history="1">
            <w:r w:rsidRPr="00E14024">
              <w:rPr>
                <w:rStyle w:val="Hiperpovezava"/>
              </w:rPr>
              <w:t>1.4.1.1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_Toc223093944 \h </w:instrText>
            </w:r>
            <w:r>
              <w:rPr>
                <w:webHidden/>
              </w:rPr>
            </w:r>
            <w:r>
              <w:rPr>
                <w:webHidden/>
              </w:rPr>
              <w:fldChar w:fldCharType="separate"/>
            </w:r>
            <w:r w:rsidR="00A76D9F">
              <w:rPr>
                <w:webHidden/>
              </w:rPr>
              <w:t>223</w:t>
            </w:r>
            <w:r>
              <w:rPr>
                <w:webHidden/>
              </w:rPr>
              <w:fldChar w:fldCharType="end"/>
            </w:r>
          </w:hyperlink>
        </w:p>
        <w:p w14:paraId="264D45E5" w14:textId="5D1D439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45" w:history="1">
            <w:r w:rsidRPr="00E14024">
              <w:rPr>
                <w:rStyle w:val="Hiperpovezava"/>
              </w:rPr>
              <w:t>1.4.1.2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_Toc223093945 \h </w:instrText>
            </w:r>
            <w:r>
              <w:rPr>
                <w:webHidden/>
              </w:rPr>
            </w:r>
            <w:r>
              <w:rPr>
                <w:webHidden/>
              </w:rPr>
              <w:fldChar w:fldCharType="separate"/>
            </w:r>
            <w:r w:rsidR="00A76D9F">
              <w:rPr>
                <w:webHidden/>
              </w:rPr>
              <w:t>224</w:t>
            </w:r>
            <w:r>
              <w:rPr>
                <w:webHidden/>
              </w:rPr>
              <w:fldChar w:fldCharType="end"/>
            </w:r>
          </w:hyperlink>
        </w:p>
        <w:p w14:paraId="7D7F373B" w14:textId="546818E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46" w:history="1">
            <w:r w:rsidRPr="00E14024">
              <w:rPr>
                <w:rStyle w:val="Hiperpovezava"/>
              </w:rPr>
              <w:t>1.4.1.3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_Toc223093946 \h </w:instrText>
            </w:r>
            <w:r>
              <w:rPr>
                <w:webHidden/>
              </w:rPr>
            </w:r>
            <w:r>
              <w:rPr>
                <w:webHidden/>
              </w:rPr>
              <w:fldChar w:fldCharType="separate"/>
            </w:r>
            <w:r w:rsidR="00A76D9F">
              <w:rPr>
                <w:webHidden/>
              </w:rPr>
              <w:t>224</w:t>
            </w:r>
            <w:r>
              <w:rPr>
                <w:webHidden/>
              </w:rPr>
              <w:fldChar w:fldCharType="end"/>
            </w:r>
          </w:hyperlink>
        </w:p>
        <w:p w14:paraId="1476D8DC" w14:textId="2E1DCB3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47" w:history="1">
            <w:r w:rsidRPr="00E14024">
              <w:rPr>
                <w:rStyle w:val="Hiperpovezava"/>
              </w:rPr>
              <w:t>1.4.1.4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_Toc223093947 \h </w:instrText>
            </w:r>
            <w:r>
              <w:rPr>
                <w:webHidden/>
              </w:rPr>
            </w:r>
            <w:r>
              <w:rPr>
                <w:webHidden/>
              </w:rPr>
              <w:fldChar w:fldCharType="separate"/>
            </w:r>
            <w:r w:rsidR="00A76D9F">
              <w:rPr>
                <w:webHidden/>
              </w:rPr>
              <w:t>226</w:t>
            </w:r>
            <w:r>
              <w:rPr>
                <w:webHidden/>
              </w:rPr>
              <w:fldChar w:fldCharType="end"/>
            </w:r>
          </w:hyperlink>
        </w:p>
        <w:p w14:paraId="2E6A1E4E" w14:textId="4C0D54F9"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48" w:history="1">
            <w:r w:rsidRPr="00E14024">
              <w:rPr>
                <w:rStyle w:val="Hiperpovezava"/>
              </w:rPr>
              <w:t>1.4.1.4.1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Prizadevanja Državnega odvetništva RS za sklepanje poravnav</w:t>
            </w:r>
            <w:r>
              <w:rPr>
                <w:webHidden/>
              </w:rPr>
              <w:tab/>
            </w:r>
            <w:r>
              <w:rPr>
                <w:webHidden/>
              </w:rPr>
              <w:fldChar w:fldCharType="begin"/>
            </w:r>
            <w:r>
              <w:rPr>
                <w:webHidden/>
              </w:rPr>
              <w:instrText xml:space="preserve"> PAGEREF _Toc223093948 \h </w:instrText>
            </w:r>
            <w:r>
              <w:rPr>
                <w:webHidden/>
              </w:rPr>
            </w:r>
            <w:r>
              <w:rPr>
                <w:webHidden/>
              </w:rPr>
              <w:fldChar w:fldCharType="separate"/>
            </w:r>
            <w:r w:rsidR="00A76D9F">
              <w:rPr>
                <w:webHidden/>
              </w:rPr>
              <w:t>226</w:t>
            </w:r>
            <w:r>
              <w:rPr>
                <w:webHidden/>
              </w:rPr>
              <w:fldChar w:fldCharType="end"/>
            </w:r>
          </w:hyperlink>
        </w:p>
        <w:p w14:paraId="38195A86" w14:textId="29DA165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49" w:history="1">
            <w:r w:rsidRPr="00E14024">
              <w:rPr>
                <w:rStyle w:val="Hiperpovezava"/>
              </w:rPr>
              <w:t>1.4.1.4.2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Prikaz učinka prizadevanj Državnega odvetništva RS za uresničevanje načela mirnega reševanja sporov</w:t>
            </w:r>
            <w:r>
              <w:rPr>
                <w:webHidden/>
              </w:rPr>
              <w:tab/>
            </w:r>
            <w:r>
              <w:rPr>
                <w:webHidden/>
              </w:rPr>
              <w:fldChar w:fldCharType="begin"/>
            </w:r>
            <w:r>
              <w:rPr>
                <w:webHidden/>
              </w:rPr>
              <w:instrText xml:space="preserve"> PAGEREF _Toc223093949 \h </w:instrText>
            </w:r>
            <w:r>
              <w:rPr>
                <w:webHidden/>
              </w:rPr>
            </w:r>
            <w:r>
              <w:rPr>
                <w:webHidden/>
              </w:rPr>
              <w:fldChar w:fldCharType="separate"/>
            </w:r>
            <w:r w:rsidR="00A76D9F">
              <w:rPr>
                <w:webHidden/>
              </w:rPr>
              <w:t>226</w:t>
            </w:r>
            <w:r>
              <w:rPr>
                <w:webHidden/>
              </w:rPr>
              <w:fldChar w:fldCharType="end"/>
            </w:r>
          </w:hyperlink>
        </w:p>
        <w:p w14:paraId="3FB28565" w14:textId="05CFC3F0"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50" w:history="1">
            <w:r w:rsidRPr="00E14024">
              <w:rPr>
                <w:rStyle w:val="Hiperpovezava"/>
              </w:rPr>
              <w:t>1.4.2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Predhodni postopki po III. poglavju Zakona o varstvu pravice do sojenja brez nepotrebnega odlašanja</w:t>
            </w:r>
            <w:r>
              <w:rPr>
                <w:webHidden/>
              </w:rPr>
              <w:tab/>
            </w:r>
            <w:r>
              <w:rPr>
                <w:webHidden/>
              </w:rPr>
              <w:fldChar w:fldCharType="begin"/>
            </w:r>
            <w:r>
              <w:rPr>
                <w:webHidden/>
              </w:rPr>
              <w:instrText xml:space="preserve"> PAGEREF _Toc223093950 \h </w:instrText>
            </w:r>
            <w:r>
              <w:rPr>
                <w:webHidden/>
              </w:rPr>
            </w:r>
            <w:r>
              <w:rPr>
                <w:webHidden/>
              </w:rPr>
              <w:fldChar w:fldCharType="separate"/>
            </w:r>
            <w:r w:rsidR="00A76D9F">
              <w:rPr>
                <w:webHidden/>
              </w:rPr>
              <w:t>227</w:t>
            </w:r>
            <w:r>
              <w:rPr>
                <w:webHidden/>
              </w:rPr>
              <w:fldChar w:fldCharType="end"/>
            </w:r>
          </w:hyperlink>
        </w:p>
        <w:p w14:paraId="3EB44ECE" w14:textId="23C87836"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51" w:history="1">
            <w:r w:rsidRPr="00E14024">
              <w:rPr>
                <w:rStyle w:val="Hiperpovezava"/>
              </w:rPr>
              <w:t>1.4.2.1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_Toc223093951 \h </w:instrText>
            </w:r>
            <w:r>
              <w:rPr>
                <w:webHidden/>
              </w:rPr>
            </w:r>
            <w:r>
              <w:rPr>
                <w:webHidden/>
              </w:rPr>
              <w:fldChar w:fldCharType="separate"/>
            </w:r>
            <w:r w:rsidR="00A76D9F">
              <w:rPr>
                <w:webHidden/>
              </w:rPr>
              <w:t>227</w:t>
            </w:r>
            <w:r>
              <w:rPr>
                <w:webHidden/>
              </w:rPr>
              <w:fldChar w:fldCharType="end"/>
            </w:r>
          </w:hyperlink>
        </w:p>
        <w:p w14:paraId="264009E2" w14:textId="29485B2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52" w:history="1">
            <w:r w:rsidRPr="00E14024">
              <w:rPr>
                <w:rStyle w:val="Hiperpovezava"/>
              </w:rPr>
              <w:t>1.4.2.2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_Toc223093952 \h </w:instrText>
            </w:r>
            <w:r>
              <w:rPr>
                <w:webHidden/>
              </w:rPr>
            </w:r>
            <w:r>
              <w:rPr>
                <w:webHidden/>
              </w:rPr>
              <w:fldChar w:fldCharType="separate"/>
            </w:r>
            <w:r w:rsidR="00A76D9F">
              <w:rPr>
                <w:webHidden/>
              </w:rPr>
              <w:t>228</w:t>
            </w:r>
            <w:r>
              <w:rPr>
                <w:webHidden/>
              </w:rPr>
              <w:fldChar w:fldCharType="end"/>
            </w:r>
          </w:hyperlink>
        </w:p>
        <w:p w14:paraId="01C7DCCD" w14:textId="1E48F4C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53" w:history="1">
            <w:r w:rsidRPr="00E14024">
              <w:rPr>
                <w:rStyle w:val="Hiperpovezava"/>
              </w:rPr>
              <w:t>1.4.2.3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_Toc223093953 \h </w:instrText>
            </w:r>
            <w:r>
              <w:rPr>
                <w:webHidden/>
              </w:rPr>
            </w:r>
            <w:r>
              <w:rPr>
                <w:webHidden/>
              </w:rPr>
              <w:fldChar w:fldCharType="separate"/>
            </w:r>
            <w:r w:rsidR="00A76D9F">
              <w:rPr>
                <w:webHidden/>
              </w:rPr>
              <w:t>229</w:t>
            </w:r>
            <w:r>
              <w:rPr>
                <w:webHidden/>
              </w:rPr>
              <w:fldChar w:fldCharType="end"/>
            </w:r>
          </w:hyperlink>
        </w:p>
        <w:p w14:paraId="6B6E52B3" w14:textId="2251DDB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54" w:history="1">
            <w:r w:rsidRPr="00E14024">
              <w:rPr>
                <w:rStyle w:val="Hiperpovezava"/>
              </w:rPr>
              <w:t>1.4.2.4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_Toc223093954 \h </w:instrText>
            </w:r>
            <w:r>
              <w:rPr>
                <w:webHidden/>
              </w:rPr>
            </w:r>
            <w:r>
              <w:rPr>
                <w:webHidden/>
              </w:rPr>
              <w:fldChar w:fldCharType="separate"/>
            </w:r>
            <w:r w:rsidR="00A76D9F">
              <w:rPr>
                <w:webHidden/>
              </w:rPr>
              <w:t>230</w:t>
            </w:r>
            <w:r>
              <w:rPr>
                <w:webHidden/>
              </w:rPr>
              <w:fldChar w:fldCharType="end"/>
            </w:r>
          </w:hyperlink>
        </w:p>
        <w:p w14:paraId="0267A002" w14:textId="529AE26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55" w:history="1">
            <w:r w:rsidRPr="00E14024">
              <w:rPr>
                <w:rStyle w:val="Hiperpovezava"/>
              </w:rPr>
              <w:t>1.4.2.4.1</w:t>
            </w:r>
            <w:r>
              <w:rPr>
                <w:rFonts w:asciiTheme="minorHAnsi" w:eastAsiaTheme="minorEastAsia" w:hAnsiTheme="minorHAnsi" w:cstheme="minorBidi"/>
                <w:kern w:val="2"/>
                <w:sz w:val="24"/>
                <w:szCs w:val="24"/>
                <w:lang w:eastAsia="sl-SI"/>
                <w14:ligatures w14:val="standardContextual"/>
              </w:rPr>
              <w:tab/>
            </w:r>
            <w:r w:rsidRPr="00E14024">
              <w:rPr>
                <w:rStyle w:val="Hiperpovezava"/>
              </w:rPr>
              <w:t>Nespoštovanje časovnih standardov glede izdaje sodne odločbe</w:t>
            </w:r>
            <w:r>
              <w:rPr>
                <w:webHidden/>
              </w:rPr>
              <w:tab/>
            </w:r>
            <w:r>
              <w:rPr>
                <w:webHidden/>
              </w:rPr>
              <w:fldChar w:fldCharType="begin"/>
            </w:r>
            <w:r>
              <w:rPr>
                <w:webHidden/>
              </w:rPr>
              <w:instrText xml:space="preserve"> PAGEREF _Toc223093955 \h </w:instrText>
            </w:r>
            <w:r>
              <w:rPr>
                <w:webHidden/>
              </w:rPr>
            </w:r>
            <w:r>
              <w:rPr>
                <w:webHidden/>
              </w:rPr>
              <w:fldChar w:fldCharType="separate"/>
            </w:r>
            <w:r w:rsidR="00A76D9F">
              <w:rPr>
                <w:webHidden/>
              </w:rPr>
              <w:t>230</w:t>
            </w:r>
            <w:r>
              <w:rPr>
                <w:webHidden/>
              </w:rPr>
              <w:fldChar w:fldCharType="end"/>
            </w:r>
          </w:hyperlink>
        </w:p>
        <w:p w14:paraId="5C722466" w14:textId="1AD3EE9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56" w:history="1">
            <w:r w:rsidRPr="00E14024">
              <w:rPr>
                <w:rStyle w:val="Hiperpovezava"/>
              </w:rPr>
              <w:t>1.4.2.4.2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Praksa ESČP glede kršitve pravice do sojenja v razumnem roku</w:t>
            </w:r>
            <w:r>
              <w:rPr>
                <w:webHidden/>
              </w:rPr>
              <w:tab/>
            </w:r>
            <w:r>
              <w:rPr>
                <w:webHidden/>
              </w:rPr>
              <w:fldChar w:fldCharType="begin"/>
            </w:r>
            <w:r>
              <w:rPr>
                <w:webHidden/>
              </w:rPr>
              <w:instrText xml:space="preserve"> PAGEREF _Toc223093956 \h </w:instrText>
            </w:r>
            <w:r>
              <w:rPr>
                <w:webHidden/>
              </w:rPr>
            </w:r>
            <w:r>
              <w:rPr>
                <w:webHidden/>
              </w:rPr>
              <w:fldChar w:fldCharType="separate"/>
            </w:r>
            <w:r w:rsidR="00A76D9F">
              <w:rPr>
                <w:webHidden/>
              </w:rPr>
              <w:t>230</w:t>
            </w:r>
            <w:r>
              <w:rPr>
                <w:webHidden/>
              </w:rPr>
              <w:fldChar w:fldCharType="end"/>
            </w:r>
          </w:hyperlink>
        </w:p>
        <w:p w14:paraId="21EB3553" w14:textId="005232D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57" w:history="1">
            <w:r w:rsidRPr="00E14024">
              <w:rPr>
                <w:rStyle w:val="Hiperpovezava"/>
              </w:rPr>
              <w:t>1.4.3</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Predhodni postopki po XXXII. poglavju Zakona o kazenskem postopku</w:t>
            </w:r>
            <w:r>
              <w:rPr>
                <w:webHidden/>
              </w:rPr>
              <w:tab/>
            </w:r>
            <w:r>
              <w:rPr>
                <w:webHidden/>
              </w:rPr>
              <w:fldChar w:fldCharType="begin"/>
            </w:r>
            <w:r>
              <w:rPr>
                <w:webHidden/>
              </w:rPr>
              <w:instrText xml:space="preserve"> PAGEREF _Toc223093957 \h </w:instrText>
            </w:r>
            <w:r>
              <w:rPr>
                <w:webHidden/>
              </w:rPr>
            </w:r>
            <w:r>
              <w:rPr>
                <w:webHidden/>
              </w:rPr>
              <w:fldChar w:fldCharType="separate"/>
            </w:r>
            <w:r w:rsidR="00A76D9F">
              <w:rPr>
                <w:webHidden/>
              </w:rPr>
              <w:t>230</w:t>
            </w:r>
            <w:r>
              <w:rPr>
                <w:webHidden/>
              </w:rPr>
              <w:fldChar w:fldCharType="end"/>
            </w:r>
          </w:hyperlink>
        </w:p>
        <w:p w14:paraId="57697A95" w14:textId="07F45AB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58" w:history="1">
            <w:r w:rsidRPr="00E14024">
              <w:rPr>
                <w:rStyle w:val="Hiperpovezava"/>
              </w:rPr>
              <w:t>1.4.3.1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_Toc223093958 \h </w:instrText>
            </w:r>
            <w:r>
              <w:rPr>
                <w:webHidden/>
              </w:rPr>
            </w:r>
            <w:r>
              <w:rPr>
                <w:webHidden/>
              </w:rPr>
              <w:fldChar w:fldCharType="separate"/>
            </w:r>
            <w:r w:rsidR="00A76D9F">
              <w:rPr>
                <w:webHidden/>
              </w:rPr>
              <w:t>230</w:t>
            </w:r>
            <w:r>
              <w:rPr>
                <w:webHidden/>
              </w:rPr>
              <w:fldChar w:fldCharType="end"/>
            </w:r>
          </w:hyperlink>
        </w:p>
        <w:p w14:paraId="04908046" w14:textId="59FEF5D6"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59" w:history="1">
            <w:r w:rsidRPr="00E14024">
              <w:rPr>
                <w:rStyle w:val="Hiperpovezava"/>
              </w:rPr>
              <w:t>1.4.3.2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_Toc223093959 \h </w:instrText>
            </w:r>
            <w:r>
              <w:rPr>
                <w:webHidden/>
              </w:rPr>
            </w:r>
            <w:r>
              <w:rPr>
                <w:webHidden/>
              </w:rPr>
              <w:fldChar w:fldCharType="separate"/>
            </w:r>
            <w:r w:rsidR="00A76D9F">
              <w:rPr>
                <w:webHidden/>
              </w:rPr>
              <w:t>231</w:t>
            </w:r>
            <w:r>
              <w:rPr>
                <w:webHidden/>
              </w:rPr>
              <w:fldChar w:fldCharType="end"/>
            </w:r>
          </w:hyperlink>
        </w:p>
        <w:p w14:paraId="36959E40" w14:textId="5551973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60" w:history="1">
            <w:r w:rsidRPr="00E14024">
              <w:rPr>
                <w:rStyle w:val="Hiperpovezava"/>
              </w:rPr>
              <w:t>1.4.3.3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_Toc223093960 \h </w:instrText>
            </w:r>
            <w:r>
              <w:rPr>
                <w:webHidden/>
              </w:rPr>
            </w:r>
            <w:r>
              <w:rPr>
                <w:webHidden/>
              </w:rPr>
              <w:fldChar w:fldCharType="separate"/>
            </w:r>
            <w:r w:rsidR="00A76D9F">
              <w:rPr>
                <w:webHidden/>
              </w:rPr>
              <w:t>232</w:t>
            </w:r>
            <w:r>
              <w:rPr>
                <w:webHidden/>
              </w:rPr>
              <w:fldChar w:fldCharType="end"/>
            </w:r>
          </w:hyperlink>
        </w:p>
        <w:p w14:paraId="24E4C628" w14:textId="5A13F32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61" w:history="1">
            <w:r w:rsidRPr="00E14024">
              <w:rPr>
                <w:rStyle w:val="Hiperpovezava"/>
              </w:rPr>
              <w:t>1.4.3.4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_Toc223093961 \h </w:instrText>
            </w:r>
            <w:r>
              <w:rPr>
                <w:webHidden/>
              </w:rPr>
            </w:r>
            <w:r>
              <w:rPr>
                <w:webHidden/>
              </w:rPr>
              <w:fldChar w:fldCharType="separate"/>
            </w:r>
            <w:r w:rsidR="00A76D9F">
              <w:rPr>
                <w:webHidden/>
              </w:rPr>
              <w:t>232</w:t>
            </w:r>
            <w:r>
              <w:rPr>
                <w:webHidden/>
              </w:rPr>
              <w:fldChar w:fldCharType="end"/>
            </w:r>
          </w:hyperlink>
        </w:p>
        <w:p w14:paraId="7792BC40" w14:textId="61F0D546"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62" w:history="1">
            <w:r w:rsidRPr="00E14024">
              <w:rPr>
                <w:rStyle w:val="Hiperpovezava"/>
              </w:rPr>
              <w:t>1.4.3.4.1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Prizadevanja Državnega odvetništva RS za sklepanje poravnav</w:t>
            </w:r>
            <w:r>
              <w:rPr>
                <w:webHidden/>
              </w:rPr>
              <w:tab/>
            </w:r>
            <w:r>
              <w:rPr>
                <w:webHidden/>
              </w:rPr>
              <w:fldChar w:fldCharType="begin"/>
            </w:r>
            <w:r>
              <w:rPr>
                <w:webHidden/>
              </w:rPr>
              <w:instrText xml:space="preserve"> PAGEREF _Toc223093962 \h </w:instrText>
            </w:r>
            <w:r>
              <w:rPr>
                <w:webHidden/>
              </w:rPr>
            </w:r>
            <w:r>
              <w:rPr>
                <w:webHidden/>
              </w:rPr>
              <w:fldChar w:fldCharType="separate"/>
            </w:r>
            <w:r w:rsidR="00A76D9F">
              <w:rPr>
                <w:webHidden/>
              </w:rPr>
              <w:t>232</w:t>
            </w:r>
            <w:r>
              <w:rPr>
                <w:webHidden/>
              </w:rPr>
              <w:fldChar w:fldCharType="end"/>
            </w:r>
          </w:hyperlink>
        </w:p>
        <w:p w14:paraId="534CEDA4" w14:textId="08E7F454"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63" w:history="1">
            <w:r w:rsidRPr="00E14024">
              <w:rPr>
                <w:rStyle w:val="Hiperpovezava"/>
              </w:rPr>
              <w:t>1.4.3.4.2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Prikaz uspeha Državnega odvetništva RS pri sklepanju poravnav</w:t>
            </w:r>
            <w:r>
              <w:rPr>
                <w:webHidden/>
              </w:rPr>
              <w:tab/>
            </w:r>
            <w:r>
              <w:rPr>
                <w:webHidden/>
              </w:rPr>
              <w:fldChar w:fldCharType="begin"/>
            </w:r>
            <w:r>
              <w:rPr>
                <w:webHidden/>
              </w:rPr>
              <w:instrText xml:space="preserve"> PAGEREF _Toc223093963 \h </w:instrText>
            </w:r>
            <w:r>
              <w:rPr>
                <w:webHidden/>
              </w:rPr>
            </w:r>
            <w:r>
              <w:rPr>
                <w:webHidden/>
              </w:rPr>
              <w:fldChar w:fldCharType="separate"/>
            </w:r>
            <w:r w:rsidR="00A76D9F">
              <w:rPr>
                <w:webHidden/>
              </w:rPr>
              <w:t>233</w:t>
            </w:r>
            <w:r>
              <w:rPr>
                <w:webHidden/>
              </w:rPr>
              <w:fldChar w:fldCharType="end"/>
            </w:r>
          </w:hyperlink>
        </w:p>
        <w:p w14:paraId="4945994D" w14:textId="7BA3902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64" w:history="1">
            <w:r w:rsidRPr="00E14024">
              <w:rPr>
                <w:rStyle w:val="Hiperpovezava"/>
              </w:rPr>
              <w:t>1.4.4</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Predhodni postopki po XIV. poglavju Zakona o prekrških</w:t>
            </w:r>
            <w:r>
              <w:rPr>
                <w:webHidden/>
              </w:rPr>
              <w:tab/>
            </w:r>
            <w:r>
              <w:rPr>
                <w:webHidden/>
              </w:rPr>
              <w:fldChar w:fldCharType="begin"/>
            </w:r>
            <w:r>
              <w:rPr>
                <w:webHidden/>
              </w:rPr>
              <w:instrText xml:space="preserve"> PAGEREF _Toc223093964 \h </w:instrText>
            </w:r>
            <w:r>
              <w:rPr>
                <w:webHidden/>
              </w:rPr>
            </w:r>
            <w:r>
              <w:rPr>
                <w:webHidden/>
              </w:rPr>
              <w:fldChar w:fldCharType="separate"/>
            </w:r>
            <w:r w:rsidR="00A76D9F">
              <w:rPr>
                <w:webHidden/>
              </w:rPr>
              <w:t>233</w:t>
            </w:r>
            <w:r>
              <w:rPr>
                <w:webHidden/>
              </w:rPr>
              <w:fldChar w:fldCharType="end"/>
            </w:r>
          </w:hyperlink>
        </w:p>
        <w:p w14:paraId="0E16E7F5" w14:textId="7F7AF06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65" w:history="1">
            <w:r w:rsidRPr="00E14024">
              <w:rPr>
                <w:rStyle w:val="Hiperpovezava"/>
              </w:rPr>
              <w:t>1.4.4.1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_Toc223093965 \h </w:instrText>
            </w:r>
            <w:r>
              <w:rPr>
                <w:webHidden/>
              </w:rPr>
            </w:r>
            <w:r>
              <w:rPr>
                <w:webHidden/>
              </w:rPr>
              <w:fldChar w:fldCharType="separate"/>
            </w:r>
            <w:r w:rsidR="00A76D9F">
              <w:rPr>
                <w:webHidden/>
              </w:rPr>
              <w:t>233</w:t>
            </w:r>
            <w:r>
              <w:rPr>
                <w:webHidden/>
              </w:rPr>
              <w:fldChar w:fldCharType="end"/>
            </w:r>
          </w:hyperlink>
        </w:p>
        <w:p w14:paraId="1FCD5256" w14:textId="746A5E6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66" w:history="1">
            <w:r w:rsidRPr="00E14024">
              <w:rPr>
                <w:rStyle w:val="Hiperpovezava"/>
              </w:rPr>
              <w:t>1.4.4.2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_Toc223093966 \h </w:instrText>
            </w:r>
            <w:r>
              <w:rPr>
                <w:webHidden/>
              </w:rPr>
            </w:r>
            <w:r>
              <w:rPr>
                <w:webHidden/>
              </w:rPr>
              <w:fldChar w:fldCharType="separate"/>
            </w:r>
            <w:r w:rsidR="00A76D9F">
              <w:rPr>
                <w:webHidden/>
              </w:rPr>
              <w:t>234</w:t>
            </w:r>
            <w:r>
              <w:rPr>
                <w:webHidden/>
              </w:rPr>
              <w:fldChar w:fldCharType="end"/>
            </w:r>
          </w:hyperlink>
        </w:p>
        <w:p w14:paraId="22DC66CA" w14:textId="222F256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67" w:history="1">
            <w:r w:rsidRPr="00E14024">
              <w:rPr>
                <w:rStyle w:val="Hiperpovezava"/>
              </w:rPr>
              <w:t>1.4.4.3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_Toc223093967 \h </w:instrText>
            </w:r>
            <w:r>
              <w:rPr>
                <w:webHidden/>
              </w:rPr>
            </w:r>
            <w:r>
              <w:rPr>
                <w:webHidden/>
              </w:rPr>
              <w:fldChar w:fldCharType="separate"/>
            </w:r>
            <w:r w:rsidR="00A76D9F">
              <w:rPr>
                <w:webHidden/>
              </w:rPr>
              <w:t>234</w:t>
            </w:r>
            <w:r>
              <w:rPr>
                <w:webHidden/>
              </w:rPr>
              <w:fldChar w:fldCharType="end"/>
            </w:r>
          </w:hyperlink>
        </w:p>
        <w:p w14:paraId="7C601A09" w14:textId="3A61EFA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68" w:history="1">
            <w:r w:rsidRPr="00E14024">
              <w:rPr>
                <w:rStyle w:val="Hiperpovezava"/>
              </w:rPr>
              <w:t>1.4.4.4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_Toc223093968 \h </w:instrText>
            </w:r>
            <w:r>
              <w:rPr>
                <w:webHidden/>
              </w:rPr>
            </w:r>
            <w:r>
              <w:rPr>
                <w:webHidden/>
              </w:rPr>
              <w:fldChar w:fldCharType="separate"/>
            </w:r>
            <w:r w:rsidR="00A76D9F">
              <w:rPr>
                <w:webHidden/>
              </w:rPr>
              <w:t>234</w:t>
            </w:r>
            <w:r>
              <w:rPr>
                <w:webHidden/>
              </w:rPr>
              <w:fldChar w:fldCharType="end"/>
            </w:r>
          </w:hyperlink>
        </w:p>
        <w:p w14:paraId="0DD3D67D" w14:textId="2314AF91"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69" w:history="1">
            <w:r w:rsidRPr="00E14024">
              <w:rPr>
                <w:rStyle w:val="Hiperpovezava"/>
                <w:noProof/>
              </w:rPr>
              <w:t>1.5</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izvršbe in zavarovanja</w:t>
            </w:r>
            <w:r>
              <w:rPr>
                <w:noProof/>
                <w:webHidden/>
              </w:rPr>
              <w:tab/>
            </w:r>
            <w:r>
              <w:rPr>
                <w:noProof/>
                <w:webHidden/>
              </w:rPr>
              <w:fldChar w:fldCharType="begin"/>
            </w:r>
            <w:r>
              <w:rPr>
                <w:noProof/>
                <w:webHidden/>
              </w:rPr>
              <w:instrText xml:space="preserve"> PAGEREF _Toc223093969 \h </w:instrText>
            </w:r>
            <w:r>
              <w:rPr>
                <w:noProof/>
                <w:webHidden/>
              </w:rPr>
            </w:r>
            <w:r>
              <w:rPr>
                <w:noProof/>
                <w:webHidden/>
              </w:rPr>
              <w:fldChar w:fldCharType="separate"/>
            </w:r>
            <w:r w:rsidR="00A76D9F">
              <w:rPr>
                <w:noProof/>
                <w:webHidden/>
              </w:rPr>
              <w:t>235</w:t>
            </w:r>
            <w:r>
              <w:rPr>
                <w:noProof/>
                <w:webHidden/>
              </w:rPr>
              <w:fldChar w:fldCharType="end"/>
            </w:r>
          </w:hyperlink>
        </w:p>
        <w:p w14:paraId="12D83FC5" w14:textId="78A5F54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70" w:history="1">
            <w:r w:rsidRPr="00E14024">
              <w:rPr>
                <w:rStyle w:val="Hiperpovezava"/>
              </w:rPr>
              <w:t>1.5.1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_Toc223093970 \h </w:instrText>
            </w:r>
            <w:r>
              <w:rPr>
                <w:webHidden/>
              </w:rPr>
            </w:r>
            <w:r>
              <w:rPr>
                <w:webHidden/>
              </w:rPr>
              <w:fldChar w:fldCharType="separate"/>
            </w:r>
            <w:r w:rsidR="00A76D9F">
              <w:rPr>
                <w:webHidden/>
              </w:rPr>
              <w:t>235</w:t>
            </w:r>
            <w:r>
              <w:rPr>
                <w:webHidden/>
              </w:rPr>
              <w:fldChar w:fldCharType="end"/>
            </w:r>
          </w:hyperlink>
        </w:p>
        <w:p w14:paraId="0D13318D" w14:textId="278796F8"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71" w:history="1">
            <w:r w:rsidRPr="00E14024">
              <w:rPr>
                <w:rStyle w:val="Hiperpovezava"/>
              </w:rPr>
              <w:t>1.5.2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_Toc223093971 \h </w:instrText>
            </w:r>
            <w:r>
              <w:rPr>
                <w:webHidden/>
              </w:rPr>
            </w:r>
            <w:r>
              <w:rPr>
                <w:webHidden/>
              </w:rPr>
              <w:fldChar w:fldCharType="separate"/>
            </w:r>
            <w:r w:rsidR="00A76D9F">
              <w:rPr>
                <w:webHidden/>
              </w:rPr>
              <w:t>236</w:t>
            </w:r>
            <w:r>
              <w:rPr>
                <w:webHidden/>
              </w:rPr>
              <w:fldChar w:fldCharType="end"/>
            </w:r>
          </w:hyperlink>
        </w:p>
        <w:p w14:paraId="34609E8D" w14:textId="73687D5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72" w:history="1">
            <w:r w:rsidRPr="00E14024">
              <w:rPr>
                <w:rStyle w:val="Hiperpovezava"/>
              </w:rPr>
              <w:t>1.5.3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_Toc223093972 \h </w:instrText>
            </w:r>
            <w:r>
              <w:rPr>
                <w:webHidden/>
              </w:rPr>
            </w:r>
            <w:r>
              <w:rPr>
                <w:webHidden/>
              </w:rPr>
              <w:fldChar w:fldCharType="separate"/>
            </w:r>
            <w:r w:rsidR="00A76D9F">
              <w:rPr>
                <w:webHidden/>
              </w:rPr>
              <w:t>236</w:t>
            </w:r>
            <w:r>
              <w:rPr>
                <w:webHidden/>
              </w:rPr>
              <w:fldChar w:fldCharType="end"/>
            </w:r>
          </w:hyperlink>
        </w:p>
        <w:p w14:paraId="79AF6721" w14:textId="7C661E93"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73" w:history="1">
            <w:r w:rsidRPr="00E14024">
              <w:rPr>
                <w:rStyle w:val="Hiperpovezava"/>
              </w:rPr>
              <w:t>1.5.4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_Toc223093973 \h </w:instrText>
            </w:r>
            <w:r>
              <w:rPr>
                <w:webHidden/>
              </w:rPr>
            </w:r>
            <w:r>
              <w:rPr>
                <w:webHidden/>
              </w:rPr>
              <w:fldChar w:fldCharType="separate"/>
            </w:r>
            <w:r w:rsidR="00A76D9F">
              <w:rPr>
                <w:webHidden/>
              </w:rPr>
              <w:t>237</w:t>
            </w:r>
            <w:r>
              <w:rPr>
                <w:webHidden/>
              </w:rPr>
              <w:fldChar w:fldCharType="end"/>
            </w:r>
          </w:hyperlink>
        </w:p>
        <w:p w14:paraId="59144A02" w14:textId="1D6337D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74" w:history="1">
            <w:r w:rsidRPr="00E14024">
              <w:rPr>
                <w:rStyle w:val="Hiperpovezava"/>
              </w:rPr>
              <w:t>1.5.4.1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Izvršilni postopki, v katerih Državno odvetništvo RS zastopa Republiko Slovenijo kot dolžnika</w:t>
            </w:r>
            <w:r>
              <w:rPr>
                <w:webHidden/>
              </w:rPr>
              <w:tab/>
            </w:r>
            <w:r>
              <w:rPr>
                <w:webHidden/>
              </w:rPr>
              <w:fldChar w:fldCharType="begin"/>
            </w:r>
            <w:r>
              <w:rPr>
                <w:webHidden/>
              </w:rPr>
              <w:instrText xml:space="preserve"> PAGEREF _Toc223093974 \h </w:instrText>
            </w:r>
            <w:r>
              <w:rPr>
                <w:webHidden/>
              </w:rPr>
            </w:r>
            <w:r>
              <w:rPr>
                <w:webHidden/>
              </w:rPr>
              <w:fldChar w:fldCharType="separate"/>
            </w:r>
            <w:r w:rsidR="00A76D9F">
              <w:rPr>
                <w:webHidden/>
              </w:rPr>
              <w:t>237</w:t>
            </w:r>
            <w:r>
              <w:rPr>
                <w:webHidden/>
              </w:rPr>
              <w:fldChar w:fldCharType="end"/>
            </w:r>
          </w:hyperlink>
        </w:p>
        <w:p w14:paraId="7A6813A7" w14:textId="5A42F02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75" w:history="1">
            <w:r w:rsidRPr="00E14024">
              <w:rPr>
                <w:rStyle w:val="Hiperpovezava"/>
              </w:rPr>
              <w:t>1.5.4.2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Izvršilni postopki, v katerih Državno odvetništvo RS zastopa Republiko Slovenijo kot upnika</w:t>
            </w:r>
            <w:r>
              <w:rPr>
                <w:webHidden/>
              </w:rPr>
              <w:tab/>
            </w:r>
            <w:r>
              <w:rPr>
                <w:webHidden/>
              </w:rPr>
              <w:fldChar w:fldCharType="begin"/>
            </w:r>
            <w:r>
              <w:rPr>
                <w:webHidden/>
              </w:rPr>
              <w:instrText xml:space="preserve"> PAGEREF _Toc223093975 \h </w:instrText>
            </w:r>
            <w:r>
              <w:rPr>
                <w:webHidden/>
              </w:rPr>
            </w:r>
            <w:r>
              <w:rPr>
                <w:webHidden/>
              </w:rPr>
              <w:fldChar w:fldCharType="separate"/>
            </w:r>
            <w:r w:rsidR="00A76D9F">
              <w:rPr>
                <w:webHidden/>
              </w:rPr>
              <w:t>238</w:t>
            </w:r>
            <w:r>
              <w:rPr>
                <w:webHidden/>
              </w:rPr>
              <w:fldChar w:fldCharType="end"/>
            </w:r>
          </w:hyperlink>
        </w:p>
        <w:p w14:paraId="05C6E136" w14:textId="22C5C2C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76" w:history="1">
            <w:r w:rsidRPr="00E14024">
              <w:rPr>
                <w:rStyle w:val="Hiperpovezava"/>
              </w:rPr>
              <w:t>1.5.4.3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Izvršilni postopki, v katerih Državno odvetništvo RS zastopa Republiko Slovenijo kot dolžnikovega dolžnika</w:t>
            </w:r>
            <w:r>
              <w:rPr>
                <w:webHidden/>
              </w:rPr>
              <w:tab/>
            </w:r>
            <w:r>
              <w:rPr>
                <w:webHidden/>
              </w:rPr>
              <w:fldChar w:fldCharType="begin"/>
            </w:r>
            <w:r>
              <w:rPr>
                <w:webHidden/>
              </w:rPr>
              <w:instrText xml:space="preserve"> PAGEREF _Toc223093976 \h </w:instrText>
            </w:r>
            <w:r>
              <w:rPr>
                <w:webHidden/>
              </w:rPr>
            </w:r>
            <w:r>
              <w:rPr>
                <w:webHidden/>
              </w:rPr>
              <w:fldChar w:fldCharType="separate"/>
            </w:r>
            <w:r w:rsidR="00A76D9F">
              <w:rPr>
                <w:webHidden/>
              </w:rPr>
              <w:t>240</w:t>
            </w:r>
            <w:r>
              <w:rPr>
                <w:webHidden/>
              </w:rPr>
              <w:fldChar w:fldCharType="end"/>
            </w:r>
          </w:hyperlink>
        </w:p>
        <w:p w14:paraId="39BA8BB1" w14:textId="0780D2D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77" w:history="1">
            <w:r w:rsidRPr="00E14024">
              <w:rPr>
                <w:rStyle w:val="Hiperpovezava"/>
              </w:rPr>
              <w:t>1.5.4.4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Izvršilni postopki, v katerih Državno odvetništvo RS zastopa Republiko Slovenijo, kadar je na podlagi sklepa o dedovanju nanjo prešlo premoženje zapustnika, ki je bil stranka v izvršilnem postopku</w:t>
            </w:r>
            <w:r>
              <w:rPr>
                <w:webHidden/>
              </w:rPr>
              <w:tab/>
            </w:r>
            <w:r>
              <w:rPr>
                <w:webHidden/>
              </w:rPr>
              <w:fldChar w:fldCharType="begin"/>
            </w:r>
            <w:r>
              <w:rPr>
                <w:webHidden/>
              </w:rPr>
              <w:instrText xml:space="preserve"> PAGEREF _Toc223093977 \h </w:instrText>
            </w:r>
            <w:r>
              <w:rPr>
                <w:webHidden/>
              </w:rPr>
            </w:r>
            <w:r>
              <w:rPr>
                <w:webHidden/>
              </w:rPr>
              <w:fldChar w:fldCharType="separate"/>
            </w:r>
            <w:r w:rsidR="00A76D9F">
              <w:rPr>
                <w:webHidden/>
              </w:rPr>
              <w:t>240</w:t>
            </w:r>
            <w:r>
              <w:rPr>
                <w:webHidden/>
              </w:rPr>
              <w:fldChar w:fldCharType="end"/>
            </w:r>
          </w:hyperlink>
        </w:p>
        <w:p w14:paraId="448DCC2F" w14:textId="661D652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78" w:history="1">
            <w:r w:rsidRPr="00E14024">
              <w:rPr>
                <w:rStyle w:val="Hiperpovezava"/>
              </w:rPr>
              <w:t>1.5.4.5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Postopki zavarovanja</w:t>
            </w:r>
            <w:r>
              <w:rPr>
                <w:webHidden/>
              </w:rPr>
              <w:tab/>
            </w:r>
            <w:r>
              <w:rPr>
                <w:webHidden/>
              </w:rPr>
              <w:fldChar w:fldCharType="begin"/>
            </w:r>
            <w:r>
              <w:rPr>
                <w:webHidden/>
              </w:rPr>
              <w:instrText xml:space="preserve"> PAGEREF _Toc223093978 \h </w:instrText>
            </w:r>
            <w:r>
              <w:rPr>
                <w:webHidden/>
              </w:rPr>
            </w:r>
            <w:r>
              <w:rPr>
                <w:webHidden/>
              </w:rPr>
              <w:fldChar w:fldCharType="separate"/>
            </w:r>
            <w:r w:rsidR="00A76D9F">
              <w:rPr>
                <w:webHidden/>
              </w:rPr>
              <w:t>240</w:t>
            </w:r>
            <w:r>
              <w:rPr>
                <w:webHidden/>
              </w:rPr>
              <w:fldChar w:fldCharType="end"/>
            </w:r>
          </w:hyperlink>
        </w:p>
        <w:p w14:paraId="0EDEFA79" w14:textId="4DC44135"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79" w:history="1">
            <w:r w:rsidRPr="00E14024">
              <w:rPr>
                <w:rStyle w:val="Hiperpovezava"/>
              </w:rPr>
              <w:t>1.5.4.6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Izvršba v tujini</w:t>
            </w:r>
            <w:r>
              <w:rPr>
                <w:webHidden/>
              </w:rPr>
              <w:tab/>
            </w:r>
            <w:r>
              <w:rPr>
                <w:webHidden/>
              </w:rPr>
              <w:fldChar w:fldCharType="begin"/>
            </w:r>
            <w:r>
              <w:rPr>
                <w:webHidden/>
              </w:rPr>
              <w:instrText xml:space="preserve"> PAGEREF _Toc223093979 \h </w:instrText>
            </w:r>
            <w:r>
              <w:rPr>
                <w:webHidden/>
              </w:rPr>
            </w:r>
            <w:r>
              <w:rPr>
                <w:webHidden/>
              </w:rPr>
              <w:fldChar w:fldCharType="separate"/>
            </w:r>
            <w:r w:rsidR="00A76D9F">
              <w:rPr>
                <w:webHidden/>
              </w:rPr>
              <w:t>241</w:t>
            </w:r>
            <w:r>
              <w:rPr>
                <w:webHidden/>
              </w:rPr>
              <w:fldChar w:fldCharType="end"/>
            </w:r>
          </w:hyperlink>
        </w:p>
        <w:p w14:paraId="1B3BADCE" w14:textId="7BC85BE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80" w:history="1">
            <w:r w:rsidRPr="00E14024">
              <w:rPr>
                <w:rStyle w:val="Hiperpovezava"/>
              </w:rPr>
              <w:t>1.5.4.7</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Pravna problematika</w:t>
            </w:r>
            <w:r>
              <w:rPr>
                <w:webHidden/>
              </w:rPr>
              <w:tab/>
            </w:r>
            <w:r>
              <w:rPr>
                <w:webHidden/>
              </w:rPr>
              <w:fldChar w:fldCharType="begin"/>
            </w:r>
            <w:r>
              <w:rPr>
                <w:webHidden/>
              </w:rPr>
              <w:instrText xml:space="preserve"> PAGEREF _Toc223093980 \h </w:instrText>
            </w:r>
            <w:r>
              <w:rPr>
                <w:webHidden/>
              </w:rPr>
            </w:r>
            <w:r>
              <w:rPr>
                <w:webHidden/>
              </w:rPr>
              <w:fldChar w:fldCharType="separate"/>
            </w:r>
            <w:r w:rsidR="00A76D9F">
              <w:rPr>
                <w:webHidden/>
              </w:rPr>
              <w:t>243</w:t>
            </w:r>
            <w:r>
              <w:rPr>
                <w:webHidden/>
              </w:rPr>
              <w:fldChar w:fldCharType="end"/>
            </w:r>
          </w:hyperlink>
        </w:p>
        <w:p w14:paraId="5B877401" w14:textId="7246876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81" w:history="1">
            <w:r w:rsidRPr="00E14024">
              <w:rPr>
                <w:rStyle w:val="Hiperpovezava"/>
              </w:rPr>
              <w:t>1.5.4.7.1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Predlog za dopolnitev Zakona o izvršbi in zavarovanju</w:t>
            </w:r>
            <w:r>
              <w:rPr>
                <w:webHidden/>
              </w:rPr>
              <w:tab/>
            </w:r>
            <w:r>
              <w:rPr>
                <w:webHidden/>
              </w:rPr>
              <w:fldChar w:fldCharType="begin"/>
            </w:r>
            <w:r>
              <w:rPr>
                <w:webHidden/>
              </w:rPr>
              <w:instrText xml:space="preserve"> PAGEREF _Toc223093981 \h </w:instrText>
            </w:r>
            <w:r>
              <w:rPr>
                <w:webHidden/>
              </w:rPr>
            </w:r>
            <w:r>
              <w:rPr>
                <w:webHidden/>
              </w:rPr>
              <w:fldChar w:fldCharType="separate"/>
            </w:r>
            <w:r w:rsidR="00A76D9F">
              <w:rPr>
                <w:webHidden/>
              </w:rPr>
              <w:t>243</w:t>
            </w:r>
            <w:r>
              <w:rPr>
                <w:webHidden/>
              </w:rPr>
              <w:fldChar w:fldCharType="end"/>
            </w:r>
          </w:hyperlink>
        </w:p>
        <w:p w14:paraId="767A1EBB" w14:textId="4CD3D6F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82" w:history="1">
            <w:r w:rsidRPr="00E14024">
              <w:rPr>
                <w:rStyle w:val="Hiperpovezava"/>
              </w:rPr>
              <w:t>1.5.4.7.2</w:t>
            </w:r>
            <w:r>
              <w:rPr>
                <w:rFonts w:asciiTheme="minorHAnsi" w:eastAsiaTheme="minorEastAsia" w:hAnsiTheme="minorHAnsi" w:cstheme="minorBidi"/>
                <w:kern w:val="2"/>
                <w:sz w:val="24"/>
                <w:szCs w:val="24"/>
                <w:lang w:eastAsia="sl-SI"/>
                <w14:ligatures w14:val="standardContextual"/>
              </w:rPr>
              <w:tab/>
            </w:r>
            <w:r w:rsidRPr="00E14024">
              <w:rPr>
                <w:rStyle w:val="Hiperpovezava"/>
              </w:rPr>
              <w:t>Izvršba / davčna izvršba na nepremičnine / zastaranje davčnega dolga / hipoteka</w:t>
            </w:r>
            <w:r>
              <w:rPr>
                <w:webHidden/>
              </w:rPr>
              <w:tab/>
            </w:r>
            <w:r>
              <w:rPr>
                <w:webHidden/>
              </w:rPr>
              <w:fldChar w:fldCharType="begin"/>
            </w:r>
            <w:r>
              <w:rPr>
                <w:webHidden/>
              </w:rPr>
              <w:instrText xml:space="preserve"> PAGEREF _Toc223093982 \h </w:instrText>
            </w:r>
            <w:r>
              <w:rPr>
                <w:webHidden/>
              </w:rPr>
            </w:r>
            <w:r>
              <w:rPr>
                <w:webHidden/>
              </w:rPr>
              <w:fldChar w:fldCharType="separate"/>
            </w:r>
            <w:r w:rsidR="00A76D9F">
              <w:rPr>
                <w:webHidden/>
              </w:rPr>
              <w:t>244</w:t>
            </w:r>
            <w:r>
              <w:rPr>
                <w:webHidden/>
              </w:rPr>
              <w:fldChar w:fldCharType="end"/>
            </w:r>
          </w:hyperlink>
        </w:p>
        <w:p w14:paraId="45F9DA01" w14:textId="616B532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83" w:history="1">
            <w:r w:rsidRPr="00E14024">
              <w:rPr>
                <w:rStyle w:val="Hiperpovezava"/>
              </w:rPr>
              <w:t>1.5.4.7.3</w:t>
            </w:r>
            <w:r>
              <w:rPr>
                <w:rFonts w:asciiTheme="minorHAnsi" w:eastAsiaTheme="minorEastAsia" w:hAnsiTheme="minorHAnsi" w:cstheme="minorBidi"/>
                <w:kern w:val="2"/>
                <w:sz w:val="24"/>
                <w:szCs w:val="24"/>
                <w:lang w:eastAsia="sl-SI"/>
                <w14:ligatures w14:val="standardContextual"/>
              </w:rPr>
              <w:tab/>
            </w:r>
            <w:r w:rsidRPr="00E14024">
              <w:rPr>
                <w:rStyle w:val="Hiperpovezava"/>
              </w:rPr>
              <w:t>Sprememba lastništva v izvršilnem postopku prodanega poslovnega deleža družbenika v družbi v sodnem registru hipoteka</w:t>
            </w:r>
            <w:r>
              <w:rPr>
                <w:webHidden/>
              </w:rPr>
              <w:tab/>
            </w:r>
            <w:r>
              <w:rPr>
                <w:webHidden/>
              </w:rPr>
              <w:fldChar w:fldCharType="begin"/>
            </w:r>
            <w:r>
              <w:rPr>
                <w:webHidden/>
              </w:rPr>
              <w:instrText xml:space="preserve"> PAGEREF _Toc223093983 \h </w:instrText>
            </w:r>
            <w:r>
              <w:rPr>
                <w:webHidden/>
              </w:rPr>
            </w:r>
            <w:r>
              <w:rPr>
                <w:webHidden/>
              </w:rPr>
              <w:fldChar w:fldCharType="separate"/>
            </w:r>
            <w:r w:rsidR="00A76D9F">
              <w:rPr>
                <w:webHidden/>
              </w:rPr>
              <w:t>245</w:t>
            </w:r>
            <w:r>
              <w:rPr>
                <w:webHidden/>
              </w:rPr>
              <w:fldChar w:fldCharType="end"/>
            </w:r>
          </w:hyperlink>
        </w:p>
        <w:p w14:paraId="1D2D2BC3" w14:textId="52D3B1E1"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3984" w:history="1">
            <w:r w:rsidRPr="00E14024">
              <w:rPr>
                <w:rStyle w:val="Hiperpovezava"/>
              </w:rPr>
              <w:t>1.5.4.7.4</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Delovna skupina za sodelovanje s Finančno upravo Republike Slovenije – aktivnosti skupine glede postopkov izvršbe in zavarovanja</w:t>
            </w:r>
            <w:r>
              <w:rPr>
                <w:webHidden/>
              </w:rPr>
              <w:tab/>
            </w:r>
            <w:r>
              <w:rPr>
                <w:webHidden/>
              </w:rPr>
              <w:fldChar w:fldCharType="begin"/>
            </w:r>
            <w:r>
              <w:rPr>
                <w:webHidden/>
              </w:rPr>
              <w:instrText xml:space="preserve"> PAGEREF _Toc223093984 \h </w:instrText>
            </w:r>
            <w:r>
              <w:rPr>
                <w:webHidden/>
              </w:rPr>
            </w:r>
            <w:r>
              <w:rPr>
                <w:webHidden/>
              </w:rPr>
              <w:fldChar w:fldCharType="separate"/>
            </w:r>
            <w:r w:rsidR="00A76D9F">
              <w:rPr>
                <w:webHidden/>
              </w:rPr>
              <w:t>246</w:t>
            </w:r>
            <w:r>
              <w:rPr>
                <w:webHidden/>
              </w:rPr>
              <w:fldChar w:fldCharType="end"/>
            </w:r>
          </w:hyperlink>
        </w:p>
        <w:p w14:paraId="68F491AF" w14:textId="45BBA255"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85" w:history="1">
            <w:r w:rsidRPr="00E14024">
              <w:rPr>
                <w:rStyle w:val="Hiperpovezava"/>
                <w:noProof/>
              </w:rPr>
              <w:t>1.6</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zaradi insolventnosti in postopki prisilnega prenehanja</w:t>
            </w:r>
            <w:r>
              <w:rPr>
                <w:noProof/>
                <w:webHidden/>
              </w:rPr>
              <w:tab/>
            </w:r>
            <w:r>
              <w:rPr>
                <w:noProof/>
                <w:webHidden/>
              </w:rPr>
              <w:fldChar w:fldCharType="begin"/>
            </w:r>
            <w:r>
              <w:rPr>
                <w:noProof/>
                <w:webHidden/>
              </w:rPr>
              <w:instrText xml:space="preserve"> PAGEREF _Toc223093985 \h </w:instrText>
            </w:r>
            <w:r>
              <w:rPr>
                <w:noProof/>
                <w:webHidden/>
              </w:rPr>
            </w:r>
            <w:r>
              <w:rPr>
                <w:noProof/>
                <w:webHidden/>
              </w:rPr>
              <w:fldChar w:fldCharType="separate"/>
            </w:r>
            <w:r w:rsidR="00A76D9F">
              <w:rPr>
                <w:noProof/>
                <w:webHidden/>
              </w:rPr>
              <w:t>247</w:t>
            </w:r>
            <w:r>
              <w:rPr>
                <w:noProof/>
                <w:webHidden/>
              </w:rPr>
              <w:fldChar w:fldCharType="end"/>
            </w:r>
          </w:hyperlink>
        </w:p>
        <w:p w14:paraId="0985C91C" w14:textId="66FFB95B"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86" w:history="1">
            <w:r w:rsidRPr="00E14024">
              <w:rPr>
                <w:rStyle w:val="Hiperpovezava"/>
              </w:rPr>
              <w:t>1.6.1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_Toc223093986 \h </w:instrText>
            </w:r>
            <w:r>
              <w:rPr>
                <w:webHidden/>
              </w:rPr>
            </w:r>
            <w:r>
              <w:rPr>
                <w:webHidden/>
              </w:rPr>
              <w:fldChar w:fldCharType="separate"/>
            </w:r>
            <w:r w:rsidR="00A76D9F">
              <w:rPr>
                <w:webHidden/>
              </w:rPr>
              <w:t>247</w:t>
            </w:r>
            <w:r>
              <w:rPr>
                <w:webHidden/>
              </w:rPr>
              <w:fldChar w:fldCharType="end"/>
            </w:r>
          </w:hyperlink>
        </w:p>
        <w:p w14:paraId="6C80E52D" w14:textId="160BF9C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87" w:history="1">
            <w:r w:rsidRPr="00E14024">
              <w:rPr>
                <w:rStyle w:val="Hiperpovezava"/>
              </w:rPr>
              <w:t>1.6.2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_Toc223093987 \h </w:instrText>
            </w:r>
            <w:r>
              <w:rPr>
                <w:webHidden/>
              </w:rPr>
            </w:r>
            <w:r>
              <w:rPr>
                <w:webHidden/>
              </w:rPr>
              <w:fldChar w:fldCharType="separate"/>
            </w:r>
            <w:r w:rsidR="00A76D9F">
              <w:rPr>
                <w:webHidden/>
              </w:rPr>
              <w:t>247</w:t>
            </w:r>
            <w:r>
              <w:rPr>
                <w:webHidden/>
              </w:rPr>
              <w:fldChar w:fldCharType="end"/>
            </w:r>
          </w:hyperlink>
        </w:p>
        <w:p w14:paraId="27E4DD6B" w14:textId="38A7117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88" w:history="1">
            <w:r w:rsidRPr="00E14024">
              <w:rPr>
                <w:rStyle w:val="Hiperpovezava"/>
              </w:rPr>
              <w:t>1.6.3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_Toc223093988 \h </w:instrText>
            </w:r>
            <w:r>
              <w:rPr>
                <w:webHidden/>
              </w:rPr>
            </w:r>
            <w:r>
              <w:rPr>
                <w:webHidden/>
              </w:rPr>
              <w:fldChar w:fldCharType="separate"/>
            </w:r>
            <w:r w:rsidR="00A76D9F">
              <w:rPr>
                <w:webHidden/>
              </w:rPr>
              <w:t>248</w:t>
            </w:r>
            <w:r>
              <w:rPr>
                <w:webHidden/>
              </w:rPr>
              <w:fldChar w:fldCharType="end"/>
            </w:r>
          </w:hyperlink>
        </w:p>
        <w:p w14:paraId="120F2545" w14:textId="63B1AEC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89" w:history="1">
            <w:r w:rsidRPr="00E14024">
              <w:rPr>
                <w:rStyle w:val="Hiperpovezava"/>
              </w:rPr>
              <w:t>1.6.4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_Toc223093989 \h </w:instrText>
            </w:r>
            <w:r>
              <w:rPr>
                <w:webHidden/>
              </w:rPr>
            </w:r>
            <w:r>
              <w:rPr>
                <w:webHidden/>
              </w:rPr>
              <w:fldChar w:fldCharType="separate"/>
            </w:r>
            <w:r w:rsidR="00A76D9F">
              <w:rPr>
                <w:webHidden/>
              </w:rPr>
              <w:t>249</w:t>
            </w:r>
            <w:r>
              <w:rPr>
                <w:webHidden/>
              </w:rPr>
              <w:fldChar w:fldCharType="end"/>
            </w:r>
          </w:hyperlink>
        </w:p>
        <w:p w14:paraId="6A1581E9" w14:textId="76D7E02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0" w:history="1">
            <w:r w:rsidRPr="00E14024">
              <w:rPr>
                <w:rStyle w:val="Hiperpovezava"/>
              </w:rPr>
              <w:t>1.6.4.1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_Toc223093990 \h </w:instrText>
            </w:r>
            <w:r>
              <w:rPr>
                <w:webHidden/>
              </w:rPr>
            </w:r>
            <w:r>
              <w:rPr>
                <w:webHidden/>
              </w:rPr>
              <w:fldChar w:fldCharType="separate"/>
            </w:r>
            <w:r w:rsidR="00A76D9F">
              <w:rPr>
                <w:webHidden/>
              </w:rPr>
              <w:t>249</w:t>
            </w:r>
            <w:r>
              <w:rPr>
                <w:webHidden/>
              </w:rPr>
              <w:fldChar w:fldCharType="end"/>
            </w:r>
          </w:hyperlink>
        </w:p>
        <w:p w14:paraId="5625AA2D" w14:textId="1F18D47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1" w:history="1">
            <w:r w:rsidRPr="00E14024">
              <w:rPr>
                <w:rStyle w:val="Hiperpovezava"/>
              </w:rPr>
              <w:t>1.6.4.2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Delovna skupina za sodelovanje s Finančno upravo Republike Slovenije – aktivnosti skupine glede postopkov zaradi insolventnosti in prisilnega prenehanja</w:t>
            </w:r>
            <w:r>
              <w:rPr>
                <w:webHidden/>
              </w:rPr>
              <w:tab/>
            </w:r>
            <w:r w:rsidR="00BC487C">
              <w:rPr>
                <w:webHidden/>
              </w:rPr>
              <w:t xml:space="preserve">…………………………………………………………………………………………………………………………..………… </w:t>
            </w:r>
            <w:r>
              <w:rPr>
                <w:webHidden/>
              </w:rPr>
              <w:fldChar w:fldCharType="begin"/>
            </w:r>
            <w:r>
              <w:rPr>
                <w:webHidden/>
              </w:rPr>
              <w:instrText xml:space="preserve"> PAGEREF _Toc223093991 \h </w:instrText>
            </w:r>
            <w:r>
              <w:rPr>
                <w:webHidden/>
              </w:rPr>
            </w:r>
            <w:r>
              <w:rPr>
                <w:webHidden/>
              </w:rPr>
              <w:fldChar w:fldCharType="separate"/>
            </w:r>
            <w:r w:rsidR="00A76D9F">
              <w:rPr>
                <w:webHidden/>
              </w:rPr>
              <w:t>250</w:t>
            </w:r>
            <w:r>
              <w:rPr>
                <w:webHidden/>
              </w:rPr>
              <w:fldChar w:fldCharType="end"/>
            </w:r>
          </w:hyperlink>
        </w:p>
        <w:p w14:paraId="7DFE54B7" w14:textId="160B203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2" w:history="1">
            <w:r w:rsidRPr="00E14024">
              <w:rPr>
                <w:rStyle w:val="Hiperpovezava"/>
              </w:rPr>
              <w:t>1.6.4.3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Uveljavljanje terjatev Republike Slovenije v insolventnih postopkih z mednarodnim elementom</w:t>
            </w:r>
            <w:r>
              <w:rPr>
                <w:webHidden/>
              </w:rPr>
              <w:tab/>
            </w:r>
            <w:r>
              <w:rPr>
                <w:webHidden/>
              </w:rPr>
              <w:fldChar w:fldCharType="begin"/>
            </w:r>
            <w:r>
              <w:rPr>
                <w:webHidden/>
              </w:rPr>
              <w:instrText xml:space="preserve"> PAGEREF _Toc223093992 \h </w:instrText>
            </w:r>
            <w:r>
              <w:rPr>
                <w:webHidden/>
              </w:rPr>
            </w:r>
            <w:r>
              <w:rPr>
                <w:webHidden/>
              </w:rPr>
              <w:fldChar w:fldCharType="separate"/>
            </w:r>
            <w:r w:rsidR="00A76D9F">
              <w:rPr>
                <w:webHidden/>
              </w:rPr>
              <w:t>250</w:t>
            </w:r>
            <w:r>
              <w:rPr>
                <w:webHidden/>
              </w:rPr>
              <w:fldChar w:fldCharType="end"/>
            </w:r>
          </w:hyperlink>
        </w:p>
        <w:p w14:paraId="2104DE8D" w14:textId="13E7AA9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3" w:history="1">
            <w:r w:rsidRPr="00E14024">
              <w:rPr>
                <w:rStyle w:val="Hiperpovezava"/>
              </w:rPr>
              <w:t>1.6.4.4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w:t>
            </w:r>
            <w:r w:rsidRPr="00E14024">
              <w:rPr>
                <w:rStyle w:val="Hiperpovezava"/>
                <w:lang w:eastAsia="sl-SI"/>
              </w:rPr>
              <w:t>redlog za dopolnitev Zakona o finančnem poslovanju, postopkih zaradi insolventnosti in prisilnem prenehanju</w:t>
            </w:r>
            <w:r w:rsidRPr="00E14024">
              <w:rPr>
                <w:rStyle w:val="Hiperpovezava"/>
              </w:rPr>
              <w:t xml:space="preserve"> (ZFPPIPP)</w:t>
            </w:r>
            <w:r>
              <w:rPr>
                <w:webHidden/>
              </w:rPr>
              <w:tab/>
            </w:r>
            <w:r>
              <w:rPr>
                <w:webHidden/>
              </w:rPr>
              <w:fldChar w:fldCharType="begin"/>
            </w:r>
            <w:r>
              <w:rPr>
                <w:webHidden/>
              </w:rPr>
              <w:instrText xml:space="preserve"> PAGEREF _Toc223093993 \h </w:instrText>
            </w:r>
            <w:r>
              <w:rPr>
                <w:webHidden/>
              </w:rPr>
            </w:r>
            <w:r>
              <w:rPr>
                <w:webHidden/>
              </w:rPr>
              <w:fldChar w:fldCharType="separate"/>
            </w:r>
            <w:r w:rsidR="00A76D9F">
              <w:rPr>
                <w:webHidden/>
              </w:rPr>
              <w:t>251</w:t>
            </w:r>
            <w:r>
              <w:rPr>
                <w:webHidden/>
              </w:rPr>
              <w:fldChar w:fldCharType="end"/>
            </w:r>
          </w:hyperlink>
        </w:p>
        <w:p w14:paraId="52DA9A9E" w14:textId="1CEB7FA1"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3994" w:history="1">
            <w:r w:rsidRPr="00E14024">
              <w:rPr>
                <w:rStyle w:val="Hiperpovezava"/>
                <w:noProof/>
              </w:rPr>
              <w:t>1.7</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Nepravdni postopki</w:t>
            </w:r>
            <w:r>
              <w:rPr>
                <w:noProof/>
                <w:webHidden/>
              </w:rPr>
              <w:tab/>
            </w:r>
            <w:r>
              <w:rPr>
                <w:noProof/>
                <w:webHidden/>
              </w:rPr>
              <w:fldChar w:fldCharType="begin"/>
            </w:r>
            <w:r>
              <w:rPr>
                <w:noProof/>
                <w:webHidden/>
              </w:rPr>
              <w:instrText xml:space="preserve"> PAGEREF _Toc223093994 \h </w:instrText>
            </w:r>
            <w:r>
              <w:rPr>
                <w:noProof/>
                <w:webHidden/>
              </w:rPr>
            </w:r>
            <w:r>
              <w:rPr>
                <w:noProof/>
                <w:webHidden/>
              </w:rPr>
              <w:fldChar w:fldCharType="separate"/>
            </w:r>
            <w:r w:rsidR="00A76D9F">
              <w:rPr>
                <w:noProof/>
                <w:webHidden/>
              </w:rPr>
              <w:t>252</w:t>
            </w:r>
            <w:r>
              <w:rPr>
                <w:noProof/>
                <w:webHidden/>
              </w:rPr>
              <w:fldChar w:fldCharType="end"/>
            </w:r>
          </w:hyperlink>
        </w:p>
        <w:p w14:paraId="276A7F9C" w14:textId="4448B3FA"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3995" w:history="1">
            <w:r w:rsidRPr="00E14024">
              <w:rPr>
                <w:rStyle w:val="Hiperpovezava"/>
              </w:rPr>
              <w:t>1.7.1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_Toc223093995 \h </w:instrText>
            </w:r>
            <w:r>
              <w:rPr>
                <w:webHidden/>
              </w:rPr>
            </w:r>
            <w:r>
              <w:rPr>
                <w:webHidden/>
              </w:rPr>
              <w:fldChar w:fldCharType="separate"/>
            </w:r>
            <w:r w:rsidR="00A76D9F">
              <w:rPr>
                <w:webHidden/>
              </w:rPr>
              <w:t>252</w:t>
            </w:r>
            <w:r>
              <w:rPr>
                <w:webHidden/>
              </w:rPr>
              <w:fldChar w:fldCharType="end"/>
            </w:r>
          </w:hyperlink>
        </w:p>
        <w:p w14:paraId="3BAE3FD7" w14:textId="49DF27B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6" w:history="1">
            <w:r w:rsidRPr="00E14024">
              <w:rPr>
                <w:rStyle w:val="Hiperpovezava"/>
              </w:rPr>
              <w:t>1.7.1.1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_Toc223093996 \h </w:instrText>
            </w:r>
            <w:r>
              <w:rPr>
                <w:webHidden/>
              </w:rPr>
            </w:r>
            <w:r>
              <w:rPr>
                <w:webHidden/>
              </w:rPr>
              <w:fldChar w:fldCharType="separate"/>
            </w:r>
            <w:r w:rsidR="00A76D9F">
              <w:rPr>
                <w:webHidden/>
              </w:rPr>
              <w:t>252</w:t>
            </w:r>
            <w:r>
              <w:rPr>
                <w:webHidden/>
              </w:rPr>
              <w:fldChar w:fldCharType="end"/>
            </w:r>
          </w:hyperlink>
        </w:p>
        <w:p w14:paraId="26D3EF7A" w14:textId="31407DF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7" w:history="1">
            <w:r w:rsidRPr="00E14024">
              <w:rPr>
                <w:rStyle w:val="Hiperpovezava"/>
              </w:rPr>
              <w:t>1.7.1.2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Zapuščinski postopki</w:t>
            </w:r>
            <w:r>
              <w:rPr>
                <w:webHidden/>
              </w:rPr>
              <w:tab/>
            </w:r>
            <w:r>
              <w:rPr>
                <w:webHidden/>
              </w:rPr>
              <w:fldChar w:fldCharType="begin"/>
            </w:r>
            <w:r>
              <w:rPr>
                <w:webHidden/>
              </w:rPr>
              <w:instrText xml:space="preserve"> PAGEREF _Toc223093997 \h </w:instrText>
            </w:r>
            <w:r>
              <w:rPr>
                <w:webHidden/>
              </w:rPr>
            </w:r>
            <w:r>
              <w:rPr>
                <w:webHidden/>
              </w:rPr>
              <w:fldChar w:fldCharType="separate"/>
            </w:r>
            <w:r w:rsidR="00A76D9F">
              <w:rPr>
                <w:webHidden/>
              </w:rPr>
              <w:t>252</w:t>
            </w:r>
            <w:r>
              <w:rPr>
                <w:webHidden/>
              </w:rPr>
              <w:fldChar w:fldCharType="end"/>
            </w:r>
          </w:hyperlink>
        </w:p>
        <w:p w14:paraId="2B96E307" w14:textId="4602CCF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8" w:history="1">
            <w:r w:rsidRPr="00E14024">
              <w:rPr>
                <w:rStyle w:val="Hiperpovezava"/>
              </w:rPr>
              <w:t>1.7.1.3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Postopki za razdružitev solastnine</w:t>
            </w:r>
            <w:r>
              <w:rPr>
                <w:webHidden/>
              </w:rPr>
              <w:tab/>
            </w:r>
            <w:r>
              <w:rPr>
                <w:webHidden/>
              </w:rPr>
              <w:fldChar w:fldCharType="begin"/>
            </w:r>
            <w:r>
              <w:rPr>
                <w:webHidden/>
              </w:rPr>
              <w:instrText xml:space="preserve"> PAGEREF _Toc223093998 \h </w:instrText>
            </w:r>
            <w:r>
              <w:rPr>
                <w:webHidden/>
              </w:rPr>
            </w:r>
            <w:r>
              <w:rPr>
                <w:webHidden/>
              </w:rPr>
              <w:fldChar w:fldCharType="separate"/>
            </w:r>
            <w:r w:rsidR="00A76D9F">
              <w:rPr>
                <w:webHidden/>
              </w:rPr>
              <w:t>253</w:t>
            </w:r>
            <w:r>
              <w:rPr>
                <w:webHidden/>
              </w:rPr>
              <w:fldChar w:fldCharType="end"/>
            </w:r>
          </w:hyperlink>
        </w:p>
        <w:p w14:paraId="569056DD" w14:textId="3898AAC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3999" w:history="1">
            <w:r w:rsidRPr="00E14024">
              <w:rPr>
                <w:rStyle w:val="Hiperpovezava"/>
              </w:rPr>
              <w:t>1.7.1.4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Zemljiškoknjižni postopki</w:t>
            </w:r>
            <w:r>
              <w:rPr>
                <w:webHidden/>
              </w:rPr>
              <w:tab/>
            </w:r>
            <w:r>
              <w:rPr>
                <w:webHidden/>
              </w:rPr>
              <w:fldChar w:fldCharType="begin"/>
            </w:r>
            <w:r>
              <w:rPr>
                <w:webHidden/>
              </w:rPr>
              <w:instrText xml:space="preserve"> PAGEREF _Toc223093999 \h </w:instrText>
            </w:r>
            <w:r>
              <w:rPr>
                <w:webHidden/>
              </w:rPr>
            </w:r>
            <w:r>
              <w:rPr>
                <w:webHidden/>
              </w:rPr>
              <w:fldChar w:fldCharType="separate"/>
            </w:r>
            <w:r w:rsidR="00A76D9F">
              <w:rPr>
                <w:webHidden/>
              </w:rPr>
              <w:t>254</w:t>
            </w:r>
            <w:r>
              <w:rPr>
                <w:webHidden/>
              </w:rPr>
              <w:fldChar w:fldCharType="end"/>
            </w:r>
          </w:hyperlink>
        </w:p>
        <w:p w14:paraId="7A613586" w14:textId="74AC3A0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00" w:history="1">
            <w:r w:rsidRPr="00E14024">
              <w:rPr>
                <w:rStyle w:val="Hiperpovezava"/>
              </w:rPr>
              <w:t>1.7.1.5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Odškodninski postopki za razlaščena zemljišča</w:t>
            </w:r>
            <w:r>
              <w:rPr>
                <w:webHidden/>
              </w:rPr>
              <w:tab/>
            </w:r>
            <w:r>
              <w:rPr>
                <w:webHidden/>
              </w:rPr>
              <w:fldChar w:fldCharType="begin"/>
            </w:r>
            <w:r>
              <w:rPr>
                <w:webHidden/>
              </w:rPr>
              <w:instrText xml:space="preserve"> PAGEREF _Toc223094000 \h </w:instrText>
            </w:r>
            <w:r>
              <w:rPr>
                <w:webHidden/>
              </w:rPr>
            </w:r>
            <w:r>
              <w:rPr>
                <w:webHidden/>
              </w:rPr>
              <w:fldChar w:fldCharType="separate"/>
            </w:r>
            <w:r w:rsidR="00A76D9F">
              <w:rPr>
                <w:webHidden/>
              </w:rPr>
              <w:t>254</w:t>
            </w:r>
            <w:r>
              <w:rPr>
                <w:webHidden/>
              </w:rPr>
              <w:fldChar w:fldCharType="end"/>
            </w:r>
          </w:hyperlink>
        </w:p>
        <w:p w14:paraId="7E4F3C54" w14:textId="77CD4C55"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01" w:history="1">
            <w:r w:rsidRPr="00E14024">
              <w:rPr>
                <w:rStyle w:val="Hiperpovezava"/>
                <w:rFonts w:eastAsia="Calibri"/>
                <w:lang w:eastAsia="sl-SI"/>
              </w:rPr>
              <w:t>1.7.1.6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lang w:eastAsia="sl-SI"/>
              </w:rPr>
              <w:t>Drugi nepravdni postopki</w:t>
            </w:r>
            <w:r>
              <w:rPr>
                <w:webHidden/>
              </w:rPr>
              <w:tab/>
            </w:r>
            <w:r>
              <w:rPr>
                <w:webHidden/>
              </w:rPr>
              <w:fldChar w:fldCharType="begin"/>
            </w:r>
            <w:r>
              <w:rPr>
                <w:webHidden/>
              </w:rPr>
              <w:instrText xml:space="preserve"> PAGEREF _Toc223094001 \h </w:instrText>
            </w:r>
            <w:r>
              <w:rPr>
                <w:webHidden/>
              </w:rPr>
            </w:r>
            <w:r>
              <w:rPr>
                <w:webHidden/>
              </w:rPr>
              <w:fldChar w:fldCharType="separate"/>
            </w:r>
            <w:r w:rsidR="00A76D9F">
              <w:rPr>
                <w:webHidden/>
              </w:rPr>
              <w:t>255</w:t>
            </w:r>
            <w:r>
              <w:rPr>
                <w:webHidden/>
              </w:rPr>
              <w:fldChar w:fldCharType="end"/>
            </w:r>
          </w:hyperlink>
        </w:p>
        <w:p w14:paraId="40CA5D06" w14:textId="19DB76E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02" w:history="1">
            <w:r w:rsidRPr="00E14024">
              <w:rPr>
                <w:rStyle w:val="Hiperpovezava"/>
              </w:rPr>
              <w:t>1.7.1.7</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Prevzem zastopanja centrov za socialno delo po določbi 46. člena ZNP-1</w:t>
            </w:r>
            <w:r>
              <w:rPr>
                <w:webHidden/>
              </w:rPr>
              <w:tab/>
            </w:r>
            <w:r>
              <w:rPr>
                <w:webHidden/>
              </w:rPr>
              <w:fldChar w:fldCharType="begin"/>
            </w:r>
            <w:r>
              <w:rPr>
                <w:webHidden/>
              </w:rPr>
              <w:instrText xml:space="preserve"> PAGEREF _Toc223094002 \h </w:instrText>
            </w:r>
            <w:r>
              <w:rPr>
                <w:webHidden/>
              </w:rPr>
            </w:r>
            <w:r>
              <w:rPr>
                <w:webHidden/>
              </w:rPr>
              <w:fldChar w:fldCharType="separate"/>
            </w:r>
            <w:r w:rsidR="00A76D9F">
              <w:rPr>
                <w:webHidden/>
              </w:rPr>
              <w:t>255</w:t>
            </w:r>
            <w:r>
              <w:rPr>
                <w:webHidden/>
              </w:rPr>
              <w:fldChar w:fldCharType="end"/>
            </w:r>
          </w:hyperlink>
        </w:p>
        <w:p w14:paraId="2E5F886C" w14:textId="074BD45F"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03" w:history="1">
            <w:r w:rsidRPr="00E14024">
              <w:rPr>
                <w:rStyle w:val="Hiperpovezava"/>
              </w:rPr>
              <w:t>1.7.2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_Toc223094003 \h </w:instrText>
            </w:r>
            <w:r>
              <w:rPr>
                <w:webHidden/>
              </w:rPr>
            </w:r>
            <w:r>
              <w:rPr>
                <w:webHidden/>
              </w:rPr>
              <w:fldChar w:fldCharType="separate"/>
            </w:r>
            <w:r w:rsidR="00A76D9F">
              <w:rPr>
                <w:webHidden/>
              </w:rPr>
              <w:t>256</w:t>
            </w:r>
            <w:r>
              <w:rPr>
                <w:webHidden/>
              </w:rPr>
              <w:fldChar w:fldCharType="end"/>
            </w:r>
          </w:hyperlink>
        </w:p>
        <w:p w14:paraId="22015786" w14:textId="56045CC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04" w:history="1">
            <w:r w:rsidRPr="00E14024">
              <w:rPr>
                <w:rStyle w:val="Hiperpovezava"/>
              </w:rPr>
              <w:t>1.7.2.1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Statistični pregled za nepravdne zadeve – splošno</w:t>
            </w:r>
            <w:r>
              <w:rPr>
                <w:webHidden/>
              </w:rPr>
              <w:tab/>
            </w:r>
            <w:r>
              <w:rPr>
                <w:webHidden/>
              </w:rPr>
              <w:fldChar w:fldCharType="begin"/>
            </w:r>
            <w:r>
              <w:rPr>
                <w:webHidden/>
              </w:rPr>
              <w:instrText xml:space="preserve"> PAGEREF _Toc223094004 \h </w:instrText>
            </w:r>
            <w:r>
              <w:rPr>
                <w:webHidden/>
              </w:rPr>
            </w:r>
            <w:r>
              <w:rPr>
                <w:webHidden/>
              </w:rPr>
              <w:fldChar w:fldCharType="separate"/>
            </w:r>
            <w:r w:rsidR="00A76D9F">
              <w:rPr>
                <w:webHidden/>
              </w:rPr>
              <w:t>256</w:t>
            </w:r>
            <w:r>
              <w:rPr>
                <w:webHidden/>
              </w:rPr>
              <w:fldChar w:fldCharType="end"/>
            </w:r>
          </w:hyperlink>
        </w:p>
        <w:p w14:paraId="288783AD" w14:textId="1E56D7A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05" w:history="1">
            <w:r w:rsidRPr="00E14024">
              <w:rPr>
                <w:rStyle w:val="Hiperpovezava"/>
              </w:rPr>
              <w:t>1.7.2.2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Število novih zadev po posameznih nepravdnih postopkih</w:t>
            </w:r>
            <w:r>
              <w:rPr>
                <w:webHidden/>
              </w:rPr>
              <w:tab/>
            </w:r>
            <w:r>
              <w:rPr>
                <w:webHidden/>
              </w:rPr>
              <w:fldChar w:fldCharType="begin"/>
            </w:r>
            <w:r>
              <w:rPr>
                <w:webHidden/>
              </w:rPr>
              <w:instrText xml:space="preserve"> PAGEREF _Toc223094005 \h </w:instrText>
            </w:r>
            <w:r>
              <w:rPr>
                <w:webHidden/>
              </w:rPr>
            </w:r>
            <w:r>
              <w:rPr>
                <w:webHidden/>
              </w:rPr>
              <w:fldChar w:fldCharType="separate"/>
            </w:r>
            <w:r w:rsidR="00A76D9F">
              <w:rPr>
                <w:webHidden/>
              </w:rPr>
              <w:t>257</w:t>
            </w:r>
            <w:r>
              <w:rPr>
                <w:webHidden/>
              </w:rPr>
              <w:fldChar w:fldCharType="end"/>
            </w:r>
          </w:hyperlink>
        </w:p>
        <w:p w14:paraId="71D34F13" w14:textId="07926FD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06" w:history="1">
            <w:r w:rsidRPr="00E14024">
              <w:rPr>
                <w:rStyle w:val="Hiperpovezava"/>
              </w:rPr>
              <w:t>1.7.2.2.1</w:t>
            </w:r>
            <w:r>
              <w:rPr>
                <w:rFonts w:asciiTheme="minorHAnsi" w:eastAsiaTheme="minorEastAsia" w:hAnsiTheme="minorHAnsi" w:cstheme="minorBidi"/>
                <w:kern w:val="2"/>
                <w:sz w:val="24"/>
                <w:szCs w:val="24"/>
                <w:lang w:eastAsia="sl-SI"/>
                <w14:ligatures w14:val="standardContextual"/>
              </w:rPr>
              <w:tab/>
            </w:r>
            <w:r w:rsidRPr="00E14024">
              <w:rPr>
                <w:rStyle w:val="Hiperpovezava"/>
              </w:rPr>
              <w:t>Zapuščinski postopki</w:t>
            </w:r>
            <w:r>
              <w:rPr>
                <w:webHidden/>
              </w:rPr>
              <w:tab/>
            </w:r>
            <w:r>
              <w:rPr>
                <w:webHidden/>
              </w:rPr>
              <w:fldChar w:fldCharType="begin"/>
            </w:r>
            <w:r>
              <w:rPr>
                <w:webHidden/>
              </w:rPr>
              <w:instrText xml:space="preserve"> PAGEREF _Toc223094006 \h </w:instrText>
            </w:r>
            <w:r>
              <w:rPr>
                <w:webHidden/>
              </w:rPr>
            </w:r>
            <w:r>
              <w:rPr>
                <w:webHidden/>
              </w:rPr>
              <w:fldChar w:fldCharType="separate"/>
            </w:r>
            <w:r w:rsidR="00A76D9F">
              <w:rPr>
                <w:webHidden/>
              </w:rPr>
              <w:t>257</w:t>
            </w:r>
            <w:r>
              <w:rPr>
                <w:webHidden/>
              </w:rPr>
              <w:fldChar w:fldCharType="end"/>
            </w:r>
          </w:hyperlink>
        </w:p>
        <w:p w14:paraId="528D73D4" w14:textId="05B85AFE"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07" w:history="1">
            <w:r w:rsidRPr="00E14024">
              <w:rPr>
                <w:rStyle w:val="Hiperpovezava"/>
              </w:rPr>
              <w:t>1.7.2.2.2</w:t>
            </w:r>
            <w:r>
              <w:rPr>
                <w:rFonts w:asciiTheme="minorHAnsi" w:eastAsiaTheme="minorEastAsia" w:hAnsiTheme="minorHAnsi" w:cstheme="minorBidi"/>
                <w:kern w:val="2"/>
                <w:sz w:val="24"/>
                <w:szCs w:val="24"/>
                <w:lang w:eastAsia="sl-SI"/>
                <w14:ligatures w14:val="standardContextual"/>
              </w:rPr>
              <w:tab/>
            </w:r>
            <w:r w:rsidRPr="00E14024">
              <w:rPr>
                <w:rStyle w:val="Hiperpovezava"/>
              </w:rPr>
              <w:t>Postopki za razdružitev solastnine</w:t>
            </w:r>
            <w:r>
              <w:rPr>
                <w:webHidden/>
              </w:rPr>
              <w:tab/>
            </w:r>
            <w:r>
              <w:rPr>
                <w:webHidden/>
              </w:rPr>
              <w:fldChar w:fldCharType="begin"/>
            </w:r>
            <w:r>
              <w:rPr>
                <w:webHidden/>
              </w:rPr>
              <w:instrText xml:space="preserve"> PAGEREF _Toc223094007 \h </w:instrText>
            </w:r>
            <w:r>
              <w:rPr>
                <w:webHidden/>
              </w:rPr>
            </w:r>
            <w:r>
              <w:rPr>
                <w:webHidden/>
              </w:rPr>
              <w:fldChar w:fldCharType="separate"/>
            </w:r>
            <w:r w:rsidR="00A76D9F">
              <w:rPr>
                <w:webHidden/>
              </w:rPr>
              <w:t>257</w:t>
            </w:r>
            <w:r>
              <w:rPr>
                <w:webHidden/>
              </w:rPr>
              <w:fldChar w:fldCharType="end"/>
            </w:r>
          </w:hyperlink>
        </w:p>
        <w:p w14:paraId="17A16376" w14:textId="43DF96D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08" w:history="1">
            <w:r w:rsidRPr="00E14024">
              <w:rPr>
                <w:rStyle w:val="Hiperpovezava"/>
              </w:rPr>
              <w:t>1.7.2.2.3</w:t>
            </w:r>
            <w:r>
              <w:rPr>
                <w:rFonts w:asciiTheme="minorHAnsi" w:eastAsiaTheme="minorEastAsia" w:hAnsiTheme="minorHAnsi" w:cstheme="minorBidi"/>
                <w:kern w:val="2"/>
                <w:sz w:val="24"/>
                <w:szCs w:val="24"/>
                <w:lang w:eastAsia="sl-SI"/>
                <w14:ligatures w14:val="standardContextual"/>
              </w:rPr>
              <w:tab/>
            </w:r>
            <w:r w:rsidRPr="00E14024">
              <w:rPr>
                <w:rStyle w:val="Hiperpovezava"/>
              </w:rPr>
              <w:t>Zemljiškoknjižni postopki</w:t>
            </w:r>
            <w:r>
              <w:rPr>
                <w:webHidden/>
              </w:rPr>
              <w:tab/>
            </w:r>
            <w:r>
              <w:rPr>
                <w:webHidden/>
              </w:rPr>
              <w:fldChar w:fldCharType="begin"/>
            </w:r>
            <w:r>
              <w:rPr>
                <w:webHidden/>
              </w:rPr>
              <w:instrText xml:space="preserve"> PAGEREF _Toc223094008 \h </w:instrText>
            </w:r>
            <w:r>
              <w:rPr>
                <w:webHidden/>
              </w:rPr>
            </w:r>
            <w:r>
              <w:rPr>
                <w:webHidden/>
              </w:rPr>
              <w:fldChar w:fldCharType="separate"/>
            </w:r>
            <w:r w:rsidR="00A76D9F">
              <w:rPr>
                <w:webHidden/>
              </w:rPr>
              <w:t>257</w:t>
            </w:r>
            <w:r>
              <w:rPr>
                <w:webHidden/>
              </w:rPr>
              <w:fldChar w:fldCharType="end"/>
            </w:r>
          </w:hyperlink>
        </w:p>
        <w:p w14:paraId="2571585F" w14:textId="1DA44AC9"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09" w:history="1">
            <w:r w:rsidRPr="00E14024">
              <w:rPr>
                <w:rStyle w:val="Hiperpovezava"/>
                <w:lang w:eastAsia="sl-SI"/>
              </w:rPr>
              <w:t>1.7.2.2.4</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Odškodninski postopki za razlaščena zemljišča</w:t>
            </w:r>
            <w:r>
              <w:rPr>
                <w:webHidden/>
              </w:rPr>
              <w:tab/>
            </w:r>
            <w:r>
              <w:rPr>
                <w:webHidden/>
              </w:rPr>
              <w:fldChar w:fldCharType="begin"/>
            </w:r>
            <w:r>
              <w:rPr>
                <w:webHidden/>
              </w:rPr>
              <w:instrText xml:space="preserve"> PAGEREF _Toc223094009 \h </w:instrText>
            </w:r>
            <w:r>
              <w:rPr>
                <w:webHidden/>
              </w:rPr>
            </w:r>
            <w:r>
              <w:rPr>
                <w:webHidden/>
              </w:rPr>
              <w:fldChar w:fldCharType="separate"/>
            </w:r>
            <w:r w:rsidR="00A76D9F">
              <w:rPr>
                <w:webHidden/>
              </w:rPr>
              <w:t>257</w:t>
            </w:r>
            <w:r>
              <w:rPr>
                <w:webHidden/>
              </w:rPr>
              <w:fldChar w:fldCharType="end"/>
            </w:r>
          </w:hyperlink>
        </w:p>
        <w:p w14:paraId="0857F853" w14:textId="1E881AA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10" w:history="1">
            <w:r w:rsidRPr="00E14024">
              <w:rPr>
                <w:rStyle w:val="Hiperpovezava"/>
              </w:rPr>
              <w:t>1.7.2.2.5</w:t>
            </w:r>
            <w:r>
              <w:rPr>
                <w:rFonts w:asciiTheme="minorHAnsi" w:eastAsiaTheme="minorEastAsia" w:hAnsiTheme="minorHAnsi" w:cstheme="minorBidi"/>
                <w:kern w:val="2"/>
                <w:sz w:val="24"/>
                <w:szCs w:val="24"/>
                <w:lang w:eastAsia="sl-SI"/>
                <w14:ligatures w14:val="standardContextual"/>
              </w:rPr>
              <w:tab/>
            </w:r>
            <w:r w:rsidRPr="00E14024">
              <w:rPr>
                <w:rStyle w:val="Hiperpovezava"/>
              </w:rPr>
              <w:t>Drugi nepravdni postopki</w:t>
            </w:r>
            <w:r>
              <w:rPr>
                <w:webHidden/>
              </w:rPr>
              <w:tab/>
            </w:r>
            <w:r>
              <w:rPr>
                <w:webHidden/>
              </w:rPr>
              <w:fldChar w:fldCharType="begin"/>
            </w:r>
            <w:r>
              <w:rPr>
                <w:webHidden/>
              </w:rPr>
              <w:instrText xml:space="preserve"> PAGEREF _Toc223094010 \h </w:instrText>
            </w:r>
            <w:r>
              <w:rPr>
                <w:webHidden/>
              </w:rPr>
            </w:r>
            <w:r>
              <w:rPr>
                <w:webHidden/>
              </w:rPr>
              <w:fldChar w:fldCharType="separate"/>
            </w:r>
            <w:r w:rsidR="00A76D9F">
              <w:rPr>
                <w:webHidden/>
              </w:rPr>
              <w:t>258</w:t>
            </w:r>
            <w:r>
              <w:rPr>
                <w:webHidden/>
              </w:rPr>
              <w:fldChar w:fldCharType="end"/>
            </w:r>
          </w:hyperlink>
        </w:p>
        <w:p w14:paraId="31DE4A64" w14:textId="531F313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11" w:history="1">
            <w:r w:rsidRPr="00E14024">
              <w:rPr>
                <w:rStyle w:val="Hiperpovezava"/>
              </w:rPr>
              <w:t>1.7.2.2.6</w:t>
            </w:r>
            <w:r>
              <w:rPr>
                <w:rFonts w:asciiTheme="minorHAnsi" w:eastAsiaTheme="minorEastAsia" w:hAnsiTheme="minorHAnsi" w:cstheme="minorBidi"/>
                <w:kern w:val="2"/>
                <w:sz w:val="24"/>
                <w:szCs w:val="24"/>
                <w:lang w:eastAsia="sl-SI"/>
                <w14:ligatures w14:val="standardContextual"/>
              </w:rPr>
              <w:tab/>
            </w:r>
            <w:r w:rsidRPr="00E14024">
              <w:rPr>
                <w:rStyle w:val="Hiperpovezava"/>
              </w:rPr>
              <w:t>Postopki po 46. členu ZNP-1</w:t>
            </w:r>
            <w:r>
              <w:rPr>
                <w:webHidden/>
              </w:rPr>
              <w:tab/>
            </w:r>
            <w:r>
              <w:rPr>
                <w:webHidden/>
              </w:rPr>
              <w:fldChar w:fldCharType="begin"/>
            </w:r>
            <w:r>
              <w:rPr>
                <w:webHidden/>
              </w:rPr>
              <w:instrText xml:space="preserve"> PAGEREF _Toc223094011 \h </w:instrText>
            </w:r>
            <w:r>
              <w:rPr>
                <w:webHidden/>
              </w:rPr>
            </w:r>
            <w:r>
              <w:rPr>
                <w:webHidden/>
              </w:rPr>
              <w:fldChar w:fldCharType="separate"/>
            </w:r>
            <w:r w:rsidR="00A76D9F">
              <w:rPr>
                <w:webHidden/>
              </w:rPr>
              <w:t>258</w:t>
            </w:r>
            <w:r>
              <w:rPr>
                <w:webHidden/>
              </w:rPr>
              <w:fldChar w:fldCharType="end"/>
            </w:r>
          </w:hyperlink>
        </w:p>
        <w:p w14:paraId="37D8A7AF" w14:textId="07BA692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12" w:history="1">
            <w:r w:rsidRPr="00E14024">
              <w:rPr>
                <w:rStyle w:val="Hiperpovezava"/>
                <w:rFonts w:eastAsia="Calibri"/>
                <w:lang w:eastAsia="sl-SI"/>
              </w:rPr>
              <w:t>1.7.3</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lang w:eastAsia="sl-SI"/>
              </w:rPr>
              <w:t>Analiza primerjalnih vrednosti (n</w:t>
            </w:r>
            <w:r w:rsidRPr="00E14024">
              <w:rPr>
                <w:rStyle w:val="Hiperpovezava"/>
              </w:rPr>
              <w:t>epravdne zadeve – splošno)</w:t>
            </w:r>
            <w:r>
              <w:rPr>
                <w:webHidden/>
              </w:rPr>
              <w:tab/>
            </w:r>
            <w:r>
              <w:rPr>
                <w:webHidden/>
              </w:rPr>
              <w:fldChar w:fldCharType="begin"/>
            </w:r>
            <w:r>
              <w:rPr>
                <w:webHidden/>
              </w:rPr>
              <w:instrText xml:space="preserve"> PAGEREF _Toc223094012 \h </w:instrText>
            </w:r>
            <w:r>
              <w:rPr>
                <w:webHidden/>
              </w:rPr>
            </w:r>
            <w:r>
              <w:rPr>
                <w:webHidden/>
              </w:rPr>
              <w:fldChar w:fldCharType="separate"/>
            </w:r>
            <w:r w:rsidR="00A76D9F">
              <w:rPr>
                <w:webHidden/>
              </w:rPr>
              <w:t>258</w:t>
            </w:r>
            <w:r>
              <w:rPr>
                <w:webHidden/>
              </w:rPr>
              <w:fldChar w:fldCharType="end"/>
            </w:r>
          </w:hyperlink>
        </w:p>
        <w:p w14:paraId="0DA5B7BF" w14:textId="1F58A7A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13" w:history="1">
            <w:r w:rsidRPr="00E14024">
              <w:rPr>
                <w:rStyle w:val="Hiperpovezava"/>
              </w:rPr>
              <w:t>1.7.4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predlogi Državnega odvetništva RS</w:t>
            </w:r>
            <w:r>
              <w:rPr>
                <w:webHidden/>
              </w:rPr>
              <w:tab/>
            </w:r>
            <w:r>
              <w:rPr>
                <w:webHidden/>
              </w:rPr>
              <w:fldChar w:fldCharType="begin"/>
            </w:r>
            <w:r>
              <w:rPr>
                <w:webHidden/>
              </w:rPr>
              <w:instrText xml:space="preserve"> PAGEREF _Toc223094013 \h </w:instrText>
            </w:r>
            <w:r>
              <w:rPr>
                <w:webHidden/>
              </w:rPr>
            </w:r>
            <w:r>
              <w:rPr>
                <w:webHidden/>
              </w:rPr>
              <w:fldChar w:fldCharType="separate"/>
            </w:r>
            <w:r w:rsidR="00A76D9F">
              <w:rPr>
                <w:webHidden/>
              </w:rPr>
              <w:t>259</w:t>
            </w:r>
            <w:r>
              <w:rPr>
                <w:webHidden/>
              </w:rPr>
              <w:fldChar w:fldCharType="end"/>
            </w:r>
          </w:hyperlink>
        </w:p>
        <w:p w14:paraId="2986E5B1" w14:textId="3B79C06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14" w:history="1">
            <w:r w:rsidRPr="00E14024">
              <w:rPr>
                <w:rStyle w:val="Hiperpovezava"/>
              </w:rPr>
              <w:t>1.7.4.1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Odlog izvršbe zaradi nesorazmernosti posega inšpekcijskega ukrepa v dom – 104. in 105. člen Gradbenega zakona</w:t>
            </w:r>
            <w:r>
              <w:rPr>
                <w:webHidden/>
              </w:rPr>
              <w:tab/>
            </w:r>
            <w:r>
              <w:rPr>
                <w:webHidden/>
              </w:rPr>
              <w:fldChar w:fldCharType="begin"/>
            </w:r>
            <w:r>
              <w:rPr>
                <w:webHidden/>
              </w:rPr>
              <w:instrText xml:space="preserve"> PAGEREF _Toc223094014 \h </w:instrText>
            </w:r>
            <w:r>
              <w:rPr>
                <w:webHidden/>
              </w:rPr>
            </w:r>
            <w:r>
              <w:rPr>
                <w:webHidden/>
              </w:rPr>
              <w:fldChar w:fldCharType="separate"/>
            </w:r>
            <w:r w:rsidR="00A76D9F">
              <w:rPr>
                <w:webHidden/>
              </w:rPr>
              <w:t>259</w:t>
            </w:r>
            <w:r>
              <w:rPr>
                <w:webHidden/>
              </w:rPr>
              <w:fldChar w:fldCharType="end"/>
            </w:r>
          </w:hyperlink>
        </w:p>
        <w:p w14:paraId="37267FD5" w14:textId="000052D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15" w:history="1">
            <w:r w:rsidRPr="00E14024">
              <w:rPr>
                <w:rStyle w:val="Hiperpovezava"/>
              </w:rPr>
              <w:t>1.7.4.1.1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_Toc223094015 \h </w:instrText>
            </w:r>
            <w:r>
              <w:rPr>
                <w:webHidden/>
              </w:rPr>
            </w:r>
            <w:r>
              <w:rPr>
                <w:webHidden/>
              </w:rPr>
              <w:fldChar w:fldCharType="separate"/>
            </w:r>
            <w:r w:rsidR="00A76D9F">
              <w:rPr>
                <w:webHidden/>
              </w:rPr>
              <w:t>259</w:t>
            </w:r>
            <w:r>
              <w:rPr>
                <w:webHidden/>
              </w:rPr>
              <w:fldChar w:fldCharType="end"/>
            </w:r>
          </w:hyperlink>
        </w:p>
        <w:p w14:paraId="5B02E19F" w14:textId="72D2785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16" w:history="1">
            <w:r w:rsidRPr="00E14024">
              <w:rPr>
                <w:rStyle w:val="Hiperpovezava"/>
              </w:rPr>
              <w:t>1.7.4.1.2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Predstavitev nekaterih postopkov odloga izvršbe zaradi nesorazmernosti posega inšpekcijskega ukrepa v dom in dileme Državnega odvetništva RS</w:t>
            </w:r>
            <w:r>
              <w:rPr>
                <w:webHidden/>
              </w:rPr>
              <w:tab/>
            </w:r>
            <w:r>
              <w:rPr>
                <w:webHidden/>
              </w:rPr>
              <w:fldChar w:fldCharType="begin"/>
            </w:r>
            <w:r>
              <w:rPr>
                <w:webHidden/>
              </w:rPr>
              <w:instrText xml:space="preserve"> PAGEREF _Toc223094016 \h </w:instrText>
            </w:r>
            <w:r>
              <w:rPr>
                <w:webHidden/>
              </w:rPr>
            </w:r>
            <w:r>
              <w:rPr>
                <w:webHidden/>
              </w:rPr>
              <w:fldChar w:fldCharType="separate"/>
            </w:r>
            <w:r w:rsidR="00A76D9F">
              <w:rPr>
                <w:webHidden/>
              </w:rPr>
              <w:t>261</w:t>
            </w:r>
            <w:r>
              <w:rPr>
                <w:webHidden/>
              </w:rPr>
              <w:fldChar w:fldCharType="end"/>
            </w:r>
          </w:hyperlink>
        </w:p>
        <w:p w14:paraId="18968966" w14:textId="6131669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17" w:history="1">
            <w:r w:rsidRPr="00E14024">
              <w:rPr>
                <w:rStyle w:val="Hiperpovezava"/>
              </w:rPr>
              <w:t>1.7.4.2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Zapuščinski postopki</w:t>
            </w:r>
            <w:r>
              <w:rPr>
                <w:webHidden/>
              </w:rPr>
              <w:tab/>
            </w:r>
            <w:r>
              <w:rPr>
                <w:webHidden/>
              </w:rPr>
              <w:fldChar w:fldCharType="begin"/>
            </w:r>
            <w:r>
              <w:rPr>
                <w:webHidden/>
              </w:rPr>
              <w:instrText xml:space="preserve"> PAGEREF _Toc223094017 \h </w:instrText>
            </w:r>
            <w:r>
              <w:rPr>
                <w:webHidden/>
              </w:rPr>
            </w:r>
            <w:r>
              <w:rPr>
                <w:webHidden/>
              </w:rPr>
              <w:fldChar w:fldCharType="separate"/>
            </w:r>
            <w:r w:rsidR="00A76D9F">
              <w:rPr>
                <w:webHidden/>
              </w:rPr>
              <w:t>263</w:t>
            </w:r>
            <w:r>
              <w:rPr>
                <w:webHidden/>
              </w:rPr>
              <w:fldChar w:fldCharType="end"/>
            </w:r>
          </w:hyperlink>
        </w:p>
        <w:p w14:paraId="6221D276" w14:textId="7E6B695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18" w:history="1">
            <w:r w:rsidRPr="00E14024">
              <w:rPr>
                <w:rStyle w:val="Hiperpovezava"/>
              </w:rPr>
              <w:t>1.7.4.2.1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_Toc223094018 \h </w:instrText>
            </w:r>
            <w:r>
              <w:rPr>
                <w:webHidden/>
              </w:rPr>
            </w:r>
            <w:r>
              <w:rPr>
                <w:webHidden/>
              </w:rPr>
              <w:fldChar w:fldCharType="separate"/>
            </w:r>
            <w:r w:rsidR="00A76D9F">
              <w:rPr>
                <w:webHidden/>
              </w:rPr>
              <w:t>263</w:t>
            </w:r>
            <w:r>
              <w:rPr>
                <w:webHidden/>
              </w:rPr>
              <w:fldChar w:fldCharType="end"/>
            </w:r>
          </w:hyperlink>
        </w:p>
        <w:p w14:paraId="4693F2DA" w14:textId="2A85FA7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19" w:history="1">
            <w:r w:rsidRPr="00E14024">
              <w:rPr>
                <w:rStyle w:val="Hiperpovezava"/>
              </w:rPr>
              <w:t>1.7.4.2.2</w:t>
            </w:r>
            <w:r>
              <w:rPr>
                <w:rFonts w:asciiTheme="minorHAnsi" w:eastAsiaTheme="minorEastAsia" w:hAnsiTheme="minorHAnsi" w:cstheme="minorBidi"/>
                <w:kern w:val="2"/>
                <w:sz w:val="24"/>
                <w:szCs w:val="24"/>
                <w:lang w:eastAsia="sl-SI"/>
                <w14:ligatures w14:val="standardContextual"/>
              </w:rPr>
              <w:tab/>
            </w:r>
            <w:r w:rsidRPr="00E14024">
              <w:rPr>
                <w:rStyle w:val="Hiperpovezava"/>
              </w:rPr>
              <w:t>Omejitev dedovanja in odpoved omejitvi dedovanja</w:t>
            </w:r>
            <w:r>
              <w:rPr>
                <w:webHidden/>
              </w:rPr>
              <w:tab/>
            </w:r>
            <w:r>
              <w:rPr>
                <w:webHidden/>
              </w:rPr>
              <w:fldChar w:fldCharType="begin"/>
            </w:r>
            <w:r>
              <w:rPr>
                <w:webHidden/>
              </w:rPr>
              <w:instrText xml:space="preserve"> PAGEREF _Toc223094019 \h </w:instrText>
            </w:r>
            <w:r>
              <w:rPr>
                <w:webHidden/>
              </w:rPr>
            </w:r>
            <w:r>
              <w:rPr>
                <w:webHidden/>
              </w:rPr>
              <w:fldChar w:fldCharType="separate"/>
            </w:r>
            <w:r w:rsidR="00A76D9F">
              <w:rPr>
                <w:webHidden/>
              </w:rPr>
              <w:t>263</w:t>
            </w:r>
            <w:r>
              <w:rPr>
                <w:webHidden/>
              </w:rPr>
              <w:fldChar w:fldCharType="end"/>
            </w:r>
          </w:hyperlink>
        </w:p>
        <w:p w14:paraId="34D863F2" w14:textId="707DAF7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0" w:history="1">
            <w:r w:rsidRPr="00E14024">
              <w:rPr>
                <w:rStyle w:val="Hiperpovezava"/>
              </w:rPr>
              <w:t>1.7.4.2.3</w:t>
            </w:r>
            <w:r>
              <w:rPr>
                <w:rFonts w:asciiTheme="minorHAnsi" w:eastAsiaTheme="minorEastAsia" w:hAnsiTheme="minorHAnsi" w:cstheme="minorBidi"/>
                <w:kern w:val="2"/>
                <w:sz w:val="24"/>
                <w:szCs w:val="24"/>
                <w:lang w:eastAsia="sl-SI"/>
                <w14:ligatures w14:val="standardContextual"/>
              </w:rPr>
              <w:tab/>
            </w:r>
            <w:r w:rsidRPr="00E14024">
              <w:rPr>
                <w:rStyle w:val="Hiperpovezava"/>
              </w:rPr>
              <w:t>Valorizacija vrednosti prejete pomoči</w:t>
            </w:r>
            <w:r>
              <w:rPr>
                <w:webHidden/>
              </w:rPr>
              <w:tab/>
            </w:r>
            <w:r>
              <w:rPr>
                <w:webHidden/>
              </w:rPr>
              <w:fldChar w:fldCharType="begin"/>
            </w:r>
            <w:r>
              <w:rPr>
                <w:webHidden/>
              </w:rPr>
              <w:instrText xml:space="preserve"> PAGEREF _Toc223094020 \h </w:instrText>
            </w:r>
            <w:r>
              <w:rPr>
                <w:webHidden/>
              </w:rPr>
            </w:r>
            <w:r>
              <w:rPr>
                <w:webHidden/>
              </w:rPr>
              <w:fldChar w:fldCharType="separate"/>
            </w:r>
            <w:r w:rsidR="00A76D9F">
              <w:rPr>
                <w:webHidden/>
              </w:rPr>
              <w:t>265</w:t>
            </w:r>
            <w:r>
              <w:rPr>
                <w:webHidden/>
              </w:rPr>
              <w:fldChar w:fldCharType="end"/>
            </w:r>
          </w:hyperlink>
        </w:p>
        <w:p w14:paraId="6C7F1114" w14:textId="4E14301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1" w:history="1">
            <w:r w:rsidRPr="00E14024">
              <w:rPr>
                <w:rStyle w:val="Hiperpovezava"/>
              </w:rPr>
              <w:t>1.7.4.2.4</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Predlogi za spremembe in dopolnitve normativne ureditve</w:t>
            </w:r>
            <w:r>
              <w:rPr>
                <w:webHidden/>
              </w:rPr>
              <w:tab/>
            </w:r>
            <w:r>
              <w:rPr>
                <w:webHidden/>
              </w:rPr>
              <w:fldChar w:fldCharType="begin"/>
            </w:r>
            <w:r>
              <w:rPr>
                <w:webHidden/>
              </w:rPr>
              <w:instrText xml:space="preserve"> PAGEREF _Toc223094021 \h </w:instrText>
            </w:r>
            <w:r>
              <w:rPr>
                <w:webHidden/>
              </w:rPr>
            </w:r>
            <w:r>
              <w:rPr>
                <w:webHidden/>
              </w:rPr>
              <w:fldChar w:fldCharType="separate"/>
            </w:r>
            <w:r w:rsidR="00A76D9F">
              <w:rPr>
                <w:webHidden/>
              </w:rPr>
              <w:t>266</w:t>
            </w:r>
            <w:r>
              <w:rPr>
                <w:webHidden/>
              </w:rPr>
              <w:fldChar w:fldCharType="end"/>
            </w:r>
          </w:hyperlink>
        </w:p>
        <w:p w14:paraId="61BF281F" w14:textId="7AF78BC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2" w:history="1">
            <w:r w:rsidRPr="00E14024">
              <w:rPr>
                <w:rStyle w:val="Hiperpovezava"/>
              </w:rPr>
              <w:t>1.7.4.2.5</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Delovna skupina za obravnavo odprtih vprašanj glede uporabe Uredbe (EU) št. 650/2012 Evropskega parlamenta in Sveta z dne 4. julija 2012 o pristojnosti, pravu, ki se uporablja, priznavanju in izvrševanju odločb in sprejemljivosti in izvrševanju javnih listin v dednih zadevah ter uvedbi evropskega potrdila o dedovanju (Uredba o dedovanju)</w:t>
            </w:r>
            <w:r>
              <w:rPr>
                <w:webHidden/>
              </w:rPr>
              <w:tab/>
            </w:r>
            <w:r>
              <w:rPr>
                <w:webHidden/>
              </w:rPr>
              <w:fldChar w:fldCharType="begin"/>
            </w:r>
            <w:r>
              <w:rPr>
                <w:webHidden/>
              </w:rPr>
              <w:instrText xml:space="preserve"> PAGEREF _Toc223094022 \h </w:instrText>
            </w:r>
            <w:r>
              <w:rPr>
                <w:webHidden/>
              </w:rPr>
            </w:r>
            <w:r>
              <w:rPr>
                <w:webHidden/>
              </w:rPr>
              <w:fldChar w:fldCharType="separate"/>
            </w:r>
            <w:r w:rsidR="00A76D9F">
              <w:rPr>
                <w:webHidden/>
              </w:rPr>
              <w:t>270</w:t>
            </w:r>
            <w:r>
              <w:rPr>
                <w:webHidden/>
              </w:rPr>
              <w:fldChar w:fldCharType="end"/>
            </w:r>
          </w:hyperlink>
        </w:p>
        <w:p w14:paraId="7D7310D7" w14:textId="65DE653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23" w:history="1">
            <w:r w:rsidRPr="00E14024">
              <w:rPr>
                <w:rStyle w:val="Hiperpovezava"/>
              </w:rPr>
              <w:t>1.7.4.3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Razdružitev solastnine</w:t>
            </w:r>
            <w:r>
              <w:rPr>
                <w:webHidden/>
              </w:rPr>
              <w:tab/>
            </w:r>
            <w:r>
              <w:rPr>
                <w:webHidden/>
              </w:rPr>
              <w:fldChar w:fldCharType="begin"/>
            </w:r>
            <w:r>
              <w:rPr>
                <w:webHidden/>
              </w:rPr>
              <w:instrText xml:space="preserve"> PAGEREF _Toc223094023 \h </w:instrText>
            </w:r>
            <w:r>
              <w:rPr>
                <w:webHidden/>
              </w:rPr>
            </w:r>
            <w:r>
              <w:rPr>
                <w:webHidden/>
              </w:rPr>
              <w:fldChar w:fldCharType="separate"/>
            </w:r>
            <w:r w:rsidR="00A76D9F">
              <w:rPr>
                <w:webHidden/>
              </w:rPr>
              <w:t>271</w:t>
            </w:r>
            <w:r>
              <w:rPr>
                <w:webHidden/>
              </w:rPr>
              <w:fldChar w:fldCharType="end"/>
            </w:r>
          </w:hyperlink>
        </w:p>
        <w:p w14:paraId="4259F14E" w14:textId="2B0F126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24" w:history="1">
            <w:r w:rsidRPr="00E14024">
              <w:rPr>
                <w:rStyle w:val="Hiperpovezava"/>
              </w:rPr>
              <w:t>1.7.4.4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Zemljiškoknjižni postopki</w:t>
            </w:r>
            <w:r>
              <w:rPr>
                <w:webHidden/>
              </w:rPr>
              <w:tab/>
            </w:r>
            <w:r>
              <w:rPr>
                <w:webHidden/>
              </w:rPr>
              <w:fldChar w:fldCharType="begin"/>
            </w:r>
            <w:r>
              <w:rPr>
                <w:webHidden/>
              </w:rPr>
              <w:instrText xml:space="preserve"> PAGEREF _Toc223094024 \h </w:instrText>
            </w:r>
            <w:r>
              <w:rPr>
                <w:webHidden/>
              </w:rPr>
            </w:r>
            <w:r>
              <w:rPr>
                <w:webHidden/>
              </w:rPr>
              <w:fldChar w:fldCharType="separate"/>
            </w:r>
            <w:r w:rsidR="00A76D9F">
              <w:rPr>
                <w:webHidden/>
              </w:rPr>
              <w:t>273</w:t>
            </w:r>
            <w:r>
              <w:rPr>
                <w:webHidden/>
              </w:rPr>
              <w:fldChar w:fldCharType="end"/>
            </w:r>
          </w:hyperlink>
        </w:p>
        <w:p w14:paraId="0F8B1814" w14:textId="2BF83400"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5" w:history="1">
            <w:r w:rsidRPr="00E14024">
              <w:rPr>
                <w:rStyle w:val="Hiperpovezava"/>
              </w:rPr>
              <w:t>1.7.4.4.1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_Toc223094025 \h </w:instrText>
            </w:r>
            <w:r>
              <w:rPr>
                <w:webHidden/>
              </w:rPr>
            </w:r>
            <w:r>
              <w:rPr>
                <w:webHidden/>
              </w:rPr>
              <w:fldChar w:fldCharType="separate"/>
            </w:r>
            <w:r w:rsidR="00A76D9F">
              <w:rPr>
                <w:webHidden/>
              </w:rPr>
              <w:t>273</w:t>
            </w:r>
            <w:r>
              <w:rPr>
                <w:webHidden/>
              </w:rPr>
              <w:fldChar w:fldCharType="end"/>
            </w:r>
          </w:hyperlink>
        </w:p>
        <w:p w14:paraId="66276977" w14:textId="658107B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6" w:history="1">
            <w:r w:rsidRPr="00E14024">
              <w:rPr>
                <w:rStyle w:val="Hiperpovezava"/>
              </w:rPr>
              <w:t>1.7.4.4.2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Problematika vknjižbe lastninske pravice v korist Republike Slovenije pri nepremičninah, ki so po namenski rabi kmetijska zemljišča</w:t>
            </w:r>
            <w:r>
              <w:rPr>
                <w:webHidden/>
              </w:rPr>
              <w:tab/>
            </w:r>
            <w:r>
              <w:rPr>
                <w:webHidden/>
              </w:rPr>
              <w:fldChar w:fldCharType="begin"/>
            </w:r>
            <w:r>
              <w:rPr>
                <w:webHidden/>
              </w:rPr>
              <w:instrText xml:space="preserve"> PAGEREF _Toc223094026 \h </w:instrText>
            </w:r>
            <w:r>
              <w:rPr>
                <w:webHidden/>
              </w:rPr>
            </w:r>
            <w:r>
              <w:rPr>
                <w:webHidden/>
              </w:rPr>
              <w:fldChar w:fldCharType="separate"/>
            </w:r>
            <w:r w:rsidR="00A76D9F">
              <w:rPr>
                <w:webHidden/>
              </w:rPr>
              <w:t>273</w:t>
            </w:r>
            <w:r>
              <w:rPr>
                <w:webHidden/>
              </w:rPr>
              <w:fldChar w:fldCharType="end"/>
            </w:r>
          </w:hyperlink>
        </w:p>
        <w:p w14:paraId="1105EEE6" w14:textId="341627F4"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7" w:history="1">
            <w:r w:rsidRPr="00E14024">
              <w:rPr>
                <w:rStyle w:val="Hiperpovezava"/>
                <w:lang w:eastAsia="sl-SI"/>
              </w:rPr>
              <w:t>1.7.4.4.3</w:t>
            </w:r>
            <w:r>
              <w:rPr>
                <w:rFonts w:asciiTheme="minorHAnsi" w:eastAsiaTheme="minorEastAsia" w:hAnsiTheme="minorHAnsi" w:cstheme="minorBidi"/>
                <w:kern w:val="2"/>
                <w:sz w:val="24"/>
                <w:szCs w:val="24"/>
                <w:lang w:eastAsia="sl-SI"/>
                <w14:ligatures w14:val="standardContextual"/>
              </w:rPr>
              <w:tab/>
            </w:r>
            <w:r w:rsidRPr="00E14024">
              <w:rPr>
                <w:rStyle w:val="Hiperpovezava"/>
              </w:rPr>
              <w:t>Vpis lastninske pravice na podlagi izvensodne poravnave, ki jo v predhodnem postopku sklene državni odvetnik</w:t>
            </w:r>
            <w:r>
              <w:rPr>
                <w:webHidden/>
              </w:rPr>
              <w:tab/>
            </w:r>
            <w:r>
              <w:rPr>
                <w:webHidden/>
              </w:rPr>
              <w:fldChar w:fldCharType="begin"/>
            </w:r>
            <w:r>
              <w:rPr>
                <w:webHidden/>
              </w:rPr>
              <w:instrText xml:space="preserve"> PAGEREF _Toc223094027 \h </w:instrText>
            </w:r>
            <w:r>
              <w:rPr>
                <w:webHidden/>
              </w:rPr>
            </w:r>
            <w:r>
              <w:rPr>
                <w:webHidden/>
              </w:rPr>
              <w:fldChar w:fldCharType="separate"/>
            </w:r>
            <w:r w:rsidR="00A76D9F">
              <w:rPr>
                <w:webHidden/>
              </w:rPr>
              <w:t>275</w:t>
            </w:r>
            <w:r>
              <w:rPr>
                <w:webHidden/>
              </w:rPr>
              <w:fldChar w:fldCharType="end"/>
            </w:r>
          </w:hyperlink>
        </w:p>
        <w:p w14:paraId="2BAA99EA" w14:textId="28244235"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28" w:history="1">
            <w:r w:rsidRPr="00E14024">
              <w:rPr>
                <w:rStyle w:val="Hiperpovezava"/>
              </w:rPr>
              <w:t>1.7.4.5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Odškodninski postopki za razlaščena zemljišča</w:t>
            </w:r>
            <w:r>
              <w:rPr>
                <w:webHidden/>
              </w:rPr>
              <w:tab/>
            </w:r>
            <w:r>
              <w:rPr>
                <w:webHidden/>
              </w:rPr>
              <w:fldChar w:fldCharType="begin"/>
            </w:r>
            <w:r>
              <w:rPr>
                <w:webHidden/>
              </w:rPr>
              <w:instrText xml:space="preserve"> PAGEREF _Toc223094028 \h </w:instrText>
            </w:r>
            <w:r>
              <w:rPr>
                <w:webHidden/>
              </w:rPr>
            </w:r>
            <w:r>
              <w:rPr>
                <w:webHidden/>
              </w:rPr>
              <w:fldChar w:fldCharType="separate"/>
            </w:r>
            <w:r w:rsidR="00A76D9F">
              <w:rPr>
                <w:webHidden/>
              </w:rPr>
              <w:t>276</w:t>
            </w:r>
            <w:r>
              <w:rPr>
                <w:webHidden/>
              </w:rPr>
              <w:fldChar w:fldCharType="end"/>
            </w:r>
          </w:hyperlink>
        </w:p>
        <w:p w14:paraId="4ADF6DDD" w14:textId="0AC4AB81"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29" w:history="1">
            <w:r w:rsidRPr="00E14024">
              <w:rPr>
                <w:rStyle w:val="Hiperpovezava"/>
              </w:rPr>
              <w:t>1.7.4.5.1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_Toc223094029 \h </w:instrText>
            </w:r>
            <w:r>
              <w:rPr>
                <w:webHidden/>
              </w:rPr>
            </w:r>
            <w:r>
              <w:rPr>
                <w:webHidden/>
              </w:rPr>
              <w:fldChar w:fldCharType="separate"/>
            </w:r>
            <w:r w:rsidR="00A76D9F">
              <w:rPr>
                <w:webHidden/>
              </w:rPr>
              <w:t>276</w:t>
            </w:r>
            <w:r>
              <w:rPr>
                <w:webHidden/>
              </w:rPr>
              <w:fldChar w:fldCharType="end"/>
            </w:r>
          </w:hyperlink>
        </w:p>
        <w:p w14:paraId="7886988A" w14:textId="724B49A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30" w:history="1">
            <w:r w:rsidRPr="00E14024">
              <w:rPr>
                <w:rStyle w:val="Hiperpovezava"/>
                <w:lang w:eastAsia="sl-SI"/>
              </w:rPr>
              <w:t>1.7.4.5.2</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Problematika plačila zakonskih zamudnih obresti v postopku določitve odškodnine zaradi razlastitve</w:t>
            </w:r>
            <w:r>
              <w:rPr>
                <w:webHidden/>
              </w:rPr>
              <w:tab/>
            </w:r>
            <w:r>
              <w:rPr>
                <w:webHidden/>
              </w:rPr>
              <w:fldChar w:fldCharType="begin"/>
            </w:r>
            <w:r>
              <w:rPr>
                <w:webHidden/>
              </w:rPr>
              <w:instrText xml:space="preserve"> PAGEREF _Toc223094030 \h </w:instrText>
            </w:r>
            <w:r>
              <w:rPr>
                <w:webHidden/>
              </w:rPr>
            </w:r>
            <w:r>
              <w:rPr>
                <w:webHidden/>
              </w:rPr>
              <w:fldChar w:fldCharType="separate"/>
            </w:r>
            <w:r w:rsidR="00A76D9F">
              <w:rPr>
                <w:webHidden/>
              </w:rPr>
              <w:t>276</w:t>
            </w:r>
            <w:r>
              <w:rPr>
                <w:webHidden/>
              </w:rPr>
              <w:fldChar w:fldCharType="end"/>
            </w:r>
          </w:hyperlink>
        </w:p>
        <w:p w14:paraId="5E96DD7E" w14:textId="4DA2D31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31" w:history="1">
            <w:r w:rsidRPr="00E14024">
              <w:rPr>
                <w:rStyle w:val="Hiperpovezava"/>
              </w:rPr>
              <w:t>1.7.4.6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Postopki razglasitve pogrešanca za mrtvega</w:t>
            </w:r>
            <w:r>
              <w:rPr>
                <w:webHidden/>
              </w:rPr>
              <w:tab/>
            </w:r>
            <w:r>
              <w:rPr>
                <w:webHidden/>
              </w:rPr>
              <w:fldChar w:fldCharType="begin"/>
            </w:r>
            <w:r>
              <w:rPr>
                <w:webHidden/>
              </w:rPr>
              <w:instrText xml:space="preserve"> PAGEREF _Toc223094031 \h </w:instrText>
            </w:r>
            <w:r>
              <w:rPr>
                <w:webHidden/>
              </w:rPr>
            </w:r>
            <w:r>
              <w:rPr>
                <w:webHidden/>
              </w:rPr>
              <w:fldChar w:fldCharType="separate"/>
            </w:r>
            <w:r w:rsidR="00A76D9F">
              <w:rPr>
                <w:webHidden/>
              </w:rPr>
              <w:t>278</w:t>
            </w:r>
            <w:r>
              <w:rPr>
                <w:webHidden/>
              </w:rPr>
              <w:fldChar w:fldCharType="end"/>
            </w:r>
          </w:hyperlink>
        </w:p>
        <w:p w14:paraId="5CBC123F" w14:textId="054DE2E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32" w:history="1">
            <w:r w:rsidRPr="00E14024">
              <w:rPr>
                <w:rStyle w:val="Hiperpovezava"/>
                <w:rFonts w:cstheme="minorHAnsi"/>
              </w:rPr>
              <w:t>1.7.4.7</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Nepravdni postopek d</w:t>
            </w:r>
            <w:r w:rsidRPr="00E14024">
              <w:rPr>
                <w:rStyle w:val="Hiperpovezava"/>
                <w:rFonts w:cstheme="minorHAnsi"/>
              </w:rPr>
              <w:t>oločitve funkcionalnega zemljišča k stavbi na podlagi ZVetL-1</w:t>
            </w:r>
            <w:r>
              <w:rPr>
                <w:webHidden/>
              </w:rPr>
              <w:tab/>
            </w:r>
            <w:r>
              <w:rPr>
                <w:webHidden/>
              </w:rPr>
              <w:fldChar w:fldCharType="begin"/>
            </w:r>
            <w:r>
              <w:rPr>
                <w:webHidden/>
              </w:rPr>
              <w:instrText xml:space="preserve"> PAGEREF _Toc223094032 \h </w:instrText>
            </w:r>
            <w:r>
              <w:rPr>
                <w:webHidden/>
              </w:rPr>
            </w:r>
            <w:r>
              <w:rPr>
                <w:webHidden/>
              </w:rPr>
              <w:fldChar w:fldCharType="separate"/>
            </w:r>
            <w:r w:rsidR="00A76D9F">
              <w:rPr>
                <w:webHidden/>
              </w:rPr>
              <w:t>279</w:t>
            </w:r>
            <w:r>
              <w:rPr>
                <w:webHidden/>
              </w:rPr>
              <w:fldChar w:fldCharType="end"/>
            </w:r>
          </w:hyperlink>
        </w:p>
        <w:p w14:paraId="3614F52C" w14:textId="20A767C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33" w:history="1">
            <w:r w:rsidRPr="00E14024">
              <w:rPr>
                <w:rStyle w:val="Hiperpovezava"/>
              </w:rPr>
              <w:t>1.7.4.8</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Ukrepi za varstvo otrokove koristi</w:t>
            </w:r>
            <w:r>
              <w:rPr>
                <w:webHidden/>
              </w:rPr>
              <w:tab/>
            </w:r>
            <w:r>
              <w:rPr>
                <w:webHidden/>
              </w:rPr>
              <w:fldChar w:fldCharType="begin"/>
            </w:r>
            <w:r>
              <w:rPr>
                <w:webHidden/>
              </w:rPr>
              <w:instrText xml:space="preserve"> PAGEREF _Toc223094033 \h </w:instrText>
            </w:r>
            <w:r>
              <w:rPr>
                <w:webHidden/>
              </w:rPr>
            </w:r>
            <w:r>
              <w:rPr>
                <w:webHidden/>
              </w:rPr>
              <w:fldChar w:fldCharType="separate"/>
            </w:r>
            <w:r w:rsidR="00A76D9F">
              <w:rPr>
                <w:webHidden/>
              </w:rPr>
              <w:t>280</w:t>
            </w:r>
            <w:r>
              <w:rPr>
                <w:webHidden/>
              </w:rPr>
              <w:fldChar w:fldCharType="end"/>
            </w:r>
          </w:hyperlink>
        </w:p>
        <w:p w14:paraId="5D0E5D3E" w14:textId="68BC7E2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34" w:history="1">
            <w:r w:rsidRPr="00E14024">
              <w:rPr>
                <w:rStyle w:val="Hiperpovezava"/>
              </w:rPr>
              <w:t>1.7.4.8.1</w:t>
            </w:r>
            <w:r>
              <w:rPr>
                <w:rFonts w:asciiTheme="minorHAnsi" w:eastAsiaTheme="minorEastAsia" w:hAnsiTheme="minorHAnsi" w:cstheme="minorBidi"/>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_Toc223094034 \h </w:instrText>
            </w:r>
            <w:r>
              <w:rPr>
                <w:webHidden/>
              </w:rPr>
            </w:r>
            <w:r>
              <w:rPr>
                <w:webHidden/>
              </w:rPr>
              <w:fldChar w:fldCharType="separate"/>
            </w:r>
            <w:r w:rsidR="00A76D9F">
              <w:rPr>
                <w:webHidden/>
              </w:rPr>
              <w:t>281</w:t>
            </w:r>
            <w:r>
              <w:rPr>
                <w:webHidden/>
              </w:rPr>
              <w:fldChar w:fldCharType="end"/>
            </w:r>
          </w:hyperlink>
        </w:p>
        <w:p w14:paraId="0B1BFF93" w14:textId="1EFAEE6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35" w:history="1">
            <w:r w:rsidRPr="00E14024">
              <w:rPr>
                <w:rStyle w:val="Hiperpovezava"/>
              </w:rPr>
              <w:t>1.7.4.8.2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Prevzem zastopanja CSD na podlagi 46. člena ZNP-1</w:t>
            </w:r>
            <w:r>
              <w:rPr>
                <w:webHidden/>
              </w:rPr>
              <w:tab/>
            </w:r>
            <w:r>
              <w:rPr>
                <w:webHidden/>
              </w:rPr>
              <w:fldChar w:fldCharType="begin"/>
            </w:r>
            <w:r>
              <w:rPr>
                <w:webHidden/>
              </w:rPr>
              <w:instrText xml:space="preserve"> PAGEREF _Toc223094035 \h </w:instrText>
            </w:r>
            <w:r>
              <w:rPr>
                <w:webHidden/>
              </w:rPr>
            </w:r>
            <w:r>
              <w:rPr>
                <w:webHidden/>
              </w:rPr>
              <w:fldChar w:fldCharType="separate"/>
            </w:r>
            <w:r w:rsidR="00A76D9F">
              <w:rPr>
                <w:webHidden/>
              </w:rPr>
              <w:t>281</w:t>
            </w:r>
            <w:r>
              <w:rPr>
                <w:webHidden/>
              </w:rPr>
              <w:fldChar w:fldCharType="end"/>
            </w:r>
          </w:hyperlink>
        </w:p>
        <w:p w14:paraId="4C285B08" w14:textId="2D529036"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36" w:history="1">
            <w:r w:rsidRPr="00E14024">
              <w:rPr>
                <w:rStyle w:val="Hiperpovezava"/>
              </w:rPr>
              <w:t>1.7.4.8.3</w:t>
            </w:r>
            <w:r>
              <w:rPr>
                <w:rFonts w:asciiTheme="minorHAnsi" w:eastAsiaTheme="minorEastAsia" w:hAnsiTheme="minorHAnsi" w:cstheme="minorBidi"/>
                <w:kern w:val="2"/>
                <w:sz w:val="24"/>
                <w:szCs w:val="24"/>
                <w:lang w:eastAsia="sl-SI"/>
                <w14:ligatures w14:val="standardContextual"/>
              </w:rPr>
              <w:tab/>
            </w:r>
            <w:r w:rsidRPr="00E14024">
              <w:rPr>
                <w:rStyle w:val="Hiperpovezava"/>
              </w:rPr>
              <w:t>Delovna skupina za koordinacijo in oblikovanje stališč do pravnih vprašanj v zadevah, v katerih je državno odvetništvo v postopkih pred sodišči prevzelo zastopanje centrov za socialno delo po drugem odstavku 46. člena ZNP-1</w:t>
            </w:r>
            <w:r>
              <w:rPr>
                <w:webHidden/>
              </w:rPr>
              <w:tab/>
            </w:r>
            <w:r>
              <w:rPr>
                <w:webHidden/>
              </w:rPr>
              <w:fldChar w:fldCharType="begin"/>
            </w:r>
            <w:r>
              <w:rPr>
                <w:webHidden/>
              </w:rPr>
              <w:instrText xml:space="preserve"> PAGEREF _Toc223094036 \h </w:instrText>
            </w:r>
            <w:r>
              <w:rPr>
                <w:webHidden/>
              </w:rPr>
            </w:r>
            <w:r>
              <w:rPr>
                <w:webHidden/>
              </w:rPr>
              <w:fldChar w:fldCharType="separate"/>
            </w:r>
            <w:r w:rsidR="00A76D9F">
              <w:rPr>
                <w:webHidden/>
              </w:rPr>
              <w:t>283</w:t>
            </w:r>
            <w:r>
              <w:rPr>
                <w:webHidden/>
              </w:rPr>
              <w:fldChar w:fldCharType="end"/>
            </w:r>
          </w:hyperlink>
        </w:p>
        <w:p w14:paraId="43391753" w14:textId="074CBB0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37" w:history="1">
            <w:r w:rsidRPr="00E14024">
              <w:rPr>
                <w:rStyle w:val="Hiperpovezava"/>
              </w:rPr>
              <w:t>1.7.4.8.4</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Prevzem zastopanja CSD in vprašanje ustavne skladnosti določbe 37. člena ZNP-1 v postopkih za varstvo koristi otrok zaradi stališča, ki ga je v zvezi z razlago določbe 378. člena ZPP v zvezi s 37. členom ZNP-1 zavzelo Vrhovno sodišče RS v sklepu, opr.št. II Ips 47/2024 z dne 13. 11. 2024 – odločba Ustavnega sodišča, št. Up-71/25 z dne 12. 6. 2025</w:t>
            </w:r>
            <w:r>
              <w:rPr>
                <w:webHidden/>
              </w:rPr>
              <w:tab/>
            </w:r>
            <w:r>
              <w:rPr>
                <w:webHidden/>
              </w:rPr>
              <w:fldChar w:fldCharType="begin"/>
            </w:r>
            <w:r>
              <w:rPr>
                <w:webHidden/>
              </w:rPr>
              <w:instrText xml:space="preserve"> PAGEREF _Toc223094037 \h </w:instrText>
            </w:r>
            <w:r>
              <w:rPr>
                <w:webHidden/>
              </w:rPr>
            </w:r>
            <w:r>
              <w:rPr>
                <w:webHidden/>
              </w:rPr>
              <w:fldChar w:fldCharType="separate"/>
            </w:r>
            <w:r w:rsidR="00A76D9F">
              <w:rPr>
                <w:webHidden/>
              </w:rPr>
              <w:t>287</w:t>
            </w:r>
            <w:r>
              <w:rPr>
                <w:webHidden/>
              </w:rPr>
              <w:fldChar w:fldCharType="end"/>
            </w:r>
          </w:hyperlink>
        </w:p>
        <w:p w14:paraId="0040A7B1" w14:textId="0F0E84CE"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38" w:history="1">
            <w:r w:rsidRPr="00E14024">
              <w:rPr>
                <w:rStyle w:val="Hiperpovezava"/>
              </w:rPr>
              <w:t>1.7.4.8.5</w:t>
            </w:r>
            <w:r>
              <w:rPr>
                <w:rFonts w:asciiTheme="minorHAnsi" w:eastAsiaTheme="minorEastAsia" w:hAnsiTheme="minorHAnsi" w:cstheme="minorBidi"/>
                <w:kern w:val="2"/>
                <w:sz w:val="24"/>
                <w:szCs w:val="24"/>
                <w:lang w:eastAsia="sl-SI"/>
                <w14:ligatures w14:val="standardContextual"/>
              </w:rPr>
              <w:tab/>
            </w:r>
            <w:r w:rsidRPr="00E14024">
              <w:rPr>
                <w:rStyle w:val="Hiperpovezava"/>
              </w:rPr>
              <w:t>Aktualne zadeve</w:t>
            </w:r>
            <w:r>
              <w:rPr>
                <w:webHidden/>
              </w:rPr>
              <w:tab/>
            </w:r>
            <w:r>
              <w:rPr>
                <w:webHidden/>
              </w:rPr>
              <w:fldChar w:fldCharType="begin"/>
            </w:r>
            <w:r>
              <w:rPr>
                <w:webHidden/>
              </w:rPr>
              <w:instrText xml:space="preserve"> PAGEREF _Toc223094038 \h </w:instrText>
            </w:r>
            <w:r>
              <w:rPr>
                <w:webHidden/>
              </w:rPr>
            </w:r>
            <w:r>
              <w:rPr>
                <w:webHidden/>
              </w:rPr>
              <w:fldChar w:fldCharType="separate"/>
            </w:r>
            <w:r w:rsidR="00A76D9F">
              <w:rPr>
                <w:webHidden/>
              </w:rPr>
              <w:t>292</w:t>
            </w:r>
            <w:r>
              <w:rPr>
                <w:webHidden/>
              </w:rPr>
              <w:fldChar w:fldCharType="end"/>
            </w:r>
          </w:hyperlink>
        </w:p>
        <w:p w14:paraId="4B6DF14A" w14:textId="79ABA320"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039" w:history="1">
            <w:r w:rsidRPr="00E14024">
              <w:rPr>
                <w:rStyle w:val="Hiperpovezava"/>
                <w:noProof/>
              </w:rPr>
              <w:t>1.8</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razlastitev</w:t>
            </w:r>
            <w:r>
              <w:rPr>
                <w:noProof/>
                <w:webHidden/>
              </w:rPr>
              <w:tab/>
            </w:r>
            <w:r>
              <w:rPr>
                <w:noProof/>
                <w:webHidden/>
              </w:rPr>
              <w:fldChar w:fldCharType="begin"/>
            </w:r>
            <w:r>
              <w:rPr>
                <w:noProof/>
                <w:webHidden/>
              </w:rPr>
              <w:instrText xml:space="preserve"> PAGEREF _Toc223094039 \h </w:instrText>
            </w:r>
            <w:r>
              <w:rPr>
                <w:noProof/>
                <w:webHidden/>
              </w:rPr>
            </w:r>
            <w:r>
              <w:rPr>
                <w:noProof/>
                <w:webHidden/>
              </w:rPr>
              <w:fldChar w:fldCharType="separate"/>
            </w:r>
            <w:r w:rsidR="00A76D9F">
              <w:rPr>
                <w:noProof/>
                <w:webHidden/>
              </w:rPr>
              <w:t>292</w:t>
            </w:r>
            <w:r>
              <w:rPr>
                <w:noProof/>
                <w:webHidden/>
              </w:rPr>
              <w:fldChar w:fldCharType="end"/>
            </w:r>
          </w:hyperlink>
        </w:p>
        <w:p w14:paraId="53CE825E" w14:textId="6F41636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40" w:history="1">
            <w:r w:rsidRPr="00E14024">
              <w:rPr>
                <w:rStyle w:val="Hiperpovezava"/>
              </w:rPr>
              <w:t>1.8.1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_Toc223094040 \h </w:instrText>
            </w:r>
            <w:r>
              <w:rPr>
                <w:webHidden/>
              </w:rPr>
            </w:r>
            <w:r>
              <w:rPr>
                <w:webHidden/>
              </w:rPr>
              <w:fldChar w:fldCharType="separate"/>
            </w:r>
            <w:r w:rsidR="00A76D9F">
              <w:rPr>
                <w:webHidden/>
              </w:rPr>
              <w:t>292</w:t>
            </w:r>
            <w:r>
              <w:rPr>
                <w:webHidden/>
              </w:rPr>
              <w:fldChar w:fldCharType="end"/>
            </w:r>
          </w:hyperlink>
        </w:p>
        <w:p w14:paraId="346C3A3F" w14:textId="0B8E3696"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41" w:history="1">
            <w:r w:rsidRPr="00E14024">
              <w:rPr>
                <w:rStyle w:val="Hiperpovezava"/>
              </w:rPr>
              <w:t>1.8.2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_Toc223094041 \h </w:instrText>
            </w:r>
            <w:r>
              <w:rPr>
                <w:webHidden/>
              </w:rPr>
            </w:r>
            <w:r>
              <w:rPr>
                <w:webHidden/>
              </w:rPr>
              <w:fldChar w:fldCharType="separate"/>
            </w:r>
            <w:r w:rsidR="00A76D9F">
              <w:rPr>
                <w:webHidden/>
              </w:rPr>
              <w:t>293</w:t>
            </w:r>
            <w:r>
              <w:rPr>
                <w:webHidden/>
              </w:rPr>
              <w:fldChar w:fldCharType="end"/>
            </w:r>
          </w:hyperlink>
        </w:p>
        <w:p w14:paraId="37036485" w14:textId="0B784BE6"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42" w:history="1">
            <w:r w:rsidRPr="00E14024">
              <w:rPr>
                <w:rStyle w:val="Hiperpovezava"/>
              </w:rPr>
              <w:t>1.8.3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_Toc223094042 \h </w:instrText>
            </w:r>
            <w:r>
              <w:rPr>
                <w:webHidden/>
              </w:rPr>
            </w:r>
            <w:r>
              <w:rPr>
                <w:webHidden/>
              </w:rPr>
              <w:fldChar w:fldCharType="separate"/>
            </w:r>
            <w:r w:rsidR="00A76D9F">
              <w:rPr>
                <w:webHidden/>
              </w:rPr>
              <w:t>293</w:t>
            </w:r>
            <w:r>
              <w:rPr>
                <w:webHidden/>
              </w:rPr>
              <w:fldChar w:fldCharType="end"/>
            </w:r>
          </w:hyperlink>
        </w:p>
        <w:p w14:paraId="18340FCC" w14:textId="3F4AFEC3"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43" w:history="1">
            <w:r w:rsidRPr="00E14024">
              <w:rPr>
                <w:rStyle w:val="Hiperpovezava"/>
              </w:rPr>
              <w:t>1.8.4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_Toc223094043 \h </w:instrText>
            </w:r>
            <w:r>
              <w:rPr>
                <w:webHidden/>
              </w:rPr>
            </w:r>
            <w:r>
              <w:rPr>
                <w:webHidden/>
              </w:rPr>
              <w:fldChar w:fldCharType="separate"/>
            </w:r>
            <w:r w:rsidR="00A76D9F">
              <w:rPr>
                <w:webHidden/>
              </w:rPr>
              <w:t>294</w:t>
            </w:r>
            <w:r>
              <w:rPr>
                <w:webHidden/>
              </w:rPr>
              <w:fldChar w:fldCharType="end"/>
            </w:r>
          </w:hyperlink>
        </w:p>
        <w:p w14:paraId="204EB18B" w14:textId="49F2F7D7"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44" w:history="1">
            <w:r w:rsidRPr="00E14024">
              <w:rPr>
                <w:rStyle w:val="Hiperpovezava"/>
              </w:rPr>
              <w:t>1.8.4.1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Splošno</w:t>
            </w:r>
            <w:r>
              <w:rPr>
                <w:webHidden/>
              </w:rPr>
              <w:tab/>
            </w:r>
            <w:r>
              <w:rPr>
                <w:webHidden/>
              </w:rPr>
              <w:fldChar w:fldCharType="begin"/>
            </w:r>
            <w:r>
              <w:rPr>
                <w:webHidden/>
              </w:rPr>
              <w:instrText xml:space="preserve"> PAGEREF _Toc223094044 \h </w:instrText>
            </w:r>
            <w:r>
              <w:rPr>
                <w:webHidden/>
              </w:rPr>
            </w:r>
            <w:r>
              <w:rPr>
                <w:webHidden/>
              </w:rPr>
              <w:fldChar w:fldCharType="separate"/>
            </w:r>
            <w:r w:rsidR="00A76D9F">
              <w:rPr>
                <w:webHidden/>
              </w:rPr>
              <w:t>294</w:t>
            </w:r>
            <w:r>
              <w:rPr>
                <w:webHidden/>
              </w:rPr>
              <w:fldChar w:fldCharType="end"/>
            </w:r>
          </w:hyperlink>
        </w:p>
        <w:p w14:paraId="05FDF053" w14:textId="630D1EE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45" w:history="1">
            <w:r w:rsidRPr="00E14024">
              <w:rPr>
                <w:rStyle w:val="Hiperpovezava"/>
              </w:rPr>
              <w:t>1.8.4.2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Večje število upravnih sporov kot posledica spremenjene sodne prakse</w:t>
            </w:r>
            <w:r>
              <w:rPr>
                <w:webHidden/>
              </w:rPr>
              <w:tab/>
            </w:r>
            <w:r>
              <w:rPr>
                <w:webHidden/>
              </w:rPr>
              <w:fldChar w:fldCharType="begin"/>
            </w:r>
            <w:r>
              <w:rPr>
                <w:webHidden/>
              </w:rPr>
              <w:instrText xml:space="preserve"> PAGEREF _Toc223094045 \h </w:instrText>
            </w:r>
            <w:r>
              <w:rPr>
                <w:webHidden/>
              </w:rPr>
            </w:r>
            <w:r>
              <w:rPr>
                <w:webHidden/>
              </w:rPr>
              <w:fldChar w:fldCharType="separate"/>
            </w:r>
            <w:r w:rsidR="00A76D9F">
              <w:rPr>
                <w:webHidden/>
              </w:rPr>
              <w:t>295</w:t>
            </w:r>
            <w:r>
              <w:rPr>
                <w:webHidden/>
              </w:rPr>
              <w:fldChar w:fldCharType="end"/>
            </w:r>
          </w:hyperlink>
        </w:p>
        <w:p w14:paraId="79F956EC" w14:textId="63920771"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46" w:history="1">
            <w:r w:rsidRPr="00E14024">
              <w:rPr>
                <w:rStyle w:val="Hiperpovezava"/>
              </w:rPr>
              <w:t>1.8.4.3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Problematika, ki se nakazuje pri razlastitvah kmetijskih površin zaradi gradenj suhih zadrževalnikov</w:t>
            </w:r>
            <w:r>
              <w:rPr>
                <w:webHidden/>
              </w:rPr>
              <w:tab/>
            </w:r>
            <w:r>
              <w:rPr>
                <w:webHidden/>
              </w:rPr>
              <w:fldChar w:fldCharType="begin"/>
            </w:r>
            <w:r>
              <w:rPr>
                <w:webHidden/>
              </w:rPr>
              <w:instrText xml:space="preserve"> PAGEREF _Toc223094046 \h </w:instrText>
            </w:r>
            <w:r>
              <w:rPr>
                <w:webHidden/>
              </w:rPr>
            </w:r>
            <w:r>
              <w:rPr>
                <w:webHidden/>
              </w:rPr>
              <w:fldChar w:fldCharType="separate"/>
            </w:r>
            <w:r w:rsidR="00A76D9F">
              <w:rPr>
                <w:webHidden/>
              </w:rPr>
              <w:t>296</w:t>
            </w:r>
            <w:r>
              <w:rPr>
                <w:webHidden/>
              </w:rPr>
              <w:fldChar w:fldCharType="end"/>
            </w:r>
          </w:hyperlink>
        </w:p>
        <w:p w14:paraId="6D889378" w14:textId="17047DA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47" w:history="1">
            <w:r w:rsidRPr="00E14024">
              <w:rPr>
                <w:rStyle w:val="Hiperpovezava"/>
              </w:rPr>
              <w:t>1.8.4.4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Aptos"/>
              </w:rPr>
              <w:t>Problematika glede možnosti zahteve za razlastitev, ko jo lahko poda tudi razlastitveni zavezanec</w:t>
            </w:r>
            <w:r>
              <w:rPr>
                <w:webHidden/>
              </w:rPr>
              <w:tab/>
            </w:r>
            <w:r>
              <w:rPr>
                <w:webHidden/>
              </w:rPr>
              <w:fldChar w:fldCharType="begin"/>
            </w:r>
            <w:r>
              <w:rPr>
                <w:webHidden/>
              </w:rPr>
              <w:instrText xml:space="preserve"> PAGEREF _Toc223094047 \h </w:instrText>
            </w:r>
            <w:r>
              <w:rPr>
                <w:webHidden/>
              </w:rPr>
            </w:r>
            <w:r>
              <w:rPr>
                <w:webHidden/>
              </w:rPr>
              <w:fldChar w:fldCharType="separate"/>
            </w:r>
            <w:r w:rsidR="00A76D9F">
              <w:rPr>
                <w:webHidden/>
              </w:rPr>
              <w:t>297</w:t>
            </w:r>
            <w:r>
              <w:rPr>
                <w:webHidden/>
              </w:rPr>
              <w:fldChar w:fldCharType="end"/>
            </w:r>
          </w:hyperlink>
        </w:p>
        <w:p w14:paraId="2B8E46A0" w14:textId="6615F80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48" w:history="1">
            <w:r w:rsidRPr="00E14024">
              <w:rPr>
                <w:rStyle w:val="Hiperpovezava"/>
                <w:rFonts w:eastAsia="Calibri"/>
              </w:rPr>
              <w:t>1.8.4.5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Aptos"/>
              </w:rPr>
              <w:t xml:space="preserve">Problematika </w:t>
            </w:r>
            <w:r w:rsidRPr="00E14024">
              <w:rPr>
                <w:rStyle w:val="Hiperpovezava"/>
                <w:rFonts w:eastAsia="Calibri"/>
              </w:rPr>
              <w:t>izkazovanja splošne (abstraktne) javne koristi in konkretne javne koristi v postopkih zaradi razlastitev (zadeva Ministrstvo za infrastrukturo proti Občini Ankaran)</w:t>
            </w:r>
            <w:r>
              <w:rPr>
                <w:webHidden/>
              </w:rPr>
              <w:tab/>
            </w:r>
            <w:r>
              <w:rPr>
                <w:webHidden/>
              </w:rPr>
              <w:fldChar w:fldCharType="begin"/>
            </w:r>
            <w:r>
              <w:rPr>
                <w:webHidden/>
              </w:rPr>
              <w:instrText xml:space="preserve"> PAGEREF _Toc223094048 \h </w:instrText>
            </w:r>
            <w:r>
              <w:rPr>
                <w:webHidden/>
              </w:rPr>
            </w:r>
            <w:r>
              <w:rPr>
                <w:webHidden/>
              </w:rPr>
              <w:fldChar w:fldCharType="separate"/>
            </w:r>
            <w:r w:rsidR="00A76D9F">
              <w:rPr>
                <w:webHidden/>
              </w:rPr>
              <w:t>297</w:t>
            </w:r>
            <w:r>
              <w:rPr>
                <w:webHidden/>
              </w:rPr>
              <w:fldChar w:fldCharType="end"/>
            </w:r>
          </w:hyperlink>
        </w:p>
        <w:p w14:paraId="0C382E7C" w14:textId="05A7221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49" w:history="1">
            <w:r w:rsidRPr="00E14024">
              <w:rPr>
                <w:rStyle w:val="Hiperpovezava"/>
              </w:rPr>
              <w:t>1.8.4.6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Zadeva Republika Slovenija zoper etažne lastnike – zahteva za začasno omejitev lastninske pravice zaradi prenove stavbe SNG Drama Ljubljana</w:t>
            </w:r>
            <w:r>
              <w:rPr>
                <w:webHidden/>
              </w:rPr>
              <w:tab/>
            </w:r>
            <w:r>
              <w:rPr>
                <w:webHidden/>
              </w:rPr>
              <w:fldChar w:fldCharType="begin"/>
            </w:r>
            <w:r>
              <w:rPr>
                <w:webHidden/>
              </w:rPr>
              <w:instrText xml:space="preserve"> PAGEREF _Toc223094049 \h </w:instrText>
            </w:r>
            <w:r>
              <w:rPr>
                <w:webHidden/>
              </w:rPr>
            </w:r>
            <w:r>
              <w:rPr>
                <w:webHidden/>
              </w:rPr>
              <w:fldChar w:fldCharType="separate"/>
            </w:r>
            <w:r w:rsidR="00A76D9F">
              <w:rPr>
                <w:webHidden/>
              </w:rPr>
              <w:t>299</w:t>
            </w:r>
            <w:r>
              <w:rPr>
                <w:webHidden/>
              </w:rPr>
              <w:fldChar w:fldCharType="end"/>
            </w:r>
          </w:hyperlink>
        </w:p>
        <w:p w14:paraId="625C1406" w14:textId="7846138D"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050" w:history="1">
            <w:r w:rsidRPr="00E14024">
              <w:rPr>
                <w:rStyle w:val="Hiperpovezava"/>
                <w:noProof/>
              </w:rPr>
              <w:t>1.9</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Upravne zadeve</w:t>
            </w:r>
            <w:r>
              <w:rPr>
                <w:noProof/>
                <w:webHidden/>
              </w:rPr>
              <w:tab/>
            </w:r>
            <w:r>
              <w:rPr>
                <w:noProof/>
                <w:webHidden/>
              </w:rPr>
              <w:fldChar w:fldCharType="begin"/>
            </w:r>
            <w:r>
              <w:rPr>
                <w:noProof/>
                <w:webHidden/>
              </w:rPr>
              <w:instrText xml:space="preserve"> PAGEREF _Toc223094050 \h </w:instrText>
            </w:r>
            <w:r>
              <w:rPr>
                <w:noProof/>
                <w:webHidden/>
              </w:rPr>
            </w:r>
            <w:r>
              <w:rPr>
                <w:noProof/>
                <w:webHidden/>
              </w:rPr>
              <w:fldChar w:fldCharType="separate"/>
            </w:r>
            <w:r w:rsidR="00A76D9F">
              <w:rPr>
                <w:noProof/>
                <w:webHidden/>
              </w:rPr>
              <w:t>300</w:t>
            </w:r>
            <w:r>
              <w:rPr>
                <w:noProof/>
                <w:webHidden/>
              </w:rPr>
              <w:fldChar w:fldCharType="end"/>
            </w:r>
          </w:hyperlink>
        </w:p>
        <w:p w14:paraId="0179273D" w14:textId="5FFF0923"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51" w:history="1">
            <w:r w:rsidRPr="00E14024">
              <w:rPr>
                <w:rStyle w:val="Hiperpovezava"/>
              </w:rPr>
              <w:t>1.9.1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_Toc223094051 \h </w:instrText>
            </w:r>
            <w:r>
              <w:rPr>
                <w:webHidden/>
              </w:rPr>
            </w:r>
            <w:r>
              <w:rPr>
                <w:webHidden/>
              </w:rPr>
              <w:fldChar w:fldCharType="separate"/>
            </w:r>
            <w:r w:rsidR="00A76D9F">
              <w:rPr>
                <w:webHidden/>
              </w:rPr>
              <w:t>300</w:t>
            </w:r>
            <w:r>
              <w:rPr>
                <w:webHidden/>
              </w:rPr>
              <w:fldChar w:fldCharType="end"/>
            </w:r>
          </w:hyperlink>
        </w:p>
        <w:p w14:paraId="1FE308B5" w14:textId="003C015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52" w:history="1">
            <w:r w:rsidRPr="00E14024">
              <w:rPr>
                <w:rStyle w:val="Hiperpovezava"/>
              </w:rPr>
              <w:t>1.9.1.1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Upravni postopek in upravni spor</w:t>
            </w:r>
            <w:r>
              <w:rPr>
                <w:webHidden/>
              </w:rPr>
              <w:tab/>
            </w:r>
            <w:r>
              <w:rPr>
                <w:webHidden/>
              </w:rPr>
              <w:fldChar w:fldCharType="begin"/>
            </w:r>
            <w:r>
              <w:rPr>
                <w:webHidden/>
              </w:rPr>
              <w:instrText xml:space="preserve"> PAGEREF _Toc223094052 \h </w:instrText>
            </w:r>
            <w:r>
              <w:rPr>
                <w:webHidden/>
              </w:rPr>
            </w:r>
            <w:r>
              <w:rPr>
                <w:webHidden/>
              </w:rPr>
              <w:fldChar w:fldCharType="separate"/>
            </w:r>
            <w:r w:rsidR="00A76D9F">
              <w:rPr>
                <w:webHidden/>
              </w:rPr>
              <w:t>301</w:t>
            </w:r>
            <w:r>
              <w:rPr>
                <w:webHidden/>
              </w:rPr>
              <w:fldChar w:fldCharType="end"/>
            </w:r>
          </w:hyperlink>
        </w:p>
        <w:p w14:paraId="63D1CE69" w14:textId="18AC30C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53" w:history="1">
            <w:r w:rsidRPr="00E14024">
              <w:rPr>
                <w:rStyle w:val="Hiperpovezava"/>
              </w:rPr>
              <w:t>1.9.1.2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Državno odvetništvo RS kot zastopnik javnega interesa</w:t>
            </w:r>
            <w:r>
              <w:rPr>
                <w:webHidden/>
              </w:rPr>
              <w:tab/>
            </w:r>
            <w:r>
              <w:rPr>
                <w:webHidden/>
              </w:rPr>
              <w:fldChar w:fldCharType="begin"/>
            </w:r>
            <w:r>
              <w:rPr>
                <w:webHidden/>
              </w:rPr>
              <w:instrText xml:space="preserve"> PAGEREF _Toc223094053 \h </w:instrText>
            </w:r>
            <w:r>
              <w:rPr>
                <w:webHidden/>
              </w:rPr>
            </w:r>
            <w:r>
              <w:rPr>
                <w:webHidden/>
              </w:rPr>
              <w:fldChar w:fldCharType="separate"/>
            </w:r>
            <w:r w:rsidR="00A76D9F">
              <w:rPr>
                <w:webHidden/>
              </w:rPr>
              <w:t>302</w:t>
            </w:r>
            <w:r>
              <w:rPr>
                <w:webHidden/>
              </w:rPr>
              <w:fldChar w:fldCharType="end"/>
            </w:r>
          </w:hyperlink>
        </w:p>
        <w:p w14:paraId="02E88281" w14:textId="36D3DD0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54" w:history="1">
            <w:r w:rsidRPr="00E14024">
              <w:rPr>
                <w:rStyle w:val="Hiperpovezava"/>
                <w:rFonts w:eastAsia="Calibri"/>
                <w:lang w:eastAsia="sl-SI"/>
              </w:rPr>
              <w:t>1.9.1.3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Calibri"/>
                <w:lang w:eastAsia="sl-SI"/>
              </w:rPr>
              <w:t>Druge pristojnosti</w:t>
            </w:r>
            <w:r>
              <w:rPr>
                <w:webHidden/>
              </w:rPr>
              <w:tab/>
            </w:r>
            <w:r>
              <w:rPr>
                <w:webHidden/>
              </w:rPr>
              <w:fldChar w:fldCharType="begin"/>
            </w:r>
            <w:r>
              <w:rPr>
                <w:webHidden/>
              </w:rPr>
              <w:instrText xml:space="preserve"> PAGEREF _Toc223094054 \h </w:instrText>
            </w:r>
            <w:r>
              <w:rPr>
                <w:webHidden/>
              </w:rPr>
            </w:r>
            <w:r>
              <w:rPr>
                <w:webHidden/>
              </w:rPr>
              <w:fldChar w:fldCharType="separate"/>
            </w:r>
            <w:r w:rsidR="00A76D9F">
              <w:rPr>
                <w:webHidden/>
              </w:rPr>
              <w:t>304</w:t>
            </w:r>
            <w:r>
              <w:rPr>
                <w:webHidden/>
              </w:rPr>
              <w:fldChar w:fldCharType="end"/>
            </w:r>
          </w:hyperlink>
        </w:p>
        <w:p w14:paraId="2CE33D52" w14:textId="42D4315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55" w:history="1">
            <w:r w:rsidRPr="00E14024">
              <w:rPr>
                <w:rStyle w:val="Hiperpovezava"/>
              </w:rPr>
              <w:t>1.9.1.3.1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Pristojnosti po Zakonu o ugotavljanju vzajemnosti</w:t>
            </w:r>
            <w:r>
              <w:rPr>
                <w:webHidden/>
              </w:rPr>
              <w:tab/>
            </w:r>
            <w:r>
              <w:rPr>
                <w:webHidden/>
              </w:rPr>
              <w:fldChar w:fldCharType="begin"/>
            </w:r>
            <w:r>
              <w:rPr>
                <w:webHidden/>
              </w:rPr>
              <w:instrText xml:space="preserve"> PAGEREF _Toc223094055 \h </w:instrText>
            </w:r>
            <w:r>
              <w:rPr>
                <w:webHidden/>
              </w:rPr>
            </w:r>
            <w:r>
              <w:rPr>
                <w:webHidden/>
              </w:rPr>
              <w:fldChar w:fldCharType="separate"/>
            </w:r>
            <w:r w:rsidR="00A76D9F">
              <w:rPr>
                <w:webHidden/>
              </w:rPr>
              <w:t>304</w:t>
            </w:r>
            <w:r>
              <w:rPr>
                <w:webHidden/>
              </w:rPr>
              <w:fldChar w:fldCharType="end"/>
            </w:r>
          </w:hyperlink>
        </w:p>
        <w:p w14:paraId="24B43DF2" w14:textId="1EB97B9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56" w:history="1">
            <w:r w:rsidRPr="00E14024">
              <w:rPr>
                <w:rStyle w:val="Hiperpovezava"/>
                <w:lang w:eastAsia="sl-SI"/>
              </w:rPr>
              <w:t>1.9.1.3.2</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Pristojnost po Zakonu o brezplačni pravni pomoči</w:t>
            </w:r>
            <w:r>
              <w:rPr>
                <w:webHidden/>
              </w:rPr>
              <w:tab/>
            </w:r>
            <w:r>
              <w:rPr>
                <w:webHidden/>
              </w:rPr>
              <w:fldChar w:fldCharType="begin"/>
            </w:r>
            <w:r>
              <w:rPr>
                <w:webHidden/>
              </w:rPr>
              <w:instrText xml:space="preserve"> PAGEREF _Toc223094056 \h </w:instrText>
            </w:r>
            <w:r>
              <w:rPr>
                <w:webHidden/>
              </w:rPr>
            </w:r>
            <w:r>
              <w:rPr>
                <w:webHidden/>
              </w:rPr>
              <w:fldChar w:fldCharType="separate"/>
            </w:r>
            <w:r w:rsidR="00A76D9F">
              <w:rPr>
                <w:webHidden/>
              </w:rPr>
              <w:t>304</w:t>
            </w:r>
            <w:r>
              <w:rPr>
                <w:webHidden/>
              </w:rPr>
              <w:fldChar w:fldCharType="end"/>
            </w:r>
          </w:hyperlink>
        </w:p>
        <w:p w14:paraId="31B93E83" w14:textId="73D5A307"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57" w:history="1">
            <w:r w:rsidRPr="00E14024">
              <w:rPr>
                <w:rStyle w:val="Hiperpovezava"/>
                <w:lang w:eastAsia="sl-SI"/>
              </w:rPr>
              <w:t>1.9.1.3.3</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 xml:space="preserve">Pristojnost Državnega odvetništva RS po </w:t>
            </w:r>
            <w:r w:rsidRPr="00E14024">
              <w:rPr>
                <w:rStyle w:val="Hiperpovezava"/>
              </w:rPr>
              <w:t>Zakonu o tujcih</w:t>
            </w:r>
            <w:r>
              <w:rPr>
                <w:webHidden/>
              </w:rPr>
              <w:tab/>
            </w:r>
            <w:r>
              <w:rPr>
                <w:webHidden/>
              </w:rPr>
              <w:fldChar w:fldCharType="begin"/>
            </w:r>
            <w:r>
              <w:rPr>
                <w:webHidden/>
              </w:rPr>
              <w:instrText xml:space="preserve"> PAGEREF _Toc223094057 \h </w:instrText>
            </w:r>
            <w:r>
              <w:rPr>
                <w:webHidden/>
              </w:rPr>
            </w:r>
            <w:r>
              <w:rPr>
                <w:webHidden/>
              </w:rPr>
              <w:fldChar w:fldCharType="separate"/>
            </w:r>
            <w:r w:rsidR="00A76D9F">
              <w:rPr>
                <w:webHidden/>
              </w:rPr>
              <w:t>304</w:t>
            </w:r>
            <w:r>
              <w:rPr>
                <w:webHidden/>
              </w:rPr>
              <w:fldChar w:fldCharType="end"/>
            </w:r>
          </w:hyperlink>
        </w:p>
        <w:p w14:paraId="2A9FFA03" w14:textId="4B73A6E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58" w:history="1">
            <w:r w:rsidRPr="00E14024">
              <w:rPr>
                <w:rStyle w:val="Hiperpovezava"/>
                <w:lang w:eastAsia="sl-SI"/>
              </w:rPr>
              <w:t>1.9.1.3.4</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Zastopanje Državne revizijske komisije</w:t>
            </w:r>
            <w:r>
              <w:rPr>
                <w:webHidden/>
              </w:rPr>
              <w:tab/>
            </w:r>
            <w:r>
              <w:rPr>
                <w:webHidden/>
              </w:rPr>
              <w:fldChar w:fldCharType="begin"/>
            </w:r>
            <w:r>
              <w:rPr>
                <w:webHidden/>
              </w:rPr>
              <w:instrText xml:space="preserve"> PAGEREF _Toc223094058 \h </w:instrText>
            </w:r>
            <w:r>
              <w:rPr>
                <w:webHidden/>
              </w:rPr>
            </w:r>
            <w:r>
              <w:rPr>
                <w:webHidden/>
              </w:rPr>
              <w:fldChar w:fldCharType="separate"/>
            </w:r>
            <w:r w:rsidR="00A76D9F">
              <w:rPr>
                <w:webHidden/>
              </w:rPr>
              <w:t>305</w:t>
            </w:r>
            <w:r>
              <w:rPr>
                <w:webHidden/>
              </w:rPr>
              <w:fldChar w:fldCharType="end"/>
            </w:r>
          </w:hyperlink>
        </w:p>
        <w:p w14:paraId="5647176F" w14:textId="10289FF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59" w:history="1">
            <w:r w:rsidRPr="00E14024">
              <w:rPr>
                <w:rStyle w:val="Hiperpovezava"/>
                <w:rFonts w:eastAsia="Calibri"/>
                <w:lang w:eastAsia="sl-SI"/>
              </w:rPr>
              <w:t>1.9.2</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lang w:eastAsia="sl-SI"/>
              </w:rPr>
              <w:t>Statistični podatki</w:t>
            </w:r>
            <w:r>
              <w:rPr>
                <w:webHidden/>
              </w:rPr>
              <w:tab/>
            </w:r>
            <w:r>
              <w:rPr>
                <w:webHidden/>
              </w:rPr>
              <w:fldChar w:fldCharType="begin"/>
            </w:r>
            <w:r>
              <w:rPr>
                <w:webHidden/>
              </w:rPr>
              <w:instrText xml:space="preserve"> PAGEREF _Toc223094059 \h </w:instrText>
            </w:r>
            <w:r>
              <w:rPr>
                <w:webHidden/>
              </w:rPr>
            </w:r>
            <w:r>
              <w:rPr>
                <w:webHidden/>
              </w:rPr>
              <w:fldChar w:fldCharType="separate"/>
            </w:r>
            <w:r w:rsidR="00A76D9F">
              <w:rPr>
                <w:webHidden/>
              </w:rPr>
              <w:t>306</w:t>
            </w:r>
            <w:r>
              <w:rPr>
                <w:webHidden/>
              </w:rPr>
              <w:fldChar w:fldCharType="end"/>
            </w:r>
          </w:hyperlink>
        </w:p>
        <w:p w14:paraId="005AEF12" w14:textId="2E679477"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60" w:history="1">
            <w:r w:rsidRPr="00E14024">
              <w:rPr>
                <w:rStyle w:val="Hiperpovezava"/>
                <w:rFonts w:eastAsia="Calibri"/>
              </w:rPr>
              <w:t>1.9.3</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Analiza primerjalnih vrednosti</w:t>
            </w:r>
            <w:r>
              <w:rPr>
                <w:webHidden/>
              </w:rPr>
              <w:tab/>
            </w:r>
            <w:r>
              <w:rPr>
                <w:webHidden/>
              </w:rPr>
              <w:fldChar w:fldCharType="begin"/>
            </w:r>
            <w:r>
              <w:rPr>
                <w:webHidden/>
              </w:rPr>
              <w:instrText xml:space="preserve"> PAGEREF _Toc223094060 \h </w:instrText>
            </w:r>
            <w:r>
              <w:rPr>
                <w:webHidden/>
              </w:rPr>
            </w:r>
            <w:r>
              <w:rPr>
                <w:webHidden/>
              </w:rPr>
              <w:fldChar w:fldCharType="separate"/>
            </w:r>
            <w:r w:rsidR="00A76D9F">
              <w:rPr>
                <w:webHidden/>
              </w:rPr>
              <w:t>306</w:t>
            </w:r>
            <w:r>
              <w:rPr>
                <w:webHidden/>
              </w:rPr>
              <w:fldChar w:fldCharType="end"/>
            </w:r>
          </w:hyperlink>
        </w:p>
        <w:p w14:paraId="3B922EAD" w14:textId="56EBB508"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061" w:history="1">
            <w:r w:rsidRPr="00E14024">
              <w:rPr>
                <w:rStyle w:val="Hiperpovezava"/>
              </w:rPr>
              <w:t>1.9.4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_Toc223094061 \h </w:instrText>
            </w:r>
            <w:r>
              <w:rPr>
                <w:webHidden/>
              </w:rPr>
            </w:r>
            <w:r>
              <w:rPr>
                <w:webHidden/>
              </w:rPr>
              <w:fldChar w:fldCharType="separate"/>
            </w:r>
            <w:r w:rsidR="00A76D9F">
              <w:rPr>
                <w:webHidden/>
              </w:rPr>
              <w:t>307</w:t>
            </w:r>
            <w:r>
              <w:rPr>
                <w:webHidden/>
              </w:rPr>
              <w:fldChar w:fldCharType="end"/>
            </w:r>
          </w:hyperlink>
        </w:p>
        <w:p w14:paraId="721571F8" w14:textId="53988BB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62" w:history="1">
            <w:r w:rsidRPr="00E14024">
              <w:rPr>
                <w:rStyle w:val="Hiperpovezava"/>
                <w:lang w:eastAsia="sl-SI"/>
              </w:rPr>
              <w:t>1.9.4.1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Prevzem zastopanja v upravnih sporih</w:t>
            </w:r>
            <w:r>
              <w:rPr>
                <w:webHidden/>
              </w:rPr>
              <w:tab/>
            </w:r>
            <w:r>
              <w:rPr>
                <w:webHidden/>
              </w:rPr>
              <w:fldChar w:fldCharType="begin"/>
            </w:r>
            <w:r>
              <w:rPr>
                <w:webHidden/>
              </w:rPr>
              <w:instrText xml:space="preserve"> PAGEREF _Toc223094062 \h </w:instrText>
            </w:r>
            <w:r>
              <w:rPr>
                <w:webHidden/>
              </w:rPr>
            </w:r>
            <w:r>
              <w:rPr>
                <w:webHidden/>
              </w:rPr>
              <w:fldChar w:fldCharType="separate"/>
            </w:r>
            <w:r w:rsidR="00A76D9F">
              <w:rPr>
                <w:webHidden/>
              </w:rPr>
              <w:t>307</w:t>
            </w:r>
            <w:r>
              <w:rPr>
                <w:webHidden/>
              </w:rPr>
              <w:fldChar w:fldCharType="end"/>
            </w:r>
          </w:hyperlink>
        </w:p>
        <w:p w14:paraId="3BC23E7D" w14:textId="0E3765B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63" w:history="1">
            <w:r w:rsidRPr="00E14024">
              <w:rPr>
                <w:rStyle w:val="Hiperpovezava"/>
              </w:rPr>
              <w:t>1.9.4.2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 xml:space="preserve">Problematika s področja </w:t>
            </w:r>
            <w:r w:rsidRPr="00E14024">
              <w:rPr>
                <w:rStyle w:val="Hiperpovezava"/>
              </w:rPr>
              <w:t>dodeljevanja brezplačne pravne pomoči (BPP)</w:t>
            </w:r>
            <w:r>
              <w:rPr>
                <w:webHidden/>
              </w:rPr>
              <w:tab/>
            </w:r>
            <w:r>
              <w:rPr>
                <w:webHidden/>
              </w:rPr>
              <w:fldChar w:fldCharType="begin"/>
            </w:r>
            <w:r>
              <w:rPr>
                <w:webHidden/>
              </w:rPr>
              <w:instrText xml:space="preserve"> PAGEREF _Toc223094063 \h </w:instrText>
            </w:r>
            <w:r>
              <w:rPr>
                <w:webHidden/>
              </w:rPr>
            </w:r>
            <w:r>
              <w:rPr>
                <w:webHidden/>
              </w:rPr>
              <w:fldChar w:fldCharType="separate"/>
            </w:r>
            <w:r w:rsidR="00A76D9F">
              <w:rPr>
                <w:webHidden/>
              </w:rPr>
              <w:t>311</w:t>
            </w:r>
            <w:r>
              <w:rPr>
                <w:webHidden/>
              </w:rPr>
              <w:fldChar w:fldCharType="end"/>
            </w:r>
          </w:hyperlink>
        </w:p>
        <w:p w14:paraId="25E423F1" w14:textId="3F6F4D0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64" w:history="1">
            <w:r w:rsidRPr="00E14024">
              <w:rPr>
                <w:rStyle w:val="Hiperpovezava"/>
              </w:rPr>
              <w:t>1.9.4.3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Splošna priporočila</w:t>
            </w:r>
            <w:r>
              <w:rPr>
                <w:webHidden/>
              </w:rPr>
              <w:tab/>
            </w:r>
            <w:r>
              <w:rPr>
                <w:webHidden/>
              </w:rPr>
              <w:fldChar w:fldCharType="begin"/>
            </w:r>
            <w:r>
              <w:rPr>
                <w:webHidden/>
              </w:rPr>
              <w:instrText xml:space="preserve"> PAGEREF _Toc223094064 \h </w:instrText>
            </w:r>
            <w:r>
              <w:rPr>
                <w:webHidden/>
              </w:rPr>
            </w:r>
            <w:r>
              <w:rPr>
                <w:webHidden/>
              </w:rPr>
              <w:fldChar w:fldCharType="separate"/>
            </w:r>
            <w:r w:rsidR="00A76D9F">
              <w:rPr>
                <w:webHidden/>
              </w:rPr>
              <w:t>313</w:t>
            </w:r>
            <w:r>
              <w:rPr>
                <w:webHidden/>
              </w:rPr>
              <w:fldChar w:fldCharType="end"/>
            </w:r>
          </w:hyperlink>
        </w:p>
        <w:p w14:paraId="3C43A8EC" w14:textId="06B216F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65" w:history="1">
            <w:r w:rsidRPr="00E14024">
              <w:rPr>
                <w:rStyle w:val="Hiperpovezava"/>
              </w:rPr>
              <w:t>1.9.4.4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lang w:eastAsia="sl-SI"/>
              </w:rPr>
              <w:t>Vsebinska predstavitev pomembnejših prejetih zadev</w:t>
            </w:r>
            <w:r>
              <w:rPr>
                <w:webHidden/>
              </w:rPr>
              <w:tab/>
            </w:r>
            <w:r>
              <w:rPr>
                <w:webHidden/>
              </w:rPr>
              <w:fldChar w:fldCharType="begin"/>
            </w:r>
            <w:r>
              <w:rPr>
                <w:webHidden/>
              </w:rPr>
              <w:instrText xml:space="preserve"> PAGEREF _Toc223094065 \h </w:instrText>
            </w:r>
            <w:r>
              <w:rPr>
                <w:webHidden/>
              </w:rPr>
            </w:r>
            <w:r>
              <w:rPr>
                <w:webHidden/>
              </w:rPr>
              <w:fldChar w:fldCharType="separate"/>
            </w:r>
            <w:r w:rsidR="00A76D9F">
              <w:rPr>
                <w:webHidden/>
              </w:rPr>
              <w:t>313</w:t>
            </w:r>
            <w:r>
              <w:rPr>
                <w:webHidden/>
              </w:rPr>
              <w:fldChar w:fldCharType="end"/>
            </w:r>
          </w:hyperlink>
        </w:p>
        <w:p w14:paraId="0AB42D72" w14:textId="6AA020F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66" w:history="1">
            <w:r w:rsidRPr="00E14024">
              <w:rPr>
                <w:rStyle w:val="Hiperpovezava"/>
                <w:lang w:eastAsia="sl-SI"/>
              </w:rPr>
              <w:t>1.9.4.4.1</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Upravni spori na področju varstva okolja</w:t>
            </w:r>
            <w:r>
              <w:rPr>
                <w:webHidden/>
              </w:rPr>
              <w:tab/>
            </w:r>
            <w:r>
              <w:rPr>
                <w:webHidden/>
              </w:rPr>
              <w:fldChar w:fldCharType="begin"/>
            </w:r>
            <w:r>
              <w:rPr>
                <w:webHidden/>
              </w:rPr>
              <w:instrText xml:space="preserve"> PAGEREF _Toc223094066 \h </w:instrText>
            </w:r>
            <w:r>
              <w:rPr>
                <w:webHidden/>
              </w:rPr>
            </w:r>
            <w:r>
              <w:rPr>
                <w:webHidden/>
              </w:rPr>
              <w:fldChar w:fldCharType="separate"/>
            </w:r>
            <w:r w:rsidR="00A76D9F">
              <w:rPr>
                <w:webHidden/>
              </w:rPr>
              <w:t>313</w:t>
            </w:r>
            <w:r>
              <w:rPr>
                <w:webHidden/>
              </w:rPr>
              <w:fldChar w:fldCharType="end"/>
            </w:r>
          </w:hyperlink>
        </w:p>
        <w:p w14:paraId="3D401B5F" w14:textId="2B376E7B"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67" w:history="1">
            <w:r w:rsidRPr="00E14024">
              <w:rPr>
                <w:rStyle w:val="Hiperpovezava"/>
                <w:lang w:eastAsia="sl-SI"/>
              </w:rPr>
              <w:t>1.9.4.4.2</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Upravni spori na področju pravosodja</w:t>
            </w:r>
            <w:r>
              <w:rPr>
                <w:webHidden/>
              </w:rPr>
              <w:tab/>
            </w:r>
            <w:r>
              <w:rPr>
                <w:webHidden/>
              </w:rPr>
              <w:fldChar w:fldCharType="begin"/>
            </w:r>
            <w:r>
              <w:rPr>
                <w:webHidden/>
              </w:rPr>
              <w:instrText xml:space="preserve"> PAGEREF _Toc223094067 \h </w:instrText>
            </w:r>
            <w:r>
              <w:rPr>
                <w:webHidden/>
              </w:rPr>
            </w:r>
            <w:r>
              <w:rPr>
                <w:webHidden/>
              </w:rPr>
              <w:fldChar w:fldCharType="separate"/>
            </w:r>
            <w:r w:rsidR="00A76D9F">
              <w:rPr>
                <w:webHidden/>
              </w:rPr>
              <w:t>314</w:t>
            </w:r>
            <w:r>
              <w:rPr>
                <w:webHidden/>
              </w:rPr>
              <w:fldChar w:fldCharType="end"/>
            </w:r>
          </w:hyperlink>
        </w:p>
        <w:p w14:paraId="5F66E4C0" w14:textId="05683DA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068" w:history="1">
            <w:r w:rsidRPr="00E14024">
              <w:rPr>
                <w:rStyle w:val="Hiperpovezava"/>
                <w:lang w:eastAsia="sl-SI"/>
              </w:rPr>
              <w:t>1.9.4.4.3</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Upravni spori na področju gradbeništva</w:t>
            </w:r>
            <w:r>
              <w:rPr>
                <w:webHidden/>
              </w:rPr>
              <w:tab/>
            </w:r>
            <w:r>
              <w:rPr>
                <w:webHidden/>
              </w:rPr>
              <w:fldChar w:fldCharType="begin"/>
            </w:r>
            <w:r>
              <w:rPr>
                <w:webHidden/>
              </w:rPr>
              <w:instrText xml:space="preserve"> PAGEREF _Toc223094068 \h </w:instrText>
            </w:r>
            <w:r>
              <w:rPr>
                <w:webHidden/>
              </w:rPr>
            </w:r>
            <w:r>
              <w:rPr>
                <w:webHidden/>
              </w:rPr>
              <w:fldChar w:fldCharType="separate"/>
            </w:r>
            <w:r w:rsidR="00A76D9F">
              <w:rPr>
                <w:webHidden/>
              </w:rPr>
              <w:t>316</w:t>
            </w:r>
            <w:r>
              <w:rPr>
                <w:webHidden/>
              </w:rPr>
              <w:fldChar w:fldCharType="end"/>
            </w:r>
          </w:hyperlink>
        </w:p>
        <w:p w14:paraId="09628068" w14:textId="7875290B" w:rsidR="000300A6" w:rsidRDefault="000300A6">
          <w:pPr>
            <w:pStyle w:val="Kazalovsebine2"/>
            <w:tabs>
              <w:tab w:val="left" w:pos="1134"/>
            </w:tabs>
            <w:rPr>
              <w:rFonts w:asciiTheme="minorHAnsi" w:eastAsiaTheme="minorEastAsia" w:hAnsiTheme="minorHAnsi" w:cstheme="minorBidi"/>
              <w:noProof/>
              <w:kern w:val="2"/>
              <w:sz w:val="24"/>
              <w:szCs w:val="24"/>
              <w:lang w:eastAsia="sl-SI"/>
              <w14:ligatures w14:val="standardContextual"/>
            </w:rPr>
          </w:pPr>
          <w:hyperlink w:anchor="_Toc223094069" w:history="1">
            <w:r w:rsidRPr="00E14024">
              <w:rPr>
                <w:rStyle w:val="Hiperpovezava"/>
                <w:noProof/>
              </w:rPr>
              <w:t>1.10</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po Zakonu o denacionalizaciji</w:t>
            </w:r>
            <w:r>
              <w:rPr>
                <w:noProof/>
                <w:webHidden/>
              </w:rPr>
              <w:tab/>
            </w:r>
            <w:r>
              <w:rPr>
                <w:noProof/>
                <w:webHidden/>
              </w:rPr>
              <w:fldChar w:fldCharType="begin"/>
            </w:r>
            <w:r>
              <w:rPr>
                <w:noProof/>
                <w:webHidden/>
              </w:rPr>
              <w:instrText xml:space="preserve"> PAGEREF _Toc223094069 \h </w:instrText>
            </w:r>
            <w:r>
              <w:rPr>
                <w:noProof/>
                <w:webHidden/>
              </w:rPr>
            </w:r>
            <w:r>
              <w:rPr>
                <w:noProof/>
                <w:webHidden/>
              </w:rPr>
              <w:fldChar w:fldCharType="separate"/>
            </w:r>
            <w:r w:rsidR="00A76D9F">
              <w:rPr>
                <w:noProof/>
                <w:webHidden/>
              </w:rPr>
              <w:t>317</w:t>
            </w:r>
            <w:r>
              <w:rPr>
                <w:noProof/>
                <w:webHidden/>
              </w:rPr>
              <w:fldChar w:fldCharType="end"/>
            </w:r>
          </w:hyperlink>
        </w:p>
        <w:p w14:paraId="22E4C36A" w14:textId="45EB39AC"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0" w:history="1">
            <w:r w:rsidRPr="00E14024">
              <w:rPr>
                <w:rStyle w:val="Hiperpovezava"/>
              </w:rPr>
              <w:t>1.10.1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_Toc223094070 \h </w:instrText>
            </w:r>
            <w:r>
              <w:rPr>
                <w:webHidden/>
              </w:rPr>
            </w:r>
            <w:r>
              <w:rPr>
                <w:webHidden/>
              </w:rPr>
              <w:fldChar w:fldCharType="separate"/>
            </w:r>
            <w:r w:rsidR="00A76D9F">
              <w:rPr>
                <w:webHidden/>
              </w:rPr>
              <w:t>317</w:t>
            </w:r>
            <w:r>
              <w:rPr>
                <w:webHidden/>
              </w:rPr>
              <w:fldChar w:fldCharType="end"/>
            </w:r>
          </w:hyperlink>
        </w:p>
        <w:p w14:paraId="3D2984BC" w14:textId="48A08E98"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1" w:history="1">
            <w:r w:rsidRPr="00E14024">
              <w:rPr>
                <w:rStyle w:val="Hiperpovezava"/>
              </w:rPr>
              <w:t>1.10.2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_Toc223094071 \h </w:instrText>
            </w:r>
            <w:r>
              <w:rPr>
                <w:webHidden/>
              </w:rPr>
            </w:r>
            <w:r>
              <w:rPr>
                <w:webHidden/>
              </w:rPr>
              <w:fldChar w:fldCharType="separate"/>
            </w:r>
            <w:r w:rsidR="00A76D9F">
              <w:rPr>
                <w:webHidden/>
              </w:rPr>
              <w:t>317</w:t>
            </w:r>
            <w:r>
              <w:rPr>
                <w:webHidden/>
              </w:rPr>
              <w:fldChar w:fldCharType="end"/>
            </w:r>
          </w:hyperlink>
        </w:p>
        <w:p w14:paraId="7CD60838" w14:textId="40731BA4"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2" w:history="1">
            <w:r w:rsidRPr="00E14024">
              <w:rPr>
                <w:rStyle w:val="Hiperpovezava"/>
              </w:rPr>
              <w:t>1.10.3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_Toc223094072 \h </w:instrText>
            </w:r>
            <w:r>
              <w:rPr>
                <w:webHidden/>
              </w:rPr>
            </w:r>
            <w:r>
              <w:rPr>
                <w:webHidden/>
              </w:rPr>
              <w:fldChar w:fldCharType="separate"/>
            </w:r>
            <w:r w:rsidR="00A76D9F">
              <w:rPr>
                <w:webHidden/>
              </w:rPr>
              <w:t>318</w:t>
            </w:r>
            <w:r>
              <w:rPr>
                <w:webHidden/>
              </w:rPr>
              <w:fldChar w:fldCharType="end"/>
            </w:r>
          </w:hyperlink>
        </w:p>
        <w:p w14:paraId="3A064A13" w14:textId="3F806E90"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3" w:history="1">
            <w:r w:rsidRPr="00E14024">
              <w:rPr>
                <w:rStyle w:val="Hiperpovezava"/>
              </w:rPr>
              <w:t>1.10.4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_Toc223094073 \h </w:instrText>
            </w:r>
            <w:r>
              <w:rPr>
                <w:webHidden/>
              </w:rPr>
            </w:r>
            <w:r>
              <w:rPr>
                <w:webHidden/>
              </w:rPr>
              <w:fldChar w:fldCharType="separate"/>
            </w:r>
            <w:r w:rsidR="00A76D9F">
              <w:rPr>
                <w:webHidden/>
              </w:rPr>
              <w:t>318</w:t>
            </w:r>
            <w:r>
              <w:rPr>
                <w:webHidden/>
              </w:rPr>
              <w:fldChar w:fldCharType="end"/>
            </w:r>
          </w:hyperlink>
        </w:p>
        <w:p w14:paraId="1E548CF4" w14:textId="4FEF951E" w:rsidR="000300A6" w:rsidRDefault="000300A6">
          <w:pPr>
            <w:pStyle w:val="Kazalovsebine2"/>
            <w:tabs>
              <w:tab w:val="left" w:pos="1134"/>
            </w:tabs>
            <w:rPr>
              <w:rFonts w:asciiTheme="minorHAnsi" w:eastAsiaTheme="minorEastAsia" w:hAnsiTheme="minorHAnsi" w:cstheme="minorBidi"/>
              <w:noProof/>
              <w:kern w:val="2"/>
              <w:sz w:val="24"/>
              <w:szCs w:val="24"/>
              <w:lang w:eastAsia="sl-SI"/>
              <w14:ligatures w14:val="standardContextual"/>
            </w:rPr>
          </w:pPr>
          <w:hyperlink w:anchor="_Toc223094074" w:history="1">
            <w:r w:rsidRPr="00E14024">
              <w:rPr>
                <w:rStyle w:val="Hiperpovezava"/>
                <w:noProof/>
              </w:rPr>
              <w:t>1.11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po Zakonu o izvrševanju kazenskih sankcij</w:t>
            </w:r>
            <w:r>
              <w:rPr>
                <w:noProof/>
                <w:webHidden/>
              </w:rPr>
              <w:tab/>
            </w:r>
            <w:r>
              <w:rPr>
                <w:noProof/>
                <w:webHidden/>
              </w:rPr>
              <w:fldChar w:fldCharType="begin"/>
            </w:r>
            <w:r>
              <w:rPr>
                <w:noProof/>
                <w:webHidden/>
              </w:rPr>
              <w:instrText xml:space="preserve"> PAGEREF _Toc223094074 \h </w:instrText>
            </w:r>
            <w:r>
              <w:rPr>
                <w:noProof/>
                <w:webHidden/>
              </w:rPr>
            </w:r>
            <w:r>
              <w:rPr>
                <w:noProof/>
                <w:webHidden/>
              </w:rPr>
              <w:fldChar w:fldCharType="separate"/>
            </w:r>
            <w:r w:rsidR="00A76D9F">
              <w:rPr>
                <w:noProof/>
                <w:webHidden/>
              </w:rPr>
              <w:t>319</w:t>
            </w:r>
            <w:r>
              <w:rPr>
                <w:noProof/>
                <w:webHidden/>
              </w:rPr>
              <w:fldChar w:fldCharType="end"/>
            </w:r>
          </w:hyperlink>
        </w:p>
        <w:p w14:paraId="2CB01C26" w14:textId="548043DD"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5" w:history="1">
            <w:r w:rsidRPr="00E14024">
              <w:rPr>
                <w:rStyle w:val="Hiperpovezava"/>
              </w:rPr>
              <w:t>1.11.1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_Toc223094075 \h </w:instrText>
            </w:r>
            <w:r>
              <w:rPr>
                <w:webHidden/>
              </w:rPr>
            </w:r>
            <w:r>
              <w:rPr>
                <w:webHidden/>
              </w:rPr>
              <w:fldChar w:fldCharType="separate"/>
            </w:r>
            <w:r w:rsidR="00A76D9F">
              <w:rPr>
                <w:webHidden/>
              </w:rPr>
              <w:t>319</w:t>
            </w:r>
            <w:r>
              <w:rPr>
                <w:webHidden/>
              </w:rPr>
              <w:fldChar w:fldCharType="end"/>
            </w:r>
          </w:hyperlink>
        </w:p>
        <w:p w14:paraId="7B34976C" w14:textId="55A645F3"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6" w:history="1">
            <w:r w:rsidRPr="00E14024">
              <w:rPr>
                <w:rStyle w:val="Hiperpovezava"/>
              </w:rPr>
              <w:t>1.11.2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_Toc223094076 \h </w:instrText>
            </w:r>
            <w:r>
              <w:rPr>
                <w:webHidden/>
              </w:rPr>
            </w:r>
            <w:r>
              <w:rPr>
                <w:webHidden/>
              </w:rPr>
              <w:fldChar w:fldCharType="separate"/>
            </w:r>
            <w:r w:rsidR="00A76D9F">
              <w:rPr>
                <w:webHidden/>
              </w:rPr>
              <w:t>319</w:t>
            </w:r>
            <w:r>
              <w:rPr>
                <w:webHidden/>
              </w:rPr>
              <w:fldChar w:fldCharType="end"/>
            </w:r>
          </w:hyperlink>
        </w:p>
        <w:p w14:paraId="2BA1FE3A" w14:textId="49D0D772"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7" w:history="1">
            <w:r w:rsidRPr="00E14024">
              <w:rPr>
                <w:rStyle w:val="Hiperpovezava"/>
              </w:rPr>
              <w:t>1.11.3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_Toc223094077 \h </w:instrText>
            </w:r>
            <w:r>
              <w:rPr>
                <w:webHidden/>
              </w:rPr>
            </w:r>
            <w:r>
              <w:rPr>
                <w:webHidden/>
              </w:rPr>
              <w:fldChar w:fldCharType="separate"/>
            </w:r>
            <w:r w:rsidR="00A76D9F">
              <w:rPr>
                <w:webHidden/>
              </w:rPr>
              <w:t>320</w:t>
            </w:r>
            <w:r>
              <w:rPr>
                <w:webHidden/>
              </w:rPr>
              <w:fldChar w:fldCharType="end"/>
            </w:r>
          </w:hyperlink>
        </w:p>
        <w:p w14:paraId="00A2B172" w14:textId="74CD9E24" w:rsidR="000300A6" w:rsidRDefault="000300A6">
          <w:pPr>
            <w:pStyle w:val="Kazalovsebine2"/>
            <w:tabs>
              <w:tab w:val="left" w:pos="1134"/>
            </w:tabs>
            <w:rPr>
              <w:rFonts w:asciiTheme="minorHAnsi" w:eastAsiaTheme="minorEastAsia" w:hAnsiTheme="minorHAnsi" w:cstheme="minorBidi"/>
              <w:noProof/>
              <w:kern w:val="2"/>
              <w:sz w:val="24"/>
              <w:szCs w:val="24"/>
              <w:lang w:eastAsia="sl-SI"/>
              <w14:ligatures w14:val="standardContextual"/>
            </w:rPr>
          </w:pPr>
          <w:hyperlink w:anchor="_Toc223094078" w:history="1">
            <w:r w:rsidRPr="00E14024">
              <w:rPr>
                <w:rStyle w:val="Hiperpovezava"/>
                <w:noProof/>
              </w:rPr>
              <w:t>1.12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pred Evropskim sodiščem za človekove pravice</w:t>
            </w:r>
            <w:r>
              <w:rPr>
                <w:noProof/>
                <w:webHidden/>
              </w:rPr>
              <w:tab/>
            </w:r>
            <w:r>
              <w:rPr>
                <w:noProof/>
                <w:webHidden/>
              </w:rPr>
              <w:fldChar w:fldCharType="begin"/>
            </w:r>
            <w:r>
              <w:rPr>
                <w:noProof/>
                <w:webHidden/>
              </w:rPr>
              <w:instrText xml:space="preserve"> PAGEREF _Toc223094078 \h </w:instrText>
            </w:r>
            <w:r>
              <w:rPr>
                <w:noProof/>
                <w:webHidden/>
              </w:rPr>
            </w:r>
            <w:r>
              <w:rPr>
                <w:noProof/>
                <w:webHidden/>
              </w:rPr>
              <w:fldChar w:fldCharType="separate"/>
            </w:r>
            <w:r w:rsidR="00A76D9F">
              <w:rPr>
                <w:noProof/>
                <w:webHidden/>
              </w:rPr>
              <w:t>320</w:t>
            </w:r>
            <w:r>
              <w:rPr>
                <w:noProof/>
                <w:webHidden/>
              </w:rPr>
              <w:fldChar w:fldCharType="end"/>
            </w:r>
          </w:hyperlink>
        </w:p>
        <w:p w14:paraId="7C7E02A1" w14:textId="116554B3"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79" w:history="1">
            <w:r w:rsidRPr="00E14024">
              <w:rPr>
                <w:rStyle w:val="Hiperpovezava"/>
              </w:rPr>
              <w:t>1.12.1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_Toc223094079 \h </w:instrText>
            </w:r>
            <w:r>
              <w:rPr>
                <w:webHidden/>
              </w:rPr>
            </w:r>
            <w:r>
              <w:rPr>
                <w:webHidden/>
              </w:rPr>
              <w:fldChar w:fldCharType="separate"/>
            </w:r>
            <w:r w:rsidR="00A76D9F">
              <w:rPr>
                <w:webHidden/>
              </w:rPr>
              <w:t>320</w:t>
            </w:r>
            <w:r>
              <w:rPr>
                <w:webHidden/>
              </w:rPr>
              <w:fldChar w:fldCharType="end"/>
            </w:r>
          </w:hyperlink>
        </w:p>
        <w:p w14:paraId="0937DEBE" w14:textId="7A06E7A0"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80" w:history="1">
            <w:r w:rsidRPr="00E14024">
              <w:rPr>
                <w:rStyle w:val="Hiperpovezava"/>
              </w:rPr>
              <w:t>1.12.2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_Toc223094080 \h </w:instrText>
            </w:r>
            <w:r>
              <w:rPr>
                <w:webHidden/>
              </w:rPr>
            </w:r>
            <w:r>
              <w:rPr>
                <w:webHidden/>
              </w:rPr>
              <w:fldChar w:fldCharType="separate"/>
            </w:r>
            <w:r w:rsidR="00A76D9F">
              <w:rPr>
                <w:webHidden/>
              </w:rPr>
              <w:t>321</w:t>
            </w:r>
            <w:r>
              <w:rPr>
                <w:webHidden/>
              </w:rPr>
              <w:fldChar w:fldCharType="end"/>
            </w:r>
          </w:hyperlink>
        </w:p>
        <w:p w14:paraId="3F68CE9A" w14:textId="36F9497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81" w:history="1">
            <w:r w:rsidRPr="00E14024">
              <w:rPr>
                <w:rStyle w:val="Hiperpovezava"/>
              </w:rPr>
              <w:t>1.12.2.1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Nove zadeve</w:t>
            </w:r>
            <w:r>
              <w:rPr>
                <w:webHidden/>
              </w:rPr>
              <w:tab/>
            </w:r>
            <w:r>
              <w:rPr>
                <w:webHidden/>
              </w:rPr>
              <w:fldChar w:fldCharType="begin"/>
            </w:r>
            <w:r>
              <w:rPr>
                <w:webHidden/>
              </w:rPr>
              <w:instrText xml:space="preserve"> PAGEREF _Toc223094081 \h </w:instrText>
            </w:r>
            <w:r>
              <w:rPr>
                <w:webHidden/>
              </w:rPr>
            </w:r>
            <w:r>
              <w:rPr>
                <w:webHidden/>
              </w:rPr>
              <w:fldChar w:fldCharType="separate"/>
            </w:r>
            <w:r w:rsidR="00A76D9F">
              <w:rPr>
                <w:webHidden/>
              </w:rPr>
              <w:t>321</w:t>
            </w:r>
            <w:r>
              <w:rPr>
                <w:webHidden/>
              </w:rPr>
              <w:fldChar w:fldCharType="end"/>
            </w:r>
          </w:hyperlink>
        </w:p>
        <w:p w14:paraId="32CAD0E6" w14:textId="4BEED8BD"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4082" w:history="1">
            <w:r w:rsidRPr="00E14024">
              <w:rPr>
                <w:rStyle w:val="Hiperpovezava"/>
              </w:rPr>
              <w:t>1.12.2.1.1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Prejete zadeve – pritožbene zadeve na podlagi 34. člena Konvencije o varstvu človekovih pravic in temeljnih svoboščin</w:t>
            </w:r>
            <w:r>
              <w:rPr>
                <w:webHidden/>
              </w:rPr>
              <w:tab/>
            </w:r>
            <w:r>
              <w:rPr>
                <w:webHidden/>
              </w:rPr>
              <w:fldChar w:fldCharType="begin"/>
            </w:r>
            <w:r>
              <w:rPr>
                <w:webHidden/>
              </w:rPr>
              <w:instrText xml:space="preserve"> PAGEREF _Toc223094082 \h </w:instrText>
            </w:r>
            <w:r>
              <w:rPr>
                <w:webHidden/>
              </w:rPr>
            </w:r>
            <w:r>
              <w:rPr>
                <w:webHidden/>
              </w:rPr>
              <w:fldChar w:fldCharType="separate"/>
            </w:r>
            <w:r w:rsidR="00A76D9F">
              <w:rPr>
                <w:webHidden/>
              </w:rPr>
              <w:t>321</w:t>
            </w:r>
            <w:r>
              <w:rPr>
                <w:webHidden/>
              </w:rPr>
              <w:fldChar w:fldCharType="end"/>
            </w:r>
          </w:hyperlink>
        </w:p>
        <w:p w14:paraId="29BCD110" w14:textId="338AFDE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83" w:history="1">
            <w:r w:rsidRPr="00E14024">
              <w:rPr>
                <w:rStyle w:val="Hiperpovezava"/>
              </w:rPr>
              <w:t>1.12.2.2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Zaključene zadeve</w:t>
            </w:r>
            <w:r>
              <w:rPr>
                <w:webHidden/>
              </w:rPr>
              <w:tab/>
            </w:r>
            <w:r>
              <w:rPr>
                <w:webHidden/>
              </w:rPr>
              <w:fldChar w:fldCharType="begin"/>
            </w:r>
            <w:r>
              <w:rPr>
                <w:webHidden/>
              </w:rPr>
              <w:instrText xml:space="preserve"> PAGEREF _Toc223094083 \h </w:instrText>
            </w:r>
            <w:r>
              <w:rPr>
                <w:webHidden/>
              </w:rPr>
            </w:r>
            <w:r>
              <w:rPr>
                <w:webHidden/>
              </w:rPr>
              <w:fldChar w:fldCharType="separate"/>
            </w:r>
            <w:r w:rsidR="00A76D9F">
              <w:rPr>
                <w:webHidden/>
              </w:rPr>
              <w:t>323</w:t>
            </w:r>
            <w:r>
              <w:rPr>
                <w:webHidden/>
              </w:rPr>
              <w:fldChar w:fldCharType="end"/>
            </w:r>
          </w:hyperlink>
        </w:p>
        <w:p w14:paraId="4BAD0D8E" w14:textId="046B54FB"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84" w:history="1">
            <w:r w:rsidRPr="00E14024">
              <w:rPr>
                <w:rStyle w:val="Hiperpovezava"/>
              </w:rPr>
              <w:t>1.12.2.3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Odprte zadeve</w:t>
            </w:r>
            <w:r>
              <w:rPr>
                <w:webHidden/>
              </w:rPr>
              <w:tab/>
            </w:r>
            <w:r>
              <w:rPr>
                <w:webHidden/>
              </w:rPr>
              <w:fldChar w:fldCharType="begin"/>
            </w:r>
            <w:r>
              <w:rPr>
                <w:webHidden/>
              </w:rPr>
              <w:instrText xml:space="preserve"> PAGEREF _Toc223094084 \h </w:instrText>
            </w:r>
            <w:r>
              <w:rPr>
                <w:webHidden/>
              </w:rPr>
            </w:r>
            <w:r>
              <w:rPr>
                <w:webHidden/>
              </w:rPr>
              <w:fldChar w:fldCharType="separate"/>
            </w:r>
            <w:r w:rsidR="00A76D9F">
              <w:rPr>
                <w:webHidden/>
              </w:rPr>
              <w:t>323</w:t>
            </w:r>
            <w:r>
              <w:rPr>
                <w:webHidden/>
              </w:rPr>
              <w:fldChar w:fldCharType="end"/>
            </w:r>
          </w:hyperlink>
        </w:p>
        <w:p w14:paraId="48EDEA03" w14:textId="54B03369"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4085" w:history="1">
            <w:r w:rsidRPr="00E14024">
              <w:rPr>
                <w:rStyle w:val="Hiperpovezava"/>
              </w:rPr>
              <w:t>1.12.2.3.1</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Pritožbene zadeve (navedena je le zatrjevana kršitev, ki se v vpisniku vodi kot glavni temelj zadeve)</w:t>
            </w:r>
            <w:r>
              <w:rPr>
                <w:webHidden/>
              </w:rPr>
              <w:tab/>
            </w:r>
            <w:r>
              <w:rPr>
                <w:webHidden/>
              </w:rPr>
              <w:fldChar w:fldCharType="begin"/>
            </w:r>
            <w:r>
              <w:rPr>
                <w:webHidden/>
              </w:rPr>
              <w:instrText xml:space="preserve"> PAGEREF _Toc223094085 \h </w:instrText>
            </w:r>
            <w:r>
              <w:rPr>
                <w:webHidden/>
              </w:rPr>
            </w:r>
            <w:r>
              <w:rPr>
                <w:webHidden/>
              </w:rPr>
              <w:fldChar w:fldCharType="separate"/>
            </w:r>
            <w:r w:rsidR="00A76D9F">
              <w:rPr>
                <w:webHidden/>
              </w:rPr>
              <w:t>324</w:t>
            </w:r>
            <w:r>
              <w:rPr>
                <w:webHidden/>
              </w:rPr>
              <w:fldChar w:fldCharType="end"/>
            </w:r>
          </w:hyperlink>
        </w:p>
        <w:p w14:paraId="6A373E5E" w14:textId="570A5AAE"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4086" w:history="1">
            <w:r w:rsidRPr="00E14024">
              <w:rPr>
                <w:rStyle w:val="Hiperpovezava"/>
              </w:rPr>
              <w:t>1.12.2.3.2</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Pritožbena zadeva proti drugi visoki pogodbenici konvencije, v kateri je Slovenija priglasila intervencijo</w:t>
            </w:r>
            <w:r>
              <w:rPr>
                <w:webHidden/>
              </w:rPr>
              <w:tab/>
            </w:r>
            <w:r>
              <w:rPr>
                <w:webHidden/>
              </w:rPr>
              <w:fldChar w:fldCharType="begin"/>
            </w:r>
            <w:r>
              <w:rPr>
                <w:webHidden/>
              </w:rPr>
              <w:instrText xml:space="preserve"> PAGEREF _Toc223094086 \h </w:instrText>
            </w:r>
            <w:r>
              <w:rPr>
                <w:webHidden/>
              </w:rPr>
            </w:r>
            <w:r>
              <w:rPr>
                <w:webHidden/>
              </w:rPr>
              <w:fldChar w:fldCharType="separate"/>
            </w:r>
            <w:r w:rsidR="00A76D9F">
              <w:rPr>
                <w:webHidden/>
              </w:rPr>
              <w:t>324</w:t>
            </w:r>
            <w:r>
              <w:rPr>
                <w:webHidden/>
              </w:rPr>
              <w:fldChar w:fldCharType="end"/>
            </w:r>
          </w:hyperlink>
        </w:p>
        <w:p w14:paraId="64608EB6" w14:textId="60D108F2"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4087" w:history="1">
            <w:r w:rsidRPr="00E14024">
              <w:rPr>
                <w:rStyle w:val="Hiperpovezava"/>
              </w:rPr>
              <w:t>1.12.2.3.3</w:t>
            </w:r>
            <w:r>
              <w:rPr>
                <w:rFonts w:asciiTheme="minorHAnsi" w:eastAsiaTheme="minorEastAsia" w:hAnsiTheme="minorHAnsi" w:cstheme="minorBidi"/>
                <w:kern w:val="2"/>
                <w:sz w:val="24"/>
                <w:szCs w:val="24"/>
                <w:lang w:eastAsia="sl-SI"/>
                <w14:ligatures w14:val="standardContextual"/>
              </w:rPr>
              <w:tab/>
            </w:r>
            <w:r w:rsidRPr="00E14024">
              <w:rPr>
                <w:rStyle w:val="Hiperpovezava"/>
              </w:rPr>
              <w:t>Pritožbena zadeva v meddržavnem postopku, v katerem je Slovenija priglasila intervencijo</w:t>
            </w:r>
            <w:r>
              <w:rPr>
                <w:webHidden/>
              </w:rPr>
              <w:tab/>
            </w:r>
            <w:r>
              <w:rPr>
                <w:webHidden/>
              </w:rPr>
              <w:fldChar w:fldCharType="begin"/>
            </w:r>
            <w:r>
              <w:rPr>
                <w:webHidden/>
              </w:rPr>
              <w:instrText xml:space="preserve"> PAGEREF _Toc223094087 \h </w:instrText>
            </w:r>
            <w:r>
              <w:rPr>
                <w:webHidden/>
              </w:rPr>
            </w:r>
            <w:r>
              <w:rPr>
                <w:webHidden/>
              </w:rPr>
              <w:fldChar w:fldCharType="separate"/>
            </w:r>
            <w:r w:rsidR="00A76D9F">
              <w:rPr>
                <w:webHidden/>
              </w:rPr>
              <w:t>324</w:t>
            </w:r>
            <w:r>
              <w:rPr>
                <w:webHidden/>
              </w:rPr>
              <w:fldChar w:fldCharType="end"/>
            </w:r>
          </w:hyperlink>
        </w:p>
        <w:p w14:paraId="674FD1E7" w14:textId="16EEBC6C"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4088" w:history="1">
            <w:r w:rsidRPr="00E14024">
              <w:rPr>
                <w:rStyle w:val="Hiperpovezava"/>
              </w:rPr>
              <w:t>1.12.2.3.4</w:t>
            </w:r>
            <w:r>
              <w:rPr>
                <w:rFonts w:asciiTheme="minorHAnsi" w:eastAsiaTheme="minorEastAsia" w:hAnsiTheme="minorHAnsi" w:cstheme="minorBidi"/>
                <w:kern w:val="2"/>
                <w:sz w:val="24"/>
                <w:szCs w:val="24"/>
                <w:lang w:eastAsia="sl-SI"/>
                <w14:ligatures w14:val="standardContextual"/>
              </w:rPr>
              <w:tab/>
            </w:r>
            <w:r w:rsidRPr="00E14024">
              <w:rPr>
                <w:rStyle w:val="Hiperpovezava"/>
              </w:rPr>
              <w:t>Zadeva v zvezi z izvršitvijo sodbe ESČP</w:t>
            </w:r>
            <w:r>
              <w:rPr>
                <w:webHidden/>
              </w:rPr>
              <w:tab/>
            </w:r>
            <w:r>
              <w:rPr>
                <w:webHidden/>
              </w:rPr>
              <w:fldChar w:fldCharType="begin"/>
            </w:r>
            <w:r>
              <w:rPr>
                <w:webHidden/>
              </w:rPr>
              <w:instrText xml:space="preserve"> PAGEREF _Toc223094088 \h </w:instrText>
            </w:r>
            <w:r>
              <w:rPr>
                <w:webHidden/>
              </w:rPr>
            </w:r>
            <w:r>
              <w:rPr>
                <w:webHidden/>
              </w:rPr>
              <w:fldChar w:fldCharType="separate"/>
            </w:r>
            <w:r w:rsidR="00A76D9F">
              <w:rPr>
                <w:webHidden/>
              </w:rPr>
              <w:t>324</w:t>
            </w:r>
            <w:r>
              <w:rPr>
                <w:webHidden/>
              </w:rPr>
              <w:fldChar w:fldCharType="end"/>
            </w:r>
          </w:hyperlink>
        </w:p>
        <w:p w14:paraId="7C34796F" w14:textId="48A89D2A" w:rsidR="000300A6" w:rsidRDefault="000300A6">
          <w:pPr>
            <w:pStyle w:val="Kazalovsebine5"/>
            <w:tabs>
              <w:tab w:val="left" w:pos="1929"/>
            </w:tabs>
            <w:rPr>
              <w:rFonts w:asciiTheme="minorHAnsi" w:eastAsiaTheme="minorEastAsia" w:hAnsiTheme="minorHAnsi" w:cstheme="minorBidi"/>
              <w:kern w:val="2"/>
              <w:sz w:val="24"/>
              <w:szCs w:val="24"/>
              <w:lang w:eastAsia="sl-SI"/>
              <w14:ligatures w14:val="standardContextual"/>
            </w:rPr>
          </w:pPr>
          <w:hyperlink w:anchor="_Toc223094089" w:history="1">
            <w:r w:rsidRPr="00E14024">
              <w:rPr>
                <w:rStyle w:val="Hiperpovezava"/>
              </w:rPr>
              <w:t>1.12.2.3.5</w:t>
            </w:r>
            <w:r>
              <w:rPr>
                <w:rFonts w:asciiTheme="minorHAnsi" w:eastAsiaTheme="minorEastAsia" w:hAnsiTheme="minorHAnsi" w:cstheme="minorBidi"/>
                <w:kern w:val="2"/>
                <w:sz w:val="24"/>
                <w:szCs w:val="24"/>
                <w:lang w:eastAsia="sl-SI"/>
                <w14:ligatures w14:val="standardContextual"/>
              </w:rPr>
              <w:tab/>
            </w:r>
            <w:r w:rsidRPr="00E14024">
              <w:rPr>
                <w:rStyle w:val="Hiperpovezava"/>
              </w:rPr>
              <w:t>Zadeve iz drugih naslovov</w:t>
            </w:r>
            <w:r>
              <w:rPr>
                <w:webHidden/>
              </w:rPr>
              <w:tab/>
            </w:r>
            <w:r>
              <w:rPr>
                <w:webHidden/>
              </w:rPr>
              <w:fldChar w:fldCharType="begin"/>
            </w:r>
            <w:r>
              <w:rPr>
                <w:webHidden/>
              </w:rPr>
              <w:instrText xml:space="preserve"> PAGEREF _Toc223094089 \h </w:instrText>
            </w:r>
            <w:r>
              <w:rPr>
                <w:webHidden/>
              </w:rPr>
            </w:r>
            <w:r>
              <w:rPr>
                <w:webHidden/>
              </w:rPr>
              <w:fldChar w:fldCharType="separate"/>
            </w:r>
            <w:r w:rsidR="00A76D9F">
              <w:rPr>
                <w:webHidden/>
              </w:rPr>
              <w:t>325</w:t>
            </w:r>
            <w:r>
              <w:rPr>
                <w:webHidden/>
              </w:rPr>
              <w:fldChar w:fldCharType="end"/>
            </w:r>
          </w:hyperlink>
        </w:p>
        <w:p w14:paraId="04239475" w14:textId="717F2164"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90" w:history="1">
            <w:r w:rsidRPr="00E14024">
              <w:rPr>
                <w:rStyle w:val="Hiperpovezava"/>
              </w:rPr>
              <w:t>1.12.3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_Toc223094090 \h </w:instrText>
            </w:r>
            <w:r>
              <w:rPr>
                <w:webHidden/>
              </w:rPr>
            </w:r>
            <w:r>
              <w:rPr>
                <w:webHidden/>
              </w:rPr>
              <w:fldChar w:fldCharType="separate"/>
            </w:r>
            <w:r w:rsidR="00A76D9F">
              <w:rPr>
                <w:webHidden/>
              </w:rPr>
              <w:t>325</w:t>
            </w:r>
            <w:r>
              <w:rPr>
                <w:webHidden/>
              </w:rPr>
              <w:fldChar w:fldCharType="end"/>
            </w:r>
          </w:hyperlink>
        </w:p>
        <w:p w14:paraId="64030D2A" w14:textId="338E2065"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91" w:history="1">
            <w:r w:rsidRPr="00E14024">
              <w:rPr>
                <w:rStyle w:val="Hiperpovezava"/>
              </w:rPr>
              <w:t>1.12.4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_Toc223094091 \h </w:instrText>
            </w:r>
            <w:r>
              <w:rPr>
                <w:webHidden/>
              </w:rPr>
            </w:r>
            <w:r>
              <w:rPr>
                <w:webHidden/>
              </w:rPr>
              <w:fldChar w:fldCharType="separate"/>
            </w:r>
            <w:r w:rsidR="00A76D9F">
              <w:rPr>
                <w:webHidden/>
              </w:rPr>
              <w:t>326</w:t>
            </w:r>
            <w:r>
              <w:rPr>
                <w:webHidden/>
              </w:rPr>
              <w:fldChar w:fldCharType="end"/>
            </w:r>
          </w:hyperlink>
        </w:p>
        <w:p w14:paraId="641CFB18" w14:textId="62559150" w:rsidR="000300A6" w:rsidRDefault="000300A6">
          <w:pPr>
            <w:pStyle w:val="Kazalovsebine2"/>
            <w:tabs>
              <w:tab w:val="left" w:pos="1134"/>
            </w:tabs>
            <w:rPr>
              <w:rFonts w:asciiTheme="minorHAnsi" w:eastAsiaTheme="minorEastAsia" w:hAnsiTheme="minorHAnsi" w:cstheme="minorBidi"/>
              <w:noProof/>
              <w:kern w:val="2"/>
              <w:sz w:val="24"/>
              <w:szCs w:val="24"/>
              <w:lang w:eastAsia="sl-SI"/>
              <w14:ligatures w14:val="standardContextual"/>
            </w:rPr>
          </w:pPr>
          <w:hyperlink w:anchor="_Toc223094092" w:history="1">
            <w:r w:rsidRPr="00E14024">
              <w:rPr>
                <w:rStyle w:val="Hiperpovezava"/>
                <w:noProof/>
              </w:rPr>
              <w:t>1.13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pred Sodiščem Evropske unije</w:t>
            </w:r>
            <w:r>
              <w:rPr>
                <w:noProof/>
                <w:webHidden/>
              </w:rPr>
              <w:tab/>
            </w:r>
            <w:r>
              <w:rPr>
                <w:noProof/>
                <w:webHidden/>
              </w:rPr>
              <w:fldChar w:fldCharType="begin"/>
            </w:r>
            <w:r>
              <w:rPr>
                <w:noProof/>
                <w:webHidden/>
              </w:rPr>
              <w:instrText xml:space="preserve"> PAGEREF _Toc223094092 \h </w:instrText>
            </w:r>
            <w:r>
              <w:rPr>
                <w:noProof/>
                <w:webHidden/>
              </w:rPr>
            </w:r>
            <w:r>
              <w:rPr>
                <w:noProof/>
                <w:webHidden/>
              </w:rPr>
              <w:fldChar w:fldCharType="separate"/>
            </w:r>
            <w:r w:rsidR="00A76D9F">
              <w:rPr>
                <w:noProof/>
                <w:webHidden/>
              </w:rPr>
              <w:t>326</w:t>
            </w:r>
            <w:r>
              <w:rPr>
                <w:noProof/>
                <w:webHidden/>
              </w:rPr>
              <w:fldChar w:fldCharType="end"/>
            </w:r>
          </w:hyperlink>
        </w:p>
        <w:p w14:paraId="46D9A4B4" w14:textId="33FE3D8A"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93" w:history="1">
            <w:r w:rsidRPr="00E14024">
              <w:rPr>
                <w:rStyle w:val="Hiperpovezava"/>
              </w:rPr>
              <w:t>1.13.1</w:t>
            </w:r>
            <w:r>
              <w:rPr>
                <w:rFonts w:asciiTheme="minorHAnsi" w:eastAsiaTheme="minorEastAsia" w:hAnsiTheme="minorHAnsi" w:cstheme="minorBidi"/>
                <w:kern w:val="2"/>
                <w:sz w:val="24"/>
                <w:szCs w:val="24"/>
                <w:lang w:eastAsia="sl-SI"/>
                <w14:ligatures w14:val="standardContextual"/>
              </w:rPr>
              <w:tab/>
            </w:r>
            <w:r w:rsidRPr="00E14024">
              <w:rPr>
                <w:rStyle w:val="Hiperpovezava"/>
              </w:rPr>
              <w:t>Uvod</w:t>
            </w:r>
            <w:r>
              <w:rPr>
                <w:webHidden/>
              </w:rPr>
              <w:tab/>
            </w:r>
            <w:r>
              <w:rPr>
                <w:webHidden/>
              </w:rPr>
              <w:fldChar w:fldCharType="begin"/>
            </w:r>
            <w:r>
              <w:rPr>
                <w:webHidden/>
              </w:rPr>
              <w:instrText xml:space="preserve"> PAGEREF _Toc223094093 \h </w:instrText>
            </w:r>
            <w:r>
              <w:rPr>
                <w:webHidden/>
              </w:rPr>
            </w:r>
            <w:r>
              <w:rPr>
                <w:webHidden/>
              </w:rPr>
              <w:fldChar w:fldCharType="separate"/>
            </w:r>
            <w:r w:rsidR="00A76D9F">
              <w:rPr>
                <w:webHidden/>
              </w:rPr>
              <w:t>326</w:t>
            </w:r>
            <w:r>
              <w:rPr>
                <w:webHidden/>
              </w:rPr>
              <w:fldChar w:fldCharType="end"/>
            </w:r>
          </w:hyperlink>
        </w:p>
        <w:p w14:paraId="26907731" w14:textId="7603354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94" w:history="1">
            <w:r w:rsidRPr="00E14024">
              <w:rPr>
                <w:rStyle w:val="Hiperpovezava"/>
              </w:rPr>
              <w:t>1.13.1.1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Predstavitev Sodišča Evropske unije</w:t>
            </w:r>
            <w:r>
              <w:rPr>
                <w:webHidden/>
              </w:rPr>
              <w:tab/>
            </w:r>
            <w:r>
              <w:rPr>
                <w:webHidden/>
              </w:rPr>
              <w:fldChar w:fldCharType="begin"/>
            </w:r>
            <w:r>
              <w:rPr>
                <w:webHidden/>
              </w:rPr>
              <w:instrText xml:space="preserve"> PAGEREF _Toc223094094 \h </w:instrText>
            </w:r>
            <w:r>
              <w:rPr>
                <w:webHidden/>
              </w:rPr>
            </w:r>
            <w:r>
              <w:rPr>
                <w:webHidden/>
              </w:rPr>
              <w:fldChar w:fldCharType="separate"/>
            </w:r>
            <w:r w:rsidR="00A76D9F">
              <w:rPr>
                <w:webHidden/>
              </w:rPr>
              <w:t>326</w:t>
            </w:r>
            <w:r>
              <w:rPr>
                <w:webHidden/>
              </w:rPr>
              <w:fldChar w:fldCharType="end"/>
            </w:r>
          </w:hyperlink>
        </w:p>
        <w:p w14:paraId="0F395890" w14:textId="2A50016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095" w:history="1">
            <w:r w:rsidRPr="00E14024">
              <w:rPr>
                <w:rStyle w:val="Hiperpovezava"/>
              </w:rPr>
              <w:t>1.13.1.2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Postopkovna pravila</w:t>
            </w:r>
            <w:r>
              <w:rPr>
                <w:webHidden/>
              </w:rPr>
              <w:tab/>
            </w:r>
            <w:r>
              <w:rPr>
                <w:webHidden/>
              </w:rPr>
              <w:fldChar w:fldCharType="begin"/>
            </w:r>
            <w:r>
              <w:rPr>
                <w:webHidden/>
              </w:rPr>
              <w:instrText xml:space="preserve"> PAGEREF _Toc223094095 \h </w:instrText>
            </w:r>
            <w:r>
              <w:rPr>
                <w:webHidden/>
              </w:rPr>
            </w:r>
            <w:r>
              <w:rPr>
                <w:webHidden/>
              </w:rPr>
              <w:fldChar w:fldCharType="separate"/>
            </w:r>
            <w:r w:rsidR="00A76D9F">
              <w:rPr>
                <w:webHidden/>
              </w:rPr>
              <w:t>328</w:t>
            </w:r>
            <w:r>
              <w:rPr>
                <w:webHidden/>
              </w:rPr>
              <w:fldChar w:fldCharType="end"/>
            </w:r>
          </w:hyperlink>
        </w:p>
        <w:p w14:paraId="260743E9" w14:textId="1785DABD"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96" w:history="1">
            <w:r w:rsidRPr="00E14024">
              <w:rPr>
                <w:rStyle w:val="Hiperpovezava"/>
              </w:rPr>
              <w:t>1.13.2</w:t>
            </w:r>
            <w:r>
              <w:rPr>
                <w:rFonts w:asciiTheme="minorHAnsi" w:eastAsiaTheme="minorEastAsia" w:hAnsiTheme="minorHAnsi" w:cstheme="minorBidi"/>
                <w:kern w:val="2"/>
                <w:sz w:val="24"/>
                <w:szCs w:val="24"/>
                <w:lang w:eastAsia="sl-SI"/>
                <w14:ligatures w14:val="standardContextual"/>
              </w:rPr>
              <w:tab/>
            </w:r>
            <w:r w:rsidRPr="00E14024">
              <w:rPr>
                <w:rStyle w:val="Hiperpovezava"/>
              </w:rPr>
              <w:t>Statistični podatki</w:t>
            </w:r>
            <w:r>
              <w:rPr>
                <w:webHidden/>
              </w:rPr>
              <w:tab/>
            </w:r>
            <w:r>
              <w:rPr>
                <w:webHidden/>
              </w:rPr>
              <w:fldChar w:fldCharType="begin"/>
            </w:r>
            <w:r>
              <w:rPr>
                <w:webHidden/>
              </w:rPr>
              <w:instrText xml:space="preserve"> PAGEREF _Toc223094096 \h </w:instrText>
            </w:r>
            <w:r>
              <w:rPr>
                <w:webHidden/>
              </w:rPr>
            </w:r>
            <w:r>
              <w:rPr>
                <w:webHidden/>
              </w:rPr>
              <w:fldChar w:fldCharType="separate"/>
            </w:r>
            <w:r w:rsidR="00A76D9F">
              <w:rPr>
                <w:webHidden/>
              </w:rPr>
              <w:t>328</w:t>
            </w:r>
            <w:r>
              <w:rPr>
                <w:webHidden/>
              </w:rPr>
              <w:fldChar w:fldCharType="end"/>
            </w:r>
          </w:hyperlink>
        </w:p>
        <w:p w14:paraId="7FC512F0" w14:textId="7EC7F551"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97" w:history="1">
            <w:r w:rsidRPr="00E14024">
              <w:rPr>
                <w:rStyle w:val="Hiperpovezava"/>
              </w:rPr>
              <w:t>1.13.3</w:t>
            </w:r>
            <w:r>
              <w:rPr>
                <w:rFonts w:asciiTheme="minorHAnsi" w:eastAsiaTheme="minorEastAsia" w:hAnsiTheme="minorHAnsi" w:cstheme="minorBidi"/>
                <w:kern w:val="2"/>
                <w:sz w:val="24"/>
                <w:szCs w:val="24"/>
                <w:lang w:eastAsia="sl-SI"/>
                <w14:ligatures w14:val="standardContextual"/>
              </w:rPr>
              <w:tab/>
            </w:r>
            <w:r w:rsidRPr="00E14024">
              <w:rPr>
                <w:rStyle w:val="Hiperpovezava"/>
              </w:rPr>
              <w:t>Analiza primerjalnih vrednosti</w:t>
            </w:r>
            <w:r>
              <w:rPr>
                <w:webHidden/>
              </w:rPr>
              <w:tab/>
            </w:r>
            <w:r>
              <w:rPr>
                <w:webHidden/>
              </w:rPr>
              <w:fldChar w:fldCharType="begin"/>
            </w:r>
            <w:r>
              <w:rPr>
                <w:webHidden/>
              </w:rPr>
              <w:instrText xml:space="preserve"> PAGEREF _Toc223094097 \h </w:instrText>
            </w:r>
            <w:r>
              <w:rPr>
                <w:webHidden/>
              </w:rPr>
            </w:r>
            <w:r>
              <w:rPr>
                <w:webHidden/>
              </w:rPr>
              <w:fldChar w:fldCharType="separate"/>
            </w:r>
            <w:r w:rsidR="00A76D9F">
              <w:rPr>
                <w:webHidden/>
              </w:rPr>
              <w:t>328</w:t>
            </w:r>
            <w:r>
              <w:rPr>
                <w:webHidden/>
              </w:rPr>
              <w:fldChar w:fldCharType="end"/>
            </w:r>
          </w:hyperlink>
        </w:p>
        <w:p w14:paraId="46748476" w14:textId="22CC5816"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098" w:history="1">
            <w:r w:rsidRPr="00E14024">
              <w:rPr>
                <w:rStyle w:val="Hiperpovezava"/>
              </w:rPr>
              <w:t>1.13.4</w:t>
            </w:r>
            <w:r>
              <w:rPr>
                <w:rFonts w:asciiTheme="minorHAnsi" w:eastAsiaTheme="minorEastAsia" w:hAnsiTheme="minorHAnsi" w:cstheme="minorBidi"/>
                <w:kern w:val="2"/>
                <w:sz w:val="24"/>
                <w:szCs w:val="24"/>
                <w:lang w:eastAsia="sl-SI"/>
                <w14:ligatures w14:val="standardContextual"/>
              </w:rPr>
              <w:tab/>
            </w:r>
            <w:r w:rsidRPr="00E14024">
              <w:rPr>
                <w:rStyle w:val="Hiperpovezava"/>
              </w:rPr>
              <w:t>Ukrepi za obvladovanje zadev in priporočila Državnega odvetništva RS</w:t>
            </w:r>
            <w:r>
              <w:rPr>
                <w:webHidden/>
              </w:rPr>
              <w:tab/>
            </w:r>
            <w:r>
              <w:rPr>
                <w:webHidden/>
              </w:rPr>
              <w:fldChar w:fldCharType="begin"/>
            </w:r>
            <w:r>
              <w:rPr>
                <w:webHidden/>
              </w:rPr>
              <w:instrText xml:space="preserve"> PAGEREF _Toc223094098 \h </w:instrText>
            </w:r>
            <w:r>
              <w:rPr>
                <w:webHidden/>
              </w:rPr>
            </w:r>
            <w:r>
              <w:rPr>
                <w:webHidden/>
              </w:rPr>
              <w:fldChar w:fldCharType="separate"/>
            </w:r>
            <w:r w:rsidR="00A76D9F">
              <w:rPr>
                <w:webHidden/>
              </w:rPr>
              <w:t>330</w:t>
            </w:r>
            <w:r>
              <w:rPr>
                <w:webHidden/>
              </w:rPr>
              <w:fldChar w:fldCharType="end"/>
            </w:r>
          </w:hyperlink>
        </w:p>
        <w:p w14:paraId="7F0A85B2" w14:textId="2728E8A8" w:rsidR="000300A6" w:rsidRDefault="000300A6">
          <w:pPr>
            <w:pStyle w:val="Kazalovsebine2"/>
            <w:tabs>
              <w:tab w:val="left" w:pos="1134"/>
            </w:tabs>
            <w:rPr>
              <w:rFonts w:asciiTheme="minorHAnsi" w:eastAsiaTheme="minorEastAsia" w:hAnsiTheme="minorHAnsi" w:cstheme="minorBidi"/>
              <w:noProof/>
              <w:kern w:val="2"/>
              <w:sz w:val="24"/>
              <w:szCs w:val="24"/>
              <w:lang w:eastAsia="sl-SI"/>
              <w14:ligatures w14:val="standardContextual"/>
            </w:rPr>
          </w:pPr>
          <w:hyperlink w:anchor="_Toc223094099" w:history="1">
            <w:r w:rsidRPr="00E14024">
              <w:rPr>
                <w:rStyle w:val="Hiperpovezava"/>
                <w:noProof/>
              </w:rPr>
              <w:t>1.14</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pred Sodiščem EFTA</w:t>
            </w:r>
            <w:r>
              <w:rPr>
                <w:noProof/>
                <w:webHidden/>
              </w:rPr>
              <w:tab/>
            </w:r>
            <w:r>
              <w:rPr>
                <w:noProof/>
                <w:webHidden/>
              </w:rPr>
              <w:fldChar w:fldCharType="begin"/>
            </w:r>
            <w:r>
              <w:rPr>
                <w:noProof/>
                <w:webHidden/>
              </w:rPr>
              <w:instrText xml:space="preserve"> PAGEREF _Toc223094099 \h </w:instrText>
            </w:r>
            <w:r>
              <w:rPr>
                <w:noProof/>
                <w:webHidden/>
              </w:rPr>
            </w:r>
            <w:r>
              <w:rPr>
                <w:noProof/>
                <w:webHidden/>
              </w:rPr>
              <w:fldChar w:fldCharType="separate"/>
            </w:r>
            <w:r w:rsidR="00A76D9F">
              <w:rPr>
                <w:noProof/>
                <w:webHidden/>
              </w:rPr>
              <w:t>331</w:t>
            </w:r>
            <w:r>
              <w:rPr>
                <w:noProof/>
                <w:webHidden/>
              </w:rPr>
              <w:fldChar w:fldCharType="end"/>
            </w:r>
          </w:hyperlink>
        </w:p>
        <w:p w14:paraId="51B7EDE8" w14:textId="2351E056" w:rsidR="000300A6" w:rsidRDefault="000300A6">
          <w:pPr>
            <w:pStyle w:val="Kazalovsebine2"/>
            <w:tabs>
              <w:tab w:val="left" w:pos="1134"/>
            </w:tabs>
            <w:rPr>
              <w:rFonts w:asciiTheme="minorHAnsi" w:eastAsiaTheme="minorEastAsia" w:hAnsiTheme="minorHAnsi" w:cstheme="minorBidi"/>
              <w:noProof/>
              <w:kern w:val="2"/>
              <w:sz w:val="24"/>
              <w:szCs w:val="24"/>
              <w:lang w:eastAsia="sl-SI"/>
              <w14:ligatures w14:val="standardContextual"/>
            </w:rPr>
          </w:pPr>
          <w:hyperlink w:anchor="_Toc223094100" w:history="1">
            <w:r w:rsidRPr="00E14024">
              <w:rPr>
                <w:rStyle w:val="Hiperpovezava"/>
                <w:noProof/>
              </w:rPr>
              <w:t>1.15</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Mednarodne arbitraže</w:t>
            </w:r>
            <w:r>
              <w:rPr>
                <w:noProof/>
                <w:webHidden/>
              </w:rPr>
              <w:tab/>
            </w:r>
            <w:r>
              <w:rPr>
                <w:noProof/>
                <w:webHidden/>
              </w:rPr>
              <w:fldChar w:fldCharType="begin"/>
            </w:r>
            <w:r>
              <w:rPr>
                <w:noProof/>
                <w:webHidden/>
              </w:rPr>
              <w:instrText xml:space="preserve"> PAGEREF _Toc223094100 \h </w:instrText>
            </w:r>
            <w:r>
              <w:rPr>
                <w:noProof/>
                <w:webHidden/>
              </w:rPr>
            </w:r>
            <w:r>
              <w:rPr>
                <w:noProof/>
                <w:webHidden/>
              </w:rPr>
              <w:fldChar w:fldCharType="separate"/>
            </w:r>
            <w:r w:rsidR="00A76D9F">
              <w:rPr>
                <w:noProof/>
                <w:webHidden/>
              </w:rPr>
              <w:t>331</w:t>
            </w:r>
            <w:r>
              <w:rPr>
                <w:noProof/>
                <w:webHidden/>
              </w:rPr>
              <w:fldChar w:fldCharType="end"/>
            </w:r>
          </w:hyperlink>
        </w:p>
        <w:p w14:paraId="182EBB05" w14:textId="12996662" w:rsidR="000300A6" w:rsidRDefault="000300A6">
          <w:pPr>
            <w:pStyle w:val="Kazalovsebine3"/>
            <w:tabs>
              <w:tab w:val="left" w:pos="1446"/>
            </w:tabs>
            <w:rPr>
              <w:rFonts w:asciiTheme="minorHAnsi" w:eastAsiaTheme="minorEastAsia" w:hAnsiTheme="minorHAnsi" w:cstheme="minorBidi"/>
              <w:kern w:val="2"/>
              <w:sz w:val="24"/>
              <w:szCs w:val="24"/>
              <w:lang w:eastAsia="sl-SI"/>
              <w14:ligatures w14:val="standardContextual"/>
            </w:rPr>
          </w:pPr>
          <w:hyperlink w:anchor="_Toc223094101" w:history="1">
            <w:r w:rsidRPr="00E14024">
              <w:rPr>
                <w:rStyle w:val="Hiperpovezava"/>
              </w:rPr>
              <w:t>1.15.1</w:t>
            </w:r>
            <w:r>
              <w:rPr>
                <w:rFonts w:asciiTheme="minorHAnsi" w:eastAsiaTheme="minorEastAsia" w:hAnsiTheme="minorHAnsi" w:cstheme="minorBidi"/>
                <w:kern w:val="2"/>
                <w:sz w:val="24"/>
                <w:szCs w:val="24"/>
                <w:lang w:eastAsia="sl-SI"/>
                <w14:ligatures w14:val="standardContextual"/>
              </w:rPr>
              <w:tab/>
            </w:r>
            <w:r w:rsidRPr="00E14024">
              <w:rPr>
                <w:rStyle w:val="Hiperpovezava"/>
              </w:rPr>
              <w:t>Ključne aktivnosti na arbitražnih zadevah v teku</w:t>
            </w:r>
            <w:r>
              <w:rPr>
                <w:webHidden/>
              </w:rPr>
              <w:tab/>
            </w:r>
            <w:r>
              <w:rPr>
                <w:webHidden/>
              </w:rPr>
              <w:fldChar w:fldCharType="begin"/>
            </w:r>
            <w:r>
              <w:rPr>
                <w:webHidden/>
              </w:rPr>
              <w:instrText xml:space="preserve"> PAGEREF _Toc223094101 \h </w:instrText>
            </w:r>
            <w:r>
              <w:rPr>
                <w:webHidden/>
              </w:rPr>
            </w:r>
            <w:r>
              <w:rPr>
                <w:webHidden/>
              </w:rPr>
              <w:fldChar w:fldCharType="separate"/>
            </w:r>
            <w:r w:rsidR="00A76D9F">
              <w:rPr>
                <w:webHidden/>
              </w:rPr>
              <w:t>331</w:t>
            </w:r>
            <w:r>
              <w:rPr>
                <w:webHidden/>
              </w:rPr>
              <w:fldChar w:fldCharType="end"/>
            </w:r>
          </w:hyperlink>
        </w:p>
        <w:p w14:paraId="53C96B35" w14:textId="79AA7B7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02" w:history="1">
            <w:r w:rsidRPr="00E14024">
              <w:rPr>
                <w:rStyle w:val="Hiperpovezava"/>
              </w:rPr>
              <w:t>1.15.1.1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Ascent Resources Plc in Ascent Slovenia Ltd proti Sloveniji, št. ARB/22/21</w:t>
            </w:r>
            <w:r>
              <w:rPr>
                <w:webHidden/>
              </w:rPr>
              <w:tab/>
            </w:r>
            <w:r>
              <w:rPr>
                <w:webHidden/>
              </w:rPr>
              <w:fldChar w:fldCharType="begin"/>
            </w:r>
            <w:r>
              <w:rPr>
                <w:webHidden/>
              </w:rPr>
              <w:instrText xml:space="preserve"> PAGEREF _Toc223094102 \h </w:instrText>
            </w:r>
            <w:r>
              <w:rPr>
                <w:webHidden/>
              </w:rPr>
            </w:r>
            <w:r>
              <w:rPr>
                <w:webHidden/>
              </w:rPr>
              <w:fldChar w:fldCharType="separate"/>
            </w:r>
            <w:r w:rsidR="00A76D9F">
              <w:rPr>
                <w:webHidden/>
              </w:rPr>
              <w:t>331</w:t>
            </w:r>
            <w:r>
              <w:rPr>
                <w:webHidden/>
              </w:rPr>
              <w:fldChar w:fldCharType="end"/>
            </w:r>
          </w:hyperlink>
        </w:p>
        <w:p w14:paraId="7122B987" w14:textId="428A04D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03" w:history="1">
            <w:r w:rsidRPr="00E14024">
              <w:rPr>
                <w:rStyle w:val="Hiperpovezava"/>
              </w:rPr>
              <w:t>1.15.1.2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Towra SA-SPF proti Sloveniji, št. ARB/22/33</w:t>
            </w:r>
            <w:r>
              <w:rPr>
                <w:webHidden/>
              </w:rPr>
              <w:tab/>
            </w:r>
            <w:r>
              <w:rPr>
                <w:webHidden/>
              </w:rPr>
              <w:fldChar w:fldCharType="begin"/>
            </w:r>
            <w:r>
              <w:rPr>
                <w:webHidden/>
              </w:rPr>
              <w:instrText xml:space="preserve"> PAGEREF _Toc223094103 \h </w:instrText>
            </w:r>
            <w:r>
              <w:rPr>
                <w:webHidden/>
              </w:rPr>
            </w:r>
            <w:r>
              <w:rPr>
                <w:webHidden/>
              </w:rPr>
              <w:fldChar w:fldCharType="separate"/>
            </w:r>
            <w:r w:rsidR="00A76D9F">
              <w:rPr>
                <w:webHidden/>
              </w:rPr>
              <w:t>332</w:t>
            </w:r>
            <w:r>
              <w:rPr>
                <w:webHidden/>
              </w:rPr>
              <w:fldChar w:fldCharType="end"/>
            </w:r>
          </w:hyperlink>
        </w:p>
        <w:p w14:paraId="5C3451C0" w14:textId="4F834BBE"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4104" w:history="1">
            <w:r w:rsidRPr="00E14024">
              <w:rPr>
                <w:rStyle w:val="Hiperpovezava"/>
                <w:rFonts w:eastAsia="Calibri"/>
                <w:noProof/>
              </w:rPr>
              <w:t>2</w:t>
            </w:r>
            <w:r>
              <w:rPr>
                <w:rFonts w:asciiTheme="minorHAnsi" w:hAnsiTheme="minorHAnsi" w:cstheme="minorBidi"/>
                <w:noProof/>
                <w:kern w:val="2"/>
                <w:sz w:val="24"/>
                <w:szCs w:val="24"/>
                <w14:ligatures w14:val="standardContextual"/>
              </w:rPr>
              <w:tab/>
            </w:r>
            <w:r w:rsidRPr="00E14024">
              <w:rPr>
                <w:rStyle w:val="Hiperpovezava"/>
                <w:rFonts w:eastAsia="Calibri"/>
                <w:noProof/>
              </w:rPr>
              <w:t>PRIKAZ IN OCENA ZAHTEVNEJŠIH PRIMEROV</w:t>
            </w:r>
            <w:r>
              <w:rPr>
                <w:noProof/>
                <w:webHidden/>
              </w:rPr>
              <w:tab/>
            </w:r>
            <w:r>
              <w:rPr>
                <w:noProof/>
                <w:webHidden/>
              </w:rPr>
              <w:fldChar w:fldCharType="begin"/>
            </w:r>
            <w:r>
              <w:rPr>
                <w:noProof/>
                <w:webHidden/>
              </w:rPr>
              <w:instrText xml:space="preserve"> PAGEREF _Toc223094104 \h </w:instrText>
            </w:r>
            <w:r>
              <w:rPr>
                <w:noProof/>
                <w:webHidden/>
              </w:rPr>
            </w:r>
            <w:r>
              <w:rPr>
                <w:noProof/>
                <w:webHidden/>
              </w:rPr>
              <w:fldChar w:fldCharType="separate"/>
            </w:r>
            <w:r w:rsidR="00A76D9F">
              <w:rPr>
                <w:noProof/>
                <w:webHidden/>
              </w:rPr>
              <w:t>333</w:t>
            </w:r>
            <w:r>
              <w:rPr>
                <w:noProof/>
                <w:webHidden/>
              </w:rPr>
              <w:fldChar w:fldCharType="end"/>
            </w:r>
          </w:hyperlink>
        </w:p>
        <w:p w14:paraId="5E310731" w14:textId="6D757595"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05" w:history="1">
            <w:r w:rsidRPr="00E14024">
              <w:rPr>
                <w:rStyle w:val="Hiperpovezava"/>
                <w:noProof/>
                <w:lang w:val="sk-SK"/>
              </w:rPr>
              <w:t>2.1</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lang w:val="sk-SK"/>
              </w:rPr>
              <w:t>Civilnopravne in gospodarske zadeve</w:t>
            </w:r>
            <w:r>
              <w:rPr>
                <w:noProof/>
                <w:webHidden/>
              </w:rPr>
              <w:tab/>
            </w:r>
            <w:r>
              <w:rPr>
                <w:noProof/>
                <w:webHidden/>
              </w:rPr>
              <w:fldChar w:fldCharType="begin"/>
            </w:r>
            <w:r>
              <w:rPr>
                <w:noProof/>
                <w:webHidden/>
              </w:rPr>
              <w:instrText xml:space="preserve"> PAGEREF _Toc223094105 \h </w:instrText>
            </w:r>
            <w:r>
              <w:rPr>
                <w:noProof/>
                <w:webHidden/>
              </w:rPr>
            </w:r>
            <w:r>
              <w:rPr>
                <w:noProof/>
                <w:webHidden/>
              </w:rPr>
              <w:fldChar w:fldCharType="separate"/>
            </w:r>
            <w:r w:rsidR="00A76D9F">
              <w:rPr>
                <w:noProof/>
                <w:webHidden/>
              </w:rPr>
              <w:t>333</w:t>
            </w:r>
            <w:r>
              <w:rPr>
                <w:noProof/>
                <w:webHidden/>
              </w:rPr>
              <w:fldChar w:fldCharType="end"/>
            </w:r>
          </w:hyperlink>
        </w:p>
        <w:p w14:paraId="19EDD7D7" w14:textId="283D786C"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06" w:history="1">
            <w:r w:rsidRPr="00E14024">
              <w:rPr>
                <w:rStyle w:val="Hiperpovezava"/>
              </w:rPr>
              <w:t>2.1.1</w:t>
            </w:r>
            <w:r>
              <w:rPr>
                <w:rFonts w:asciiTheme="minorHAnsi" w:eastAsiaTheme="minorEastAsia" w:hAnsiTheme="minorHAnsi" w:cstheme="minorBidi"/>
                <w:kern w:val="2"/>
                <w:sz w:val="24"/>
                <w:szCs w:val="24"/>
                <w:lang w:eastAsia="sl-SI"/>
                <w14:ligatures w14:val="standardContextual"/>
              </w:rPr>
              <w:tab/>
            </w:r>
            <w:r w:rsidRPr="00E14024">
              <w:rPr>
                <w:rStyle w:val="Hiperpovezava"/>
              </w:rPr>
              <w:t>Zadeve zaradi odškodninske odgovornosti Republike Slovenije</w:t>
            </w:r>
            <w:r>
              <w:rPr>
                <w:webHidden/>
              </w:rPr>
              <w:tab/>
            </w:r>
            <w:r>
              <w:rPr>
                <w:webHidden/>
              </w:rPr>
              <w:fldChar w:fldCharType="begin"/>
            </w:r>
            <w:r>
              <w:rPr>
                <w:webHidden/>
              </w:rPr>
              <w:instrText xml:space="preserve"> PAGEREF _Toc223094106 \h </w:instrText>
            </w:r>
            <w:r>
              <w:rPr>
                <w:webHidden/>
              </w:rPr>
            </w:r>
            <w:r>
              <w:rPr>
                <w:webHidden/>
              </w:rPr>
              <w:fldChar w:fldCharType="separate"/>
            </w:r>
            <w:r w:rsidR="00A76D9F">
              <w:rPr>
                <w:webHidden/>
              </w:rPr>
              <w:t>333</w:t>
            </w:r>
            <w:r>
              <w:rPr>
                <w:webHidden/>
              </w:rPr>
              <w:fldChar w:fldCharType="end"/>
            </w:r>
          </w:hyperlink>
        </w:p>
        <w:p w14:paraId="547E224E" w14:textId="42C7EA5D"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07" w:history="1">
            <w:r w:rsidRPr="00E14024">
              <w:rPr>
                <w:rStyle w:val="Hiperpovezava"/>
                <w:rFonts w:eastAsia="Calibri"/>
              </w:rPr>
              <w:t>2.1.2</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Zadeva zaradi hipotekarne tožbe</w:t>
            </w:r>
            <w:r>
              <w:rPr>
                <w:webHidden/>
              </w:rPr>
              <w:tab/>
            </w:r>
            <w:r>
              <w:rPr>
                <w:webHidden/>
              </w:rPr>
              <w:fldChar w:fldCharType="begin"/>
            </w:r>
            <w:r>
              <w:rPr>
                <w:webHidden/>
              </w:rPr>
              <w:instrText xml:space="preserve"> PAGEREF _Toc223094107 \h </w:instrText>
            </w:r>
            <w:r>
              <w:rPr>
                <w:webHidden/>
              </w:rPr>
            </w:r>
            <w:r>
              <w:rPr>
                <w:webHidden/>
              </w:rPr>
              <w:fldChar w:fldCharType="separate"/>
            </w:r>
            <w:r w:rsidR="00A76D9F">
              <w:rPr>
                <w:webHidden/>
              </w:rPr>
              <w:t>343</w:t>
            </w:r>
            <w:r>
              <w:rPr>
                <w:webHidden/>
              </w:rPr>
              <w:fldChar w:fldCharType="end"/>
            </w:r>
          </w:hyperlink>
        </w:p>
        <w:p w14:paraId="05F6E3F4" w14:textId="09C4F26E"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08" w:history="1">
            <w:r w:rsidRPr="00E14024">
              <w:rPr>
                <w:rStyle w:val="Hiperpovezava"/>
                <w:rFonts w:eastAsia="Calibri"/>
              </w:rPr>
              <w:t>2.1.3</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Zadeva zaradi povišanja cen od podaje ponudbe do sklenitve pogodbe</w:t>
            </w:r>
            <w:r>
              <w:rPr>
                <w:webHidden/>
              </w:rPr>
              <w:tab/>
            </w:r>
            <w:r>
              <w:rPr>
                <w:webHidden/>
              </w:rPr>
              <w:fldChar w:fldCharType="begin"/>
            </w:r>
            <w:r>
              <w:rPr>
                <w:webHidden/>
              </w:rPr>
              <w:instrText xml:space="preserve"> PAGEREF _Toc223094108 \h </w:instrText>
            </w:r>
            <w:r>
              <w:rPr>
                <w:webHidden/>
              </w:rPr>
            </w:r>
            <w:r>
              <w:rPr>
                <w:webHidden/>
              </w:rPr>
              <w:fldChar w:fldCharType="separate"/>
            </w:r>
            <w:r w:rsidR="00A76D9F">
              <w:rPr>
                <w:webHidden/>
              </w:rPr>
              <w:t>344</w:t>
            </w:r>
            <w:r>
              <w:rPr>
                <w:webHidden/>
              </w:rPr>
              <w:fldChar w:fldCharType="end"/>
            </w:r>
          </w:hyperlink>
        </w:p>
        <w:p w14:paraId="6B93C468" w14:textId="6BDDB9C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09" w:history="1">
            <w:r w:rsidRPr="00E14024">
              <w:rPr>
                <w:rStyle w:val="Hiperpovezava"/>
                <w:rFonts w:eastAsia="Calibri"/>
              </w:rPr>
              <w:t>2.1.4</w:t>
            </w:r>
            <w:r>
              <w:rPr>
                <w:rFonts w:asciiTheme="minorHAnsi" w:eastAsiaTheme="minorEastAsia" w:hAnsiTheme="minorHAnsi" w:cstheme="minorBidi"/>
                <w:kern w:val="2"/>
                <w:sz w:val="24"/>
                <w:szCs w:val="24"/>
                <w:lang w:eastAsia="sl-SI"/>
                <w14:ligatures w14:val="standardContextual"/>
              </w:rPr>
              <w:tab/>
            </w:r>
            <w:r w:rsidRPr="00E14024">
              <w:rPr>
                <w:rStyle w:val="Hiperpovezava"/>
                <w:rFonts w:eastAsia="Calibri"/>
              </w:rPr>
              <w:t>Republika Slovenija kot upnica v stečajnem postopku in intervenientka v pravdi</w:t>
            </w:r>
            <w:r>
              <w:rPr>
                <w:webHidden/>
              </w:rPr>
              <w:tab/>
            </w:r>
            <w:r>
              <w:rPr>
                <w:webHidden/>
              </w:rPr>
              <w:fldChar w:fldCharType="begin"/>
            </w:r>
            <w:r>
              <w:rPr>
                <w:webHidden/>
              </w:rPr>
              <w:instrText xml:space="preserve"> PAGEREF _Toc223094109 \h </w:instrText>
            </w:r>
            <w:r>
              <w:rPr>
                <w:webHidden/>
              </w:rPr>
            </w:r>
            <w:r>
              <w:rPr>
                <w:webHidden/>
              </w:rPr>
              <w:fldChar w:fldCharType="separate"/>
            </w:r>
            <w:r w:rsidR="00A76D9F">
              <w:rPr>
                <w:webHidden/>
              </w:rPr>
              <w:t>345</w:t>
            </w:r>
            <w:r>
              <w:rPr>
                <w:webHidden/>
              </w:rPr>
              <w:fldChar w:fldCharType="end"/>
            </w:r>
          </w:hyperlink>
        </w:p>
        <w:p w14:paraId="1EE2AF89" w14:textId="220E8CA7"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10" w:history="1">
            <w:r w:rsidRPr="00E14024">
              <w:rPr>
                <w:rStyle w:val="Hiperpovezava"/>
                <w:noProof/>
              </w:rPr>
              <w:t>2.2</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Delovnopravne in socialnopravne zadeve</w:t>
            </w:r>
            <w:r>
              <w:rPr>
                <w:noProof/>
                <w:webHidden/>
              </w:rPr>
              <w:tab/>
            </w:r>
            <w:r>
              <w:rPr>
                <w:noProof/>
                <w:webHidden/>
              </w:rPr>
              <w:fldChar w:fldCharType="begin"/>
            </w:r>
            <w:r>
              <w:rPr>
                <w:noProof/>
                <w:webHidden/>
              </w:rPr>
              <w:instrText xml:space="preserve"> PAGEREF _Toc223094110 \h </w:instrText>
            </w:r>
            <w:r>
              <w:rPr>
                <w:noProof/>
                <w:webHidden/>
              </w:rPr>
            </w:r>
            <w:r>
              <w:rPr>
                <w:noProof/>
                <w:webHidden/>
              </w:rPr>
              <w:fldChar w:fldCharType="separate"/>
            </w:r>
            <w:r w:rsidR="00A76D9F">
              <w:rPr>
                <w:noProof/>
                <w:webHidden/>
              </w:rPr>
              <w:t>347</w:t>
            </w:r>
            <w:r>
              <w:rPr>
                <w:noProof/>
                <w:webHidden/>
              </w:rPr>
              <w:fldChar w:fldCharType="end"/>
            </w:r>
          </w:hyperlink>
        </w:p>
        <w:p w14:paraId="7974E804" w14:textId="01E86712"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11" w:history="1">
            <w:r w:rsidRPr="00E14024">
              <w:rPr>
                <w:rStyle w:val="Hiperpovezava"/>
              </w:rPr>
              <w:t>2.2.1</w:t>
            </w:r>
            <w:r>
              <w:rPr>
                <w:rFonts w:asciiTheme="minorHAnsi" w:eastAsiaTheme="minorEastAsia" w:hAnsiTheme="minorHAnsi" w:cstheme="minorBidi"/>
                <w:kern w:val="2"/>
                <w:sz w:val="24"/>
                <w:szCs w:val="24"/>
                <w:lang w:eastAsia="sl-SI"/>
                <w14:ligatures w14:val="standardContextual"/>
              </w:rPr>
              <w:tab/>
            </w:r>
            <w:r w:rsidRPr="00E14024">
              <w:rPr>
                <w:rStyle w:val="Hiperpovezava"/>
                <w:rFonts w:cstheme="minorHAnsi"/>
              </w:rPr>
              <w:t>Pomembne odločitve Vrhovnega sodišča RS v delovnih sporih</w:t>
            </w:r>
            <w:r>
              <w:rPr>
                <w:webHidden/>
              </w:rPr>
              <w:tab/>
            </w:r>
            <w:r>
              <w:rPr>
                <w:webHidden/>
              </w:rPr>
              <w:fldChar w:fldCharType="begin"/>
            </w:r>
            <w:r>
              <w:rPr>
                <w:webHidden/>
              </w:rPr>
              <w:instrText xml:space="preserve"> PAGEREF _Toc223094111 \h </w:instrText>
            </w:r>
            <w:r>
              <w:rPr>
                <w:webHidden/>
              </w:rPr>
            </w:r>
            <w:r>
              <w:rPr>
                <w:webHidden/>
              </w:rPr>
              <w:fldChar w:fldCharType="separate"/>
            </w:r>
            <w:r w:rsidR="00A76D9F">
              <w:rPr>
                <w:webHidden/>
              </w:rPr>
              <w:t>347</w:t>
            </w:r>
            <w:r>
              <w:rPr>
                <w:webHidden/>
              </w:rPr>
              <w:fldChar w:fldCharType="end"/>
            </w:r>
          </w:hyperlink>
        </w:p>
        <w:p w14:paraId="14F5EC13" w14:textId="273EA1C1"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12" w:history="1">
            <w:r w:rsidRPr="00E14024">
              <w:rPr>
                <w:rStyle w:val="Hiperpovezava"/>
              </w:rPr>
              <w:t>2.2.2</w:t>
            </w:r>
            <w:r>
              <w:rPr>
                <w:rFonts w:asciiTheme="minorHAnsi" w:eastAsiaTheme="minorEastAsia" w:hAnsiTheme="minorHAnsi" w:cstheme="minorBidi"/>
                <w:kern w:val="2"/>
                <w:sz w:val="24"/>
                <w:szCs w:val="24"/>
                <w:lang w:eastAsia="sl-SI"/>
                <w14:ligatures w14:val="standardContextual"/>
              </w:rPr>
              <w:tab/>
            </w:r>
            <w:r w:rsidRPr="00E14024">
              <w:rPr>
                <w:rStyle w:val="Hiperpovezava"/>
                <w:rFonts w:cstheme="minorHAnsi"/>
              </w:rPr>
              <w:t>Pomembne odločitve Vrhovnega sodišča RS v socialnih sporih</w:t>
            </w:r>
            <w:r>
              <w:rPr>
                <w:webHidden/>
              </w:rPr>
              <w:tab/>
            </w:r>
            <w:r>
              <w:rPr>
                <w:webHidden/>
              </w:rPr>
              <w:fldChar w:fldCharType="begin"/>
            </w:r>
            <w:r>
              <w:rPr>
                <w:webHidden/>
              </w:rPr>
              <w:instrText xml:space="preserve"> PAGEREF _Toc223094112 \h </w:instrText>
            </w:r>
            <w:r>
              <w:rPr>
                <w:webHidden/>
              </w:rPr>
            </w:r>
            <w:r>
              <w:rPr>
                <w:webHidden/>
              </w:rPr>
              <w:fldChar w:fldCharType="separate"/>
            </w:r>
            <w:r w:rsidR="00A76D9F">
              <w:rPr>
                <w:webHidden/>
              </w:rPr>
              <w:t>348</w:t>
            </w:r>
            <w:r>
              <w:rPr>
                <w:webHidden/>
              </w:rPr>
              <w:fldChar w:fldCharType="end"/>
            </w:r>
          </w:hyperlink>
        </w:p>
        <w:p w14:paraId="396E49E1" w14:textId="58AB1C0D"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13" w:history="1">
            <w:r w:rsidRPr="00E14024">
              <w:rPr>
                <w:rStyle w:val="Hiperpovezava"/>
                <w:noProof/>
              </w:rPr>
              <w:t>2.3</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Izvršba in zavarovanje</w:t>
            </w:r>
            <w:r>
              <w:rPr>
                <w:noProof/>
                <w:webHidden/>
              </w:rPr>
              <w:tab/>
            </w:r>
            <w:r>
              <w:rPr>
                <w:noProof/>
                <w:webHidden/>
              </w:rPr>
              <w:fldChar w:fldCharType="begin"/>
            </w:r>
            <w:r>
              <w:rPr>
                <w:noProof/>
                <w:webHidden/>
              </w:rPr>
              <w:instrText xml:space="preserve"> PAGEREF _Toc223094113 \h </w:instrText>
            </w:r>
            <w:r>
              <w:rPr>
                <w:noProof/>
                <w:webHidden/>
              </w:rPr>
            </w:r>
            <w:r>
              <w:rPr>
                <w:noProof/>
                <w:webHidden/>
              </w:rPr>
              <w:fldChar w:fldCharType="separate"/>
            </w:r>
            <w:r w:rsidR="00A76D9F">
              <w:rPr>
                <w:noProof/>
                <w:webHidden/>
              </w:rPr>
              <w:t>349</w:t>
            </w:r>
            <w:r>
              <w:rPr>
                <w:noProof/>
                <w:webHidden/>
              </w:rPr>
              <w:fldChar w:fldCharType="end"/>
            </w:r>
          </w:hyperlink>
        </w:p>
        <w:p w14:paraId="57150053" w14:textId="7C41CAC5"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14" w:history="1">
            <w:r w:rsidRPr="00E14024">
              <w:rPr>
                <w:rStyle w:val="Hiperpovezava"/>
                <w:noProof/>
              </w:rPr>
              <w:t>2.4</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zaradi insolventnosti in prisilnega prenehanja</w:t>
            </w:r>
            <w:r>
              <w:rPr>
                <w:noProof/>
                <w:webHidden/>
              </w:rPr>
              <w:tab/>
            </w:r>
            <w:r>
              <w:rPr>
                <w:noProof/>
                <w:webHidden/>
              </w:rPr>
              <w:fldChar w:fldCharType="begin"/>
            </w:r>
            <w:r>
              <w:rPr>
                <w:noProof/>
                <w:webHidden/>
              </w:rPr>
              <w:instrText xml:space="preserve"> PAGEREF _Toc223094114 \h </w:instrText>
            </w:r>
            <w:r>
              <w:rPr>
                <w:noProof/>
                <w:webHidden/>
              </w:rPr>
            </w:r>
            <w:r>
              <w:rPr>
                <w:noProof/>
                <w:webHidden/>
              </w:rPr>
              <w:fldChar w:fldCharType="separate"/>
            </w:r>
            <w:r w:rsidR="00A76D9F">
              <w:rPr>
                <w:noProof/>
                <w:webHidden/>
              </w:rPr>
              <w:t>351</w:t>
            </w:r>
            <w:r>
              <w:rPr>
                <w:noProof/>
                <w:webHidden/>
              </w:rPr>
              <w:fldChar w:fldCharType="end"/>
            </w:r>
          </w:hyperlink>
        </w:p>
        <w:p w14:paraId="5BBA43D9" w14:textId="1DF9A6C9"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15" w:history="1">
            <w:r w:rsidRPr="00E14024">
              <w:rPr>
                <w:rStyle w:val="Hiperpovezava"/>
                <w:noProof/>
              </w:rPr>
              <w:t>2.5</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Nepravdni postopki</w:t>
            </w:r>
            <w:r>
              <w:rPr>
                <w:noProof/>
                <w:webHidden/>
              </w:rPr>
              <w:tab/>
            </w:r>
            <w:r>
              <w:rPr>
                <w:noProof/>
                <w:webHidden/>
              </w:rPr>
              <w:fldChar w:fldCharType="begin"/>
            </w:r>
            <w:r>
              <w:rPr>
                <w:noProof/>
                <w:webHidden/>
              </w:rPr>
              <w:instrText xml:space="preserve"> PAGEREF _Toc223094115 \h </w:instrText>
            </w:r>
            <w:r>
              <w:rPr>
                <w:noProof/>
                <w:webHidden/>
              </w:rPr>
            </w:r>
            <w:r>
              <w:rPr>
                <w:noProof/>
                <w:webHidden/>
              </w:rPr>
              <w:fldChar w:fldCharType="separate"/>
            </w:r>
            <w:r w:rsidR="00A76D9F">
              <w:rPr>
                <w:noProof/>
                <w:webHidden/>
              </w:rPr>
              <w:t>352</w:t>
            </w:r>
            <w:r>
              <w:rPr>
                <w:noProof/>
                <w:webHidden/>
              </w:rPr>
              <w:fldChar w:fldCharType="end"/>
            </w:r>
          </w:hyperlink>
        </w:p>
        <w:p w14:paraId="13C9B18E" w14:textId="0A14D22A"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16" w:history="1">
            <w:r w:rsidRPr="00E14024">
              <w:rPr>
                <w:rStyle w:val="Hiperpovezava"/>
                <w:noProof/>
              </w:rPr>
              <w:t>2.6</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Razlastitveni postopki</w:t>
            </w:r>
            <w:r>
              <w:rPr>
                <w:noProof/>
                <w:webHidden/>
              </w:rPr>
              <w:tab/>
            </w:r>
            <w:r>
              <w:rPr>
                <w:noProof/>
                <w:webHidden/>
              </w:rPr>
              <w:fldChar w:fldCharType="begin"/>
            </w:r>
            <w:r>
              <w:rPr>
                <w:noProof/>
                <w:webHidden/>
              </w:rPr>
              <w:instrText xml:space="preserve"> PAGEREF _Toc223094116 \h </w:instrText>
            </w:r>
            <w:r>
              <w:rPr>
                <w:noProof/>
                <w:webHidden/>
              </w:rPr>
            </w:r>
            <w:r>
              <w:rPr>
                <w:noProof/>
                <w:webHidden/>
              </w:rPr>
              <w:fldChar w:fldCharType="separate"/>
            </w:r>
            <w:r w:rsidR="00A76D9F">
              <w:rPr>
                <w:noProof/>
                <w:webHidden/>
              </w:rPr>
              <w:t>356</w:t>
            </w:r>
            <w:r>
              <w:rPr>
                <w:noProof/>
                <w:webHidden/>
              </w:rPr>
              <w:fldChar w:fldCharType="end"/>
            </w:r>
          </w:hyperlink>
        </w:p>
        <w:p w14:paraId="3BAD4045" w14:textId="3BD55292"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17" w:history="1">
            <w:r w:rsidRPr="00E14024">
              <w:rPr>
                <w:rStyle w:val="Hiperpovezava"/>
                <w:noProof/>
              </w:rPr>
              <w:t>2.7</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Upravne zadeve</w:t>
            </w:r>
            <w:r>
              <w:rPr>
                <w:noProof/>
                <w:webHidden/>
              </w:rPr>
              <w:tab/>
            </w:r>
            <w:r>
              <w:rPr>
                <w:noProof/>
                <w:webHidden/>
              </w:rPr>
              <w:fldChar w:fldCharType="begin"/>
            </w:r>
            <w:r>
              <w:rPr>
                <w:noProof/>
                <w:webHidden/>
              </w:rPr>
              <w:instrText xml:space="preserve"> PAGEREF _Toc223094117 \h </w:instrText>
            </w:r>
            <w:r>
              <w:rPr>
                <w:noProof/>
                <w:webHidden/>
              </w:rPr>
            </w:r>
            <w:r>
              <w:rPr>
                <w:noProof/>
                <w:webHidden/>
              </w:rPr>
              <w:fldChar w:fldCharType="separate"/>
            </w:r>
            <w:r w:rsidR="00A76D9F">
              <w:rPr>
                <w:noProof/>
                <w:webHidden/>
              </w:rPr>
              <w:t>357</w:t>
            </w:r>
            <w:r>
              <w:rPr>
                <w:noProof/>
                <w:webHidden/>
              </w:rPr>
              <w:fldChar w:fldCharType="end"/>
            </w:r>
          </w:hyperlink>
        </w:p>
        <w:p w14:paraId="00876CF0" w14:textId="43B785B0"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18" w:history="1">
            <w:r w:rsidRPr="00E14024">
              <w:rPr>
                <w:rStyle w:val="Hiperpovezava"/>
                <w:lang w:eastAsia="sl-SI"/>
              </w:rPr>
              <w:t>2.7.1</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Upravni spori s področja varstva človekovih pravic (Covid 19)</w:t>
            </w:r>
            <w:r>
              <w:rPr>
                <w:webHidden/>
              </w:rPr>
              <w:tab/>
            </w:r>
            <w:r>
              <w:rPr>
                <w:webHidden/>
              </w:rPr>
              <w:fldChar w:fldCharType="begin"/>
            </w:r>
            <w:r>
              <w:rPr>
                <w:webHidden/>
              </w:rPr>
              <w:instrText xml:space="preserve"> PAGEREF _Toc223094118 \h </w:instrText>
            </w:r>
            <w:r>
              <w:rPr>
                <w:webHidden/>
              </w:rPr>
            </w:r>
            <w:r>
              <w:rPr>
                <w:webHidden/>
              </w:rPr>
              <w:fldChar w:fldCharType="separate"/>
            </w:r>
            <w:r w:rsidR="00A76D9F">
              <w:rPr>
                <w:webHidden/>
              </w:rPr>
              <w:t>357</w:t>
            </w:r>
            <w:r>
              <w:rPr>
                <w:webHidden/>
              </w:rPr>
              <w:fldChar w:fldCharType="end"/>
            </w:r>
          </w:hyperlink>
        </w:p>
        <w:p w14:paraId="666AECCE" w14:textId="2D5FA606"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19" w:history="1">
            <w:r w:rsidRPr="00E14024">
              <w:rPr>
                <w:rStyle w:val="Hiperpovezava"/>
                <w:lang w:eastAsia="sl-SI"/>
              </w:rPr>
              <w:t>2.7.2</w:t>
            </w:r>
            <w:r>
              <w:rPr>
                <w:rFonts w:asciiTheme="minorHAnsi" w:eastAsiaTheme="minorEastAsia" w:hAnsiTheme="minorHAnsi" w:cstheme="minorBidi"/>
                <w:kern w:val="2"/>
                <w:sz w:val="24"/>
                <w:szCs w:val="24"/>
                <w:lang w:eastAsia="sl-SI"/>
                <w14:ligatures w14:val="standardContextual"/>
              </w:rPr>
              <w:tab/>
            </w:r>
            <w:r w:rsidRPr="00E14024">
              <w:rPr>
                <w:rStyle w:val="Hiperpovezava"/>
                <w:lang w:eastAsia="sl-SI"/>
              </w:rPr>
              <w:t>Upravni spori glede BPP</w:t>
            </w:r>
            <w:r>
              <w:rPr>
                <w:webHidden/>
              </w:rPr>
              <w:tab/>
            </w:r>
            <w:r>
              <w:rPr>
                <w:webHidden/>
              </w:rPr>
              <w:fldChar w:fldCharType="begin"/>
            </w:r>
            <w:r>
              <w:rPr>
                <w:webHidden/>
              </w:rPr>
              <w:instrText xml:space="preserve"> PAGEREF _Toc223094119 \h </w:instrText>
            </w:r>
            <w:r>
              <w:rPr>
                <w:webHidden/>
              </w:rPr>
            </w:r>
            <w:r>
              <w:rPr>
                <w:webHidden/>
              </w:rPr>
              <w:fldChar w:fldCharType="separate"/>
            </w:r>
            <w:r w:rsidR="00A76D9F">
              <w:rPr>
                <w:webHidden/>
              </w:rPr>
              <w:t>358</w:t>
            </w:r>
            <w:r>
              <w:rPr>
                <w:webHidden/>
              </w:rPr>
              <w:fldChar w:fldCharType="end"/>
            </w:r>
          </w:hyperlink>
        </w:p>
        <w:p w14:paraId="2F0B8ED4" w14:textId="0D06579A"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20" w:history="1">
            <w:r w:rsidRPr="00E14024">
              <w:rPr>
                <w:rStyle w:val="Hiperpovezava"/>
                <w:noProof/>
              </w:rPr>
              <w:t>2.8</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pred Evropskim sodiščem za človekove pravice (ESČP)</w:t>
            </w:r>
            <w:r>
              <w:rPr>
                <w:noProof/>
                <w:webHidden/>
              </w:rPr>
              <w:tab/>
            </w:r>
            <w:r>
              <w:rPr>
                <w:noProof/>
                <w:webHidden/>
              </w:rPr>
              <w:fldChar w:fldCharType="begin"/>
            </w:r>
            <w:r>
              <w:rPr>
                <w:noProof/>
                <w:webHidden/>
              </w:rPr>
              <w:instrText xml:space="preserve"> PAGEREF _Toc223094120 \h </w:instrText>
            </w:r>
            <w:r>
              <w:rPr>
                <w:noProof/>
                <w:webHidden/>
              </w:rPr>
            </w:r>
            <w:r>
              <w:rPr>
                <w:noProof/>
                <w:webHidden/>
              </w:rPr>
              <w:fldChar w:fldCharType="separate"/>
            </w:r>
            <w:r w:rsidR="00A76D9F">
              <w:rPr>
                <w:noProof/>
                <w:webHidden/>
              </w:rPr>
              <w:t>359</w:t>
            </w:r>
            <w:r>
              <w:rPr>
                <w:noProof/>
                <w:webHidden/>
              </w:rPr>
              <w:fldChar w:fldCharType="end"/>
            </w:r>
          </w:hyperlink>
        </w:p>
        <w:p w14:paraId="697320D9" w14:textId="1790DE45"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21" w:history="1">
            <w:r w:rsidRPr="00E14024">
              <w:rPr>
                <w:rStyle w:val="Hiperpovezava"/>
              </w:rPr>
              <w:t>2.8.1</w:t>
            </w:r>
            <w:r>
              <w:rPr>
                <w:rFonts w:asciiTheme="minorHAnsi" w:eastAsiaTheme="minorEastAsia" w:hAnsiTheme="minorHAnsi" w:cstheme="minorBidi"/>
                <w:kern w:val="2"/>
                <w:sz w:val="24"/>
                <w:szCs w:val="24"/>
                <w:lang w:eastAsia="sl-SI"/>
                <w14:ligatures w14:val="standardContextual"/>
              </w:rPr>
              <w:tab/>
            </w:r>
            <w:r w:rsidRPr="00E14024">
              <w:rPr>
                <w:rStyle w:val="Hiperpovezava"/>
              </w:rPr>
              <w:t>Nove zadeve</w:t>
            </w:r>
            <w:r>
              <w:rPr>
                <w:webHidden/>
              </w:rPr>
              <w:tab/>
            </w:r>
            <w:r>
              <w:rPr>
                <w:webHidden/>
              </w:rPr>
              <w:fldChar w:fldCharType="begin"/>
            </w:r>
            <w:r>
              <w:rPr>
                <w:webHidden/>
              </w:rPr>
              <w:instrText xml:space="preserve"> PAGEREF _Toc223094121 \h </w:instrText>
            </w:r>
            <w:r>
              <w:rPr>
                <w:webHidden/>
              </w:rPr>
            </w:r>
            <w:r>
              <w:rPr>
                <w:webHidden/>
              </w:rPr>
              <w:fldChar w:fldCharType="separate"/>
            </w:r>
            <w:r w:rsidR="00A76D9F">
              <w:rPr>
                <w:webHidden/>
              </w:rPr>
              <w:t>360</w:t>
            </w:r>
            <w:r>
              <w:rPr>
                <w:webHidden/>
              </w:rPr>
              <w:fldChar w:fldCharType="end"/>
            </w:r>
          </w:hyperlink>
        </w:p>
        <w:p w14:paraId="00C009C4" w14:textId="791E626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2" w:history="1">
            <w:r w:rsidRPr="00E14024">
              <w:rPr>
                <w:rStyle w:val="Hiperpovezava"/>
              </w:rPr>
              <w:t>2.8.1.1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Gabrijan in drugi proti Sloveniji</w:t>
            </w:r>
            <w:r w:rsidRPr="00E14024">
              <w:rPr>
                <w:rStyle w:val="Hiperpovezava"/>
              </w:rPr>
              <w:t xml:space="preserve">, št. 19722/24 in </w:t>
            </w:r>
            <w:r w:rsidRPr="00E14024">
              <w:rPr>
                <w:rStyle w:val="Hiperpovezava"/>
                <w:i/>
                <w:iCs/>
              </w:rPr>
              <w:t>Kandrič proti Sloveniji</w:t>
            </w:r>
            <w:r w:rsidRPr="00E14024">
              <w:rPr>
                <w:rStyle w:val="Hiperpovezava"/>
              </w:rPr>
              <w:t>, št. 20307/24 20307/24</w:t>
            </w:r>
            <w:r>
              <w:rPr>
                <w:webHidden/>
              </w:rPr>
              <w:tab/>
            </w:r>
            <w:r>
              <w:rPr>
                <w:webHidden/>
              </w:rPr>
              <w:fldChar w:fldCharType="begin"/>
            </w:r>
            <w:r>
              <w:rPr>
                <w:webHidden/>
              </w:rPr>
              <w:instrText xml:space="preserve"> PAGEREF _Toc223094122 \h </w:instrText>
            </w:r>
            <w:r>
              <w:rPr>
                <w:webHidden/>
              </w:rPr>
            </w:r>
            <w:r>
              <w:rPr>
                <w:webHidden/>
              </w:rPr>
              <w:fldChar w:fldCharType="separate"/>
            </w:r>
            <w:r w:rsidR="00A76D9F">
              <w:rPr>
                <w:webHidden/>
              </w:rPr>
              <w:t>360</w:t>
            </w:r>
            <w:r>
              <w:rPr>
                <w:webHidden/>
              </w:rPr>
              <w:fldChar w:fldCharType="end"/>
            </w:r>
          </w:hyperlink>
        </w:p>
        <w:p w14:paraId="62434B04" w14:textId="0042978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3" w:history="1">
            <w:r w:rsidRPr="00E14024">
              <w:rPr>
                <w:rStyle w:val="Hiperpovezava"/>
              </w:rPr>
              <w:t>2.8.1.2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Piščanc in drugi proti Sloveniji</w:t>
            </w:r>
            <w:r w:rsidRPr="00E14024">
              <w:rPr>
                <w:rStyle w:val="Hiperpovezava"/>
              </w:rPr>
              <w:t>, št. 16658/24</w:t>
            </w:r>
            <w:r>
              <w:rPr>
                <w:webHidden/>
              </w:rPr>
              <w:tab/>
            </w:r>
            <w:r>
              <w:rPr>
                <w:webHidden/>
              </w:rPr>
              <w:fldChar w:fldCharType="begin"/>
            </w:r>
            <w:r>
              <w:rPr>
                <w:webHidden/>
              </w:rPr>
              <w:instrText xml:space="preserve"> PAGEREF _Toc223094123 \h </w:instrText>
            </w:r>
            <w:r>
              <w:rPr>
                <w:webHidden/>
              </w:rPr>
            </w:r>
            <w:r>
              <w:rPr>
                <w:webHidden/>
              </w:rPr>
              <w:fldChar w:fldCharType="separate"/>
            </w:r>
            <w:r w:rsidR="00A76D9F">
              <w:rPr>
                <w:webHidden/>
              </w:rPr>
              <w:t>361</w:t>
            </w:r>
            <w:r>
              <w:rPr>
                <w:webHidden/>
              </w:rPr>
              <w:fldChar w:fldCharType="end"/>
            </w:r>
          </w:hyperlink>
        </w:p>
        <w:p w14:paraId="4AA1B5BD" w14:textId="387D6E2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4" w:history="1">
            <w:r w:rsidRPr="00E14024">
              <w:rPr>
                <w:rStyle w:val="Hiperpovezava"/>
              </w:rPr>
              <w:t>2.8.1.3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Vodopivc proti Sloveniji</w:t>
            </w:r>
            <w:r w:rsidRPr="00E14024">
              <w:rPr>
                <w:rStyle w:val="Hiperpovezava"/>
                <w:iCs/>
              </w:rPr>
              <w:t>,</w:t>
            </w:r>
            <w:r w:rsidRPr="00E14024">
              <w:rPr>
                <w:rStyle w:val="Hiperpovezava"/>
              </w:rPr>
              <w:t xml:space="preserve"> št. 25369/22</w:t>
            </w:r>
            <w:r>
              <w:rPr>
                <w:webHidden/>
              </w:rPr>
              <w:tab/>
            </w:r>
            <w:r>
              <w:rPr>
                <w:webHidden/>
              </w:rPr>
              <w:fldChar w:fldCharType="begin"/>
            </w:r>
            <w:r>
              <w:rPr>
                <w:webHidden/>
              </w:rPr>
              <w:instrText xml:space="preserve"> PAGEREF _Toc223094124 \h </w:instrText>
            </w:r>
            <w:r>
              <w:rPr>
                <w:webHidden/>
              </w:rPr>
            </w:r>
            <w:r>
              <w:rPr>
                <w:webHidden/>
              </w:rPr>
              <w:fldChar w:fldCharType="separate"/>
            </w:r>
            <w:r w:rsidR="00A76D9F">
              <w:rPr>
                <w:webHidden/>
              </w:rPr>
              <w:t>362</w:t>
            </w:r>
            <w:r>
              <w:rPr>
                <w:webHidden/>
              </w:rPr>
              <w:fldChar w:fldCharType="end"/>
            </w:r>
          </w:hyperlink>
        </w:p>
        <w:p w14:paraId="38C5FE6F" w14:textId="4446C5A4"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5" w:history="1">
            <w:r w:rsidRPr="00E14024">
              <w:rPr>
                <w:rStyle w:val="Hiperpovezava"/>
              </w:rPr>
              <w:t>2.8.1.4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Kolar proti Sloveniji</w:t>
            </w:r>
            <w:r w:rsidRPr="00E14024">
              <w:rPr>
                <w:rStyle w:val="Hiperpovezava"/>
                <w:iCs/>
              </w:rPr>
              <w:t xml:space="preserve">, </w:t>
            </w:r>
            <w:r w:rsidRPr="00E14024">
              <w:rPr>
                <w:rStyle w:val="Hiperpovezava"/>
              </w:rPr>
              <w:t>št. 626/25</w:t>
            </w:r>
            <w:r>
              <w:rPr>
                <w:webHidden/>
              </w:rPr>
              <w:tab/>
            </w:r>
            <w:r>
              <w:rPr>
                <w:webHidden/>
              </w:rPr>
              <w:fldChar w:fldCharType="begin"/>
            </w:r>
            <w:r>
              <w:rPr>
                <w:webHidden/>
              </w:rPr>
              <w:instrText xml:space="preserve"> PAGEREF _Toc223094125 \h </w:instrText>
            </w:r>
            <w:r>
              <w:rPr>
                <w:webHidden/>
              </w:rPr>
            </w:r>
            <w:r>
              <w:rPr>
                <w:webHidden/>
              </w:rPr>
              <w:fldChar w:fldCharType="separate"/>
            </w:r>
            <w:r w:rsidR="00A76D9F">
              <w:rPr>
                <w:webHidden/>
              </w:rPr>
              <w:t>363</w:t>
            </w:r>
            <w:r>
              <w:rPr>
                <w:webHidden/>
              </w:rPr>
              <w:fldChar w:fldCharType="end"/>
            </w:r>
          </w:hyperlink>
        </w:p>
        <w:p w14:paraId="1EBEBBF2" w14:textId="597DFC38"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6" w:history="1">
            <w:r w:rsidRPr="00E14024">
              <w:rPr>
                <w:rStyle w:val="Hiperpovezava"/>
              </w:rPr>
              <w:t>2.8.1.5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Du Toit proti Sloveniji</w:t>
            </w:r>
            <w:r w:rsidRPr="00E14024">
              <w:rPr>
                <w:rStyle w:val="Hiperpovezava"/>
              </w:rPr>
              <w:t>, št. 418/25</w:t>
            </w:r>
            <w:r>
              <w:rPr>
                <w:webHidden/>
              </w:rPr>
              <w:tab/>
            </w:r>
            <w:r>
              <w:rPr>
                <w:webHidden/>
              </w:rPr>
              <w:fldChar w:fldCharType="begin"/>
            </w:r>
            <w:r>
              <w:rPr>
                <w:webHidden/>
              </w:rPr>
              <w:instrText xml:space="preserve"> PAGEREF _Toc223094126 \h </w:instrText>
            </w:r>
            <w:r>
              <w:rPr>
                <w:webHidden/>
              </w:rPr>
            </w:r>
            <w:r>
              <w:rPr>
                <w:webHidden/>
              </w:rPr>
              <w:fldChar w:fldCharType="separate"/>
            </w:r>
            <w:r w:rsidR="00A76D9F">
              <w:rPr>
                <w:webHidden/>
              </w:rPr>
              <w:t>363</w:t>
            </w:r>
            <w:r>
              <w:rPr>
                <w:webHidden/>
              </w:rPr>
              <w:fldChar w:fldCharType="end"/>
            </w:r>
          </w:hyperlink>
        </w:p>
        <w:p w14:paraId="163D01AB" w14:textId="63D3C04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7" w:history="1">
            <w:r w:rsidRPr="00E14024">
              <w:rPr>
                <w:rStyle w:val="Hiperpovezava"/>
              </w:rPr>
              <w:t>2.8.1.6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Kozole</w:t>
            </w:r>
            <w:r w:rsidRPr="00E14024">
              <w:rPr>
                <w:rStyle w:val="Hiperpovezava"/>
              </w:rPr>
              <w:t xml:space="preserve"> </w:t>
            </w:r>
            <w:r w:rsidRPr="00E14024">
              <w:rPr>
                <w:rStyle w:val="Hiperpovezava"/>
                <w:i/>
                <w:iCs/>
              </w:rPr>
              <w:t>proti Sloveniji</w:t>
            </w:r>
            <w:r w:rsidRPr="00E14024">
              <w:rPr>
                <w:rStyle w:val="Hiperpovezava"/>
              </w:rPr>
              <w:t>, št. 678/25</w:t>
            </w:r>
            <w:r>
              <w:rPr>
                <w:webHidden/>
              </w:rPr>
              <w:tab/>
            </w:r>
            <w:r>
              <w:rPr>
                <w:webHidden/>
              </w:rPr>
              <w:fldChar w:fldCharType="begin"/>
            </w:r>
            <w:r>
              <w:rPr>
                <w:webHidden/>
              </w:rPr>
              <w:instrText xml:space="preserve"> PAGEREF _Toc223094127 \h </w:instrText>
            </w:r>
            <w:r>
              <w:rPr>
                <w:webHidden/>
              </w:rPr>
            </w:r>
            <w:r>
              <w:rPr>
                <w:webHidden/>
              </w:rPr>
              <w:fldChar w:fldCharType="separate"/>
            </w:r>
            <w:r w:rsidR="00A76D9F">
              <w:rPr>
                <w:webHidden/>
              </w:rPr>
              <w:t>363</w:t>
            </w:r>
            <w:r>
              <w:rPr>
                <w:webHidden/>
              </w:rPr>
              <w:fldChar w:fldCharType="end"/>
            </w:r>
          </w:hyperlink>
        </w:p>
        <w:p w14:paraId="3D75ACED" w14:textId="03942417"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8" w:history="1">
            <w:r w:rsidRPr="00E14024">
              <w:rPr>
                <w:rStyle w:val="Hiperpovezava"/>
              </w:rPr>
              <w:t>2.8.1.7</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Čubej</w:t>
            </w:r>
            <w:r w:rsidRPr="00E14024">
              <w:rPr>
                <w:rStyle w:val="Hiperpovezava"/>
              </w:rPr>
              <w:t xml:space="preserve"> </w:t>
            </w:r>
            <w:r w:rsidRPr="00E14024">
              <w:rPr>
                <w:rStyle w:val="Hiperpovezava"/>
                <w:i/>
                <w:iCs/>
              </w:rPr>
              <w:t>proti Sloveniji</w:t>
            </w:r>
            <w:r w:rsidRPr="00E14024">
              <w:rPr>
                <w:rStyle w:val="Hiperpovezava"/>
              </w:rPr>
              <w:t>, št. 1744/25</w:t>
            </w:r>
            <w:r>
              <w:rPr>
                <w:webHidden/>
              </w:rPr>
              <w:tab/>
            </w:r>
            <w:r>
              <w:rPr>
                <w:webHidden/>
              </w:rPr>
              <w:fldChar w:fldCharType="begin"/>
            </w:r>
            <w:r>
              <w:rPr>
                <w:webHidden/>
              </w:rPr>
              <w:instrText xml:space="preserve"> PAGEREF _Toc223094128 \h </w:instrText>
            </w:r>
            <w:r>
              <w:rPr>
                <w:webHidden/>
              </w:rPr>
            </w:r>
            <w:r>
              <w:rPr>
                <w:webHidden/>
              </w:rPr>
              <w:fldChar w:fldCharType="separate"/>
            </w:r>
            <w:r w:rsidR="00A76D9F">
              <w:rPr>
                <w:webHidden/>
              </w:rPr>
              <w:t>363</w:t>
            </w:r>
            <w:r>
              <w:rPr>
                <w:webHidden/>
              </w:rPr>
              <w:fldChar w:fldCharType="end"/>
            </w:r>
          </w:hyperlink>
        </w:p>
        <w:p w14:paraId="6677D597" w14:textId="5DE583A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29" w:history="1">
            <w:r w:rsidRPr="00E14024">
              <w:rPr>
                <w:rStyle w:val="Hiperpovezava"/>
              </w:rPr>
              <w:t>2.8.1.8</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Može</w:t>
            </w:r>
            <w:r w:rsidRPr="00E14024">
              <w:rPr>
                <w:rStyle w:val="Hiperpovezava"/>
              </w:rPr>
              <w:t xml:space="preserve"> </w:t>
            </w:r>
            <w:r w:rsidRPr="00E14024">
              <w:rPr>
                <w:rStyle w:val="Hiperpovezava"/>
                <w:i/>
                <w:iCs/>
              </w:rPr>
              <w:t xml:space="preserve">proti Sloveniji, </w:t>
            </w:r>
            <w:r w:rsidRPr="00E14024">
              <w:rPr>
                <w:rStyle w:val="Hiperpovezava"/>
              </w:rPr>
              <w:t>št. 12950/25</w:t>
            </w:r>
            <w:r>
              <w:rPr>
                <w:webHidden/>
              </w:rPr>
              <w:tab/>
            </w:r>
            <w:r>
              <w:rPr>
                <w:webHidden/>
              </w:rPr>
              <w:fldChar w:fldCharType="begin"/>
            </w:r>
            <w:r>
              <w:rPr>
                <w:webHidden/>
              </w:rPr>
              <w:instrText xml:space="preserve"> PAGEREF _Toc223094129 \h </w:instrText>
            </w:r>
            <w:r>
              <w:rPr>
                <w:webHidden/>
              </w:rPr>
            </w:r>
            <w:r>
              <w:rPr>
                <w:webHidden/>
              </w:rPr>
              <w:fldChar w:fldCharType="separate"/>
            </w:r>
            <w:r w:rsidR="00A76D9F">
              <w:rPr>
                <w:webHidden/>
              </w:rPr>
              <w:t>363</w:t>
            </w:r>
            <w:r>
              <w:rPr>
                <w:webHidden/>
              </w:rPr>
              <w:fldChar w:fldCharType="end"/>
            </w:r>
          </w:hyperlink>
        </w:p>
        <w:p w14:paraId="1E49E55D" w14:textId="6B7E292F"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0" w:history="1">
            <w:r w:rsidRPr="00E14024">
              <w:rPr>
                <w:rStyle w:val="Hiperpovezava"/>
              </w:rPr>
              <w:t>2.8.1.9</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Oblak</w:t>
            </w:r>
            <w:r w:rsidRPr="00E14024">
              <w:rPr>
                <w:rStyle w:val="Hiperpovezava"/>
              </w:rPr>
              <w:t xml:space="preserve"> </w:t>
            </w:r>
            <w:r w:rsidRPr="00E14024">
              <w:rPr>
                <w:rStyle w:val="Hiperpovezava"/>
                <w:i/>
                <w:iCs/>
              </w:rPr>
              <w:t>proti Sloveniji</w:t>
            </w:r>
            <w:r w:rsidRPr="00E14024">
              <w:rPr>
                <w:rStyle w:val="Hiperpovezava"/>
              </w:rPr>
              <w:t>, št. 1748/25</w:t>
            </w:r>
            <w:r>
              <w:rPr>
                <w:webHidden/>
              </w:rPr>
              <w:tab/>
            </w:r>
            <w:r>
              <w:rPr>
                <w:webHidden/>
              </w:rPr>
              <w:fldChar w:fldCharType="begin"/>
            </w:r>
            <w:r>
              <w:rPr>
                <w:webHidden/>
              </w:rPr>
              <w:instrText xml:space="preserve"> PAGEREF _Toc223094130 \h </w:instrText>
            </w:r>
            <w:r>
              <w:rPr>
                <w:webHidden/>
              </w:rPr>
            </w:r>
            <w:r>
              <w:rPr>
                <w:webHidden/>
              </w:rPr>
              <w:fldChar w:fldCharType="separate"/>
            </w:r>
            <w:r w:rsidR="00A76D9F">
              <w:rPr>
                <w:webHidden/>
              </w:rPr>
              <w:t>363</w:t>
            </w:r>
            <w:r>
              <w:rPr>
                <w:webHidden/>
              </w:rPr>
              <w:fldChar w:fldCharType="end"/>
            </w:r>
          </w:hyperlink>
        </w:p>
        <w:p w14:paraId="13F0DCA8" w14:textId="0741600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1" w:history="1">
            <w:r w:rsidRPr="00E14024">
              <w:rPr>
                <w:rStyle w:val="Hiperpovezava"/>
              </w:rPr>
              <w:t>2.8.1.10</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Pajić</w:t>
            </w:r>
            <w:r w:rsidRPr="00E14024">
              <w:rPr>
                <w:rStyle w:val="Hiperpovezava"/>
              </w:rPr>
              <w:t xml:space="preserve"> </w:t>
            </w:r>
            <w:r w:rsidRPr="00E14024">
              <w:rPr>
                <w:rStyle w:val="Hiperpovezava"/>
                <w:i/>
                <w:iCs/>
              </w:rPr>
              <w:t>proti Sloveniji</w:t>
            </w:r>
            <w:r w:rsidRPr="00E14024">
              <w:rPr>
                <w:rStyle w:val="Hiperpovezava"/>
              </w:rPr>
              <w:t>, št. 1742/25</w:t>
            </w:r>
            <w:r>
              <w:rPr>
                <w:webHidden/>
              </w:rPr>
              <w:tab/>
            </w:r>
            <w:r>
              <w:rPr>
                <w:webHidden/>
              </w:rPr>
              <w:fldChar w:fldCharType="begin"/>
            </w:r>
            <w:r>
              <w:rPr>
                <w:webHidden/>
              </w:rPr>
              <w:instrText xml:space="preserve"> PAGEREF _Toc223094131 \h </w:instrText>
            </w:r>
            <w:r>
              <w:rPr>
                <w:webHidden/>
              </w:rPr>
            </w:r>
            <w:r>
              <w:rPr>
                <w:webHidden/>
              </w:rPr>
              <w:fldChar w:fldCharType="separate"/>
            </w:r>
            <w:r w:rsidR="00A76D9F">
              <w:rPr>
                <w:webHidden/>
              </w:rPr>
              <w:t>363</w:t>
            </w:r>
            <w:r>
              <w:rPr>
                <w:webHidden/>
              </w:rPr>
              <w:fldChar w:fldCharType="end"/>
            </w:r>
          </w:hyperlink>
        </w:p>
        <w:p w14:paraId="1A4DD188" w14:textId="65ED333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2" w:history="1">
            <w:r w:rsidRPr="00E14024">
              <w:rPr>
                <w:rStyle w:val="Hiperpovezava"/>
              </w:rPr>
              <w:t>2.8.1.11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Supančić proti Sloveniji</w:t>
            </w:r>
            <w:r w:rsidRPr="00E14024">
              <w:rPr>
                <w:rStyle w:val="Hiperpovezava"/>
              </w:rPr>
              <w:t>, št. 803/25</w:t>
            </w:r>
            <w:r>
              <w:rPr>
                <w:webHidden/>
              </w:rPr>
              <w:tab/>
            </w:r>
            <w:r>
              <w:rPr>
                <w:webHidden/>
              </w:rPr>
              <w:fldChar w:fldCharType="begin"/>
            </w:r>
            <w:r>
              <w:rPr>
                <w:webHidden/>
              </w:rPr>
              <w:instrText xml:space="preserve"> PAGEREF _Toc223094132 \h </w:instrText>
            </w:r>
            <w:r>
              <w:rPr>
                <w:webHidden/>
              </w:rPr>
            </w:r>
            <w:r>
              <w:rPr>
                <w:webHidden/>
              </w:rPr>
              <w:fldChar w:fldCharType="separate"/>
            </w:r>
            <w:r w:rsidR="00A76D9F">
              <w:rPr>
                <w:webHidden/>
              </w:rPr>
              <w:t>363</w:t>
            </w:r>
            <w:r>
              <w:rPr>
                <w:webHidden/>
              </w:rPr>
              <w:fldChar w:fldCharType="end"/>
            </w:r>
          </w:hyperlink>
        </w:p>
        <w:p w14:paraId="366C003C" w14:textId="582C204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3" w:history="1">
            <w:r w:rsidRPr="00E14024">
              <w:rPr>
                <w:rStyle w:val="Hiperpovezava"/>
              </w:rPr>
              <w:t>2.8.1.12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Planinc proti Sloveniji</w:t>
            </w:r>
            <w:r w:rsidRPr="00E14024">
              <w:rPr>
                <w:rStyle w:val="Hiperpovezava"/>
              </w:rPr>
              <w:t>, št. 11982/24</w:t>
            </w:r>
            <w:r>
              <w:rPr>
                <w:webHidden/>
              </w:rPr>
              <w:tab/>
            </w:r>
            <w:r>
              <w:rPr>
                <w:webHidden/>
              </w:rPr>
              <w:fldChar w:fldCharType="begin"/>
            </w:r>
            <w:r>
              <w:rPr>
                <w:webHidden/>
              </w:rPr>
              <w:instrText xml:space="preserve"> PAGEREF _Toc223094133 \h </w:instrText>
            </w:r>
            <w:r>
              <w:rPr>
                <w:webHidden/>
              </w:rPr>
            </w:r>
            <w:r>
              <w:rPr>
                <w:webHidden/>
              </w:rPr>
              <w:fldChar w:fldCharType="separate"/>
            </w:r>
            <w:r w:rsidR="00A76D9F">
              <w:rPr>
                <w:webHidden/>
              </w:rPr>
              <w:t>365</w:t>
            </w:r>
            <w:r>
              <w:rPr>
                <w:webHidden/>
              </w:rPr>
              <w:fldChar w:fldCharType="end"/>
            </w:r>
          </w:hyperlink>
        </w:p>
        <w:p w14:paraId="6851CF9E" w14:textId="09338B5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4" w:history="1">
            <w:r w:rsidRPr="00E14024">
              <w:rPr>
                <w:rStyle w:val="Hiperpovezava"/>
              </w:rPr>
              <w:t>2.8.1.13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Ristić in drugi proti Sloveniji</w:t>
            </w:r>
            <w:r w:rsidRPr="00E14024">
              <w:rPr>
                <w:rStyle w:val="Hiperpovezava"/>
              </w:rPr>
              <w:t>, št. 16807/24</w:t>
            </w:r>
            <w:r>
              <w:rPr>
                <w:webHidden/>
              </w:rPr>
              <w:tab/>
            </w:r>
            <w:r>
              <w:rPr>
                <w:webHidden/>
              </w:rPr>
              <w:fldChar w:fldCharType="begin"/>
            </w:r>
            <w:r>
              <w:rPr>
                <w:webHidden/>
              </w:rPr>
              <w:instrText xml:space="preserve"> PAGEREF _Toc223094134 \h </w:instrText>
            </w:r>
            <w:r>
              <w:rPr>
                <w:webHidden/>
              </w:rPr>
            </w:r>
            <w:r>
              <w:rPr>
                <w:webHidden/>
              </w:rPr>
              <w:fldChar w:fldCharType="separate"/>
            </w:r>
            <w:r w:rsidR="00A76D9F">
              <w:rPr>
                <w:webHidden/>
              </w:rPr>
              <w:t>366</w:t>
            </w:r>
            <w:r>
              <w:rPr>
                <w:webHidden/>
              </w:rPr>
              <w:fldChar w:fldCharType="end"/>
            </w:r>
          </w:hyperlink>
        </w:p>
        <w:p w14:paraId="2596C7BA" w14:textId="4E3EF12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5" w:history="1">
            <w:r w:rsidRPr="00E14024">
              <w:rPr>
                <w:rStyle w:val="Hiperpovezava"/>
              </w:rPr>
              <w:t>2.8.1.14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Marijon proti Sloveniji</w:t>
            </w:r>
            <w:r w:rsidRPr="00E14024">
              <w:rPr>
                <w:rStyle w:val="Hiperpovezava"/>
              </w:rPr>
              <w:t>, št. 729/24</w:t>
            </w:r>
            <w:r>
              <w:rPr>
                <w:webHidden/>
              </w:rPr>
              <w:tab/>
            </w:r>
            <w:r>
              <w:rPr>
                <w:webHidden/>
              </w:rPr>
              <w:fldChar w:fldCharType="begin"/>
            </w:r>
            <w:r>
              <w:rPr>
                <w:webHidden/>
              </w:rPr>
              <w:instrText xml:space="preserve"> PAGEREF _Toc223094135 \h </w:instrText>
            </w:r>
            <w:r>
              <w:rPr>
                <w:webHidden/>
              </w:rPr>
            </w:r>
            <w:r>
              <w:rPr>
                <w:webHidden/>
              </w:rPr>
              <w:fldChar w:fldCharType="separate"/>
            </w:r>
            <w:r w:rsidR="00A76D9F">
              <w:rPr>
                <w:webHidden/>
              </w:rPr>
              <w:t>367</w:t>
            </w:r>
            <w:r>
              <w:rPr>
                <w:webHidden/>
              </w:rPr>
              <w:fldChar w:fldCharType="end"/>
            </w:r>
          </w:hyperlink>
        </w:p>
        <w:p w14:paraId="2478F08E" w14:textId="7C90D522"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6" w:history="1">
            <w:r w:rsidRPr="00E14024">
              <w:rPr>
                <w:rStyle w:val="Hiperpovezava"/>
              </w:rPr>
              <w:t>2.8.1.15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Giuliatti Bajželj proti Sloveniji</w:t>
            </w:r>
            <w:r w:rsidRPr="00E14024">
              <w:rPr>
                <w:rStyle w:val="Hiperpovezava"/>
              </w:rPr>
              <w:t>, št. 3316/25</w:t>
            </w:r>
            <w:r>
              <w:rPr>
                <w:webHidden/>
              </w:rPr>
              <w:tab/>
            </w:r>
            <w:r>
              <w:rPr>
                <w:webHidden/>
              </w:rPr>
              <w:fldChar w:fldCharType="begin"/>
            </w:r>
            <w:r>
              <w:rPr>
                <w:webHidden/>
              </w:rPr>
              <w:instrText xml:space="preserve"> PAGEREF _Toc223094136 \h </w:instrText>
            </w:r>
            <w:r>
              <w:rPr>
                <w:webHidden/>
              </w:rPr>
            </w:r>
            <w:r>
              <w:rPr>
                <w:webHidden/>
              </w:rPr>
              <w:fldChar w:fldCharType="separate"/>
            </w:r>
            <w:r w:rsidR="00A76D9F">
              <w:rPr>
                <w:webHidden/>
              </w:rPr>
              <w:t>368</w:t>
            </w:r>
            <w:r>
              <w:rPr>
                <w:webHidden/>
              </w:rPr>
              <w:fldChar w:fldCharType="end"/>
            </w:r>
          </w:hyperlink>
        </w:p>
        <w:p w14:paraId="4EB14416" w14:textId="45AD54C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7" w:history="1">
            <w:r w:rsidRPr="00E14024">
              <w:rPr>
                <w:rStyle w:val="Hiperpovezava"/>
              </w:rPr>
              <w:t>2.8.1.16</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Eržen</w:t>
            </w:r>
            <w:r w:rsidRPr="00E14024">
              <w:rPr>
                <w:rStyle w:val="Hiperpovezava"/>
              </w:rPr>
              <w:t xml:space="preserve"> </w:t>
            </w:r>
            <w:r w:rsidRPr="00E14024">
              <w:rPr>
                <w:rStyle w:val="Hiperpovezava"/>
                <w:i/>
                <w:iCs/>
              </w:rPr>
              <w:t>proti Sloveniji</w:t>
            </w:r>
            <w:r w:rsidRPr="00E14024">
              <w:rPr>
                <w:rStyle w:val="Hiperpovezava"/>
              </w:rPr>
              <w:t>, št. 13205/25</w:t>
            </w:r>
            <w:r>
              <w:rPr>
                <w:webHidden/>
              </w:rPr>
              <w:tab/>
            </w:r>
            <w:r>
              <w:rPr>
                <w:webHidden/>
              </w:rPr>
              <w:fldChar w:fldCharType="begin"/>
            </w:r>
            <w:r>
              <w:rPr>
                <w:webHidden/>
              </w:rPr>
              <w:instrText xml:space="preserve"> PAGEREF _Toc223094137 \h </w:instrText>
            </w:r>
            <w:r>
              <w:rPr>
                <w:webHidden/>
              </w:rPr>
            </w:r>
            <w:r>
              <w:rPr>
                <w:webHidden/>
              </w:rPr>
              <w:fldChar w:fldCharType="separate"/>
            </w:r>
            <w:r w:rsidR="00A76D9F">
              <w:rPr>
                <w:webHidden/>
              </w:rPr>
              <w:t>369</w:t>
            </w:r>
            <w:r>
              <w:rPr>
                <w:webHidden/>
              </w:rPr>
              <w:fldChar w:fldCharType="end"/>
            </w:r>
          </w:hyperlink>
        </w:p>
        <w:p w14:paraId="018DEB4B" w14:textId="47104B2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8" w:history="1">
            <w:r w:rsidRPr="00E14024">
              <w:rPr>
                <w:rStyle w:val="Hiperpovezava"/>
              </w:rPr>
              <w:t>2.8.1.17</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Janša</w:t>
            </w:r>
            <w:r w:rsidRPr="00E14024">
              <w:rPr>
                <w:rStyle w:val="Hiperpovezava"/>
              </w:rPr>
              <w:t xml:space="preserve"> </w:t>
            </w:r>
            <w:r w:rsidRPr="00E14024">
              <w:rPr>
                <w:rStyle w:val="Hiperpovezava"/>
                <w:i/>
                <w:iCs/>
              </w:rPr>
              <w:t>proti Sloveniji</w:t>
            </w:r>
            <w:r w:rsidRPr="00E14024">
              <w:rPr>
                <w:rStyle w:val="Hiperpovezava"/>
              </w:rPr>
              <w:t>, št. 21308/24</w:t>
            </w:r>
            <w:r>
              <w:rPr>
                <w:webHidden/>
              </w:rPr>
              <w:tab/>
            </w:r>
            <w:r>
              <w:rPr>
                <w:webHidden/>
              </w:rPr>
              <w:fldChar w:fldCharType="begin"/>
            </w:r>
            <w:r>
              <w:rPr>
                <w:webHidden/>
              </w:rPr>
              <w:instrText xml:space="preserve"> PAGEREF _Toc223094138 \h </w:instrText>
            </w:r>
            <w:r>
              <w:rPr>
                <w:webHidden/>
              </w:rPr>
            </w:r>
            <w:r>
              <w:rPr>
                <w:webHidden/>
              </w:rPr>
              <w:fldChar w:fldCharType="separate"/>
            </w:r>
            <w:r w:rsidR="00A76D9F">
              <w:rPr>
                <w:webHidden/>
              </w:rPr>
              <w:t>369</w:t>
            </w:r>
            <w:r>
              <w:rPr>
                <w:webHidden/>
              </w:rPr>
              <w:fldChar w:fldCharType="end"/>
            </w:r>
          </w:hyperlink>
        </w:p>
        <w:p w14:paraId="3C8853EB" w14:textId="58858B8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39" w:history="1">
            <w:r w:rsidRPr="00E14024">
              <w:rPr>
                <w:rStyle w:val="Hiperpovezava"/>
              </w:rPr>
              <w:t>2.8.1.18</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S. T. proti Sloveniji</w:t>
            </w:r>
            <w:r w:rsidRPr="00E14024">
              <w:rPr>
                <w:rStyle w:val="Hiperpovezava"/>
              </w:rPr>
              <w:t>, št. 30205/25</w:t>
            </w:r>
            <w:r>
              <w:rPr>
                <w:webHidden/>
              </w:rPr>
              <w:tab/>
            </w:r>
            <w:r>
              <w:rPr>
                <w:webHidden/>
              </w:rPr>
              <w:fldChar w:fldCharType="begin"/>
            </w:r>
            <w:r>
              <w:rPr>
                <w:webHidden/>
              </w:rPr>
              <w:instrText xml:space="preserve"> PAGEREF _Toc223094139 \h </w:instrText>
            </w:r>
            <w:r>
              <w:rPr>
                <w:webHidden/>
              </w:rPr>
            </w:r>
            <w:r>
              <w:rPr>
                <w:webHidden/>
              </w:rPr>
              <w:fldChar w:fldCharType="separate"/>
            </w:r>
            <w:r w:rsidR="00A76D9F">
              <w:rPr>
                <w:webHidden/>
              </w:rPr>
              <w:t>370</w:t>
            </w:r>
            <w:r>
              <w:rPr>
                <w:webHidden/>
              </w:rPr>
              <w:fldChar w:fldCharType="end"/>
            </w:r>
          </w:hyperlink>
        </w:p>
        <w:p w14:paraId="550836A3" w14:textId="16D2F20E"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40" w:history="1">
            <w:r w:rsidRPr="00E14024">
              <w:rPr>
                <w:rStyle w:val="Hiperpovezava"/>
              </w:rPr>
              <w:t>2.8.1.19</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i/>
                <w:iCs/>
              </w:rPr>
              <w:t>Regvar proti Sloveniji</w:t>
            </w:r>
            <w:r w:rsidRPr="00E14024">
              <w:rPr>
                <w:rStyle w:val="Hiperpovezava"/>
              </w:rPr>
              <w:t>, št. 36538/25</w:t>
            </w:r>
            <w:r>
              <w:rPr>
                <w:webHidden/>
              </w:rPr>
              <w:tab/>
            </w:r>
            <w:r>
              <w:rPr>
                <w:webHidden/>
              </w:rPr>
              <w:fldChar w:fldCharType="begin"/>
            </w:r>
            <w:r>
              <w:rPr>
                <w:webHidden/>
              </w:rPr>
              <w:instrText xml:space="preserve"> PAGEREF _Toc223094140 \h </w:instrText>
            </w:r>
            <w:r>
              <w:rPr>
                <w:webHidden/>
              </w:rPr>
            </w:r>
            <w:r>
              <w:rPr>
                <w:webHidden/>
              </w:rPr>
              <w:fldChar w:fldCharType="separate"/>
            </w:r>
            <w:r w:rsidR="00A76D9F">
              <w:rPr>
                <w:webHidden/>
              </w:rPr>
              <w:t>371</w:t>
            </w:r>
            <w:r>
              <w:rPr>
                <w:webHidden/>
              </w:rPr>
              <w:fldChar w:fldCharType="end"/>
            </w:r>
          </w:hyperlink>
        </w:p>
        <w:p w14:paraId="3724EF78" w14:textId="5C27F50A"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41" w:history="1">
            <w:r w:rsidRPr="00E14024">
              <w:rPr>
                <w:rStyle w:val="Hiperpovezava"/>
              </w:rPr>
              <w:t>2.8.2</w:t>
            </w:r>
            <w:r>
              <w:rPr>
                <w:rFonts w:asciiTheme="minorHAnsi" w:eastAsiaTheme="minorEastAsia" w:hAnsiTheme="minorHAnsi" w:cstheme="minorBidi"/>
                <w:kern w:val="2"/>
                <w:sz w:val="24"/>
                <w:szCs w:val="24"/>
                <w:lang w:eastAsia="sl-SI"/>
                <w14:ligatures w14:val="standardContextual"/>
              </w:rPr>
              <w:tab/>
            </w:r>
            <w:r w:rsidRPr="00E14024">
              <w:rPr>
                <w:rStyle w:val="Hiperpovezava"/>
              </w:rPr>
              <w:t>Pomembnejše zaključene zadeve</w:t>
            </w:r>
            <w:r>
              <w:rPr>
                <w:webHidden/>
              </w:rPr>
              <w:tab/>
            </w:r>
            <w:r>
              <w:rPr>
                <w:webHidden/>
              </w:rPr>
              <w:fldChar w:fldCharType="begin"/>
            </w:r>
            <w:r>
              <w:rPr>
                <w:webHidden/>
              </w:rPr>
              <w:instrText xml:space="preserve"> PAGEREF _Toc223094141 \h </w:instrText>
            </w:r>
            <w:r>
              <w:rPr>
                <w:webHidden/>
              </w:rPr>
            </w:r>
            <w:r>
              <w:rPr>
                <w:webHidden/>
              </w:rPr>
              <w:fldChar w:fldCharType="separate"/>
            </w:r>
            <w:r w:rsidR="00A76D9F">
              <w:rPr>
                <w:webHidden/>
              </w:rPr>
              <w:t>373</w:t>
            </w:r>
            <w:r>
              <w:rPr>
                <w:webHidden/>
              </w:rPr>
              <w:fldChar w:fldCharType="end"/>
            </w:r>
          </w:hyperlink>
        </w:p>
        <w:p w14:paraId="1F03A9C9" w14:textId="36C30605"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42" w:history="1">
            <w:r w:rsidRPr="00E14024">
              <w:rPr>
                <w:rStyle w:val="Hiperpovezava"/>
              </w:rPr>
              <w:t>2.8.2.1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Sodba, s katero je bila ugotovljena kršitev konvencije</w:t>
            </w:r>
            <w:r>
              <w:rPr>
                <w:webHidden/>
              </w:rPr>
              <w:tab/>
            </w:r>
            <w:r>
              <w:rPr>
                <w:webHidden/>
              </w:rPr>
              <w:fldChar w:fldCharType="begin"/>
            </w:r>
            <w:r>
              <w:rPr>
                <w:webHidden/>
              </w:rPr>
              <w:instrText xml:space="preserve"> PAGEREF _Toc223094142 \h </w:instrText>
            </w:r>
            <w:r>
              <w:rPr>
                <w:webHidden/>
              </w:rPr>
            </w:r>
            <w:r>
              <w:rPr>
                <w:webHidden/>
              </w:rPr>
              <w:fldChar w:fldCharType="separate"/>
            </w:r>
            <w:r w:rsidR="00A76D9F">
              <w:rPr>
                <w:webHidden/>
              </w:rPr>
              <w:t>373</w:t>
            </w:r>
            <w:r>
              <w:rPr>
                <w:webHidden/>
              </w:rPr>
              <w:fldChar w:fldCharType="end"/>
            </w:r>
          </w:hyperlink>
        </w:p>
        <w:p w14:paraId="6A9539AA" w14:textId="6463975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43" w:history="1">
            <w:r w:rsidRPr="00E14024">
              <w:rPr>
                <w:rStyle w:val="Hiperpovezava"/>
              </w:rPr>
              <w:t>2.8.2.1.1</w:t>
            </w:r>
            <w:r>
              <w:rPr>
                <w:rFonts w:asciiTheme="minorHAnsi" w:eastAsiaTheme="minorEastAsia" w:hAnsiTheme="minorHAnsi" w:cstheme="minorBidi"/>
                <w:kern w:val="2"/>
                <w:sz w:val="24"/>
                <w:szCs w:val="24"/>
                <w:lang w:eastAsia="sl-SI"/>
                <w14:ligatures w14:val="standardContextual"/>
              </w:rPr>
              <w:tab/>
            </w:r>
            <w:r w:rsidRPr="00E14024">
              <w:rPr>
                <w:rStyle w:val="Hiperpovezava"/>
                <w:i/>
              </w:rPr>
              <w:t>Gorše proti Sloveniji</w:t>
            </w:r>
            <w:r w:rsidRPr="00E14024">
              <w:rPr>
                <w:rStyle w:val="Hiperpovezava"/>
              </w:rPr>
              <w:t xml:space="preserve">, št. </w:t>
            </w:r>
            <w:r w:rsidRPr="00E14024">
              <w:rPr>
                <w:rStyle w:val="Hiperpovezava"/>
                <w:shd w:val="clear" w:color="auto" w:fill="FFFFFF"/>
              </w:rPr>
              <w:t>47186/21</w:t>
            </w:r>
            <w:r>
              <w:rPr>
                <w:webHidden/>
              </w:rPr>
              <w:tab/>
            </w:r>
            <w:r>
              <w:rPr>
                <w:webHidden/>
              </w:rPr>
              <w:fldChar w:fldCharType="begin"/>
            </w:r>
            <w:r>
              <w:rPr>
                <w:webHidden/>
              </w:rPr>
              <w:instrText xml:space="preserve"> PAGEREF _Toc223094143 \h </w:instrText>
            </w:r>
            <w:r>
              <w:rPr>
                <w:webHidden/>
              </w:rPr>
            </w:r>
            <w:r>
              <w:rPr>
                <w:webHidden/>
              </w:rPr>
              <w:fldChar w:fldCharType="separate"/>
            </w:r>
            <w:r w:rsidR="00A76D9F">
              <w:rPr>
                <w:webHidden/>
              </w:rPr>
              <w:t>373</w:t>
            </w:r>
            <w:r>
              <w:rPr>
                <w:webHidden/>
              </w:rPr>
              <w:fldChar w:fldCharType="end"/>
            </w:r>
          </w:hyperlink>
        </w:p>
        <w:p w14:paraId="79D2310E" w14:textId="635EAA2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44" w:history="1">
            <w:r w:rsidRPr="00E14024">
              <w:rPr>
                <w:rStyle w:val="Hiperpovezava"/>
              </w:rPr>
              <w:t>2.8.2.2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Sklepi o nesprejemljivosti pritožb zaradi očitne neutemeljenosti</w:t>
            </w:r>
            <w:r>
              <w:rPr>
                <w:webHidden/>
              </w:rPr>
              <w:tab/>
            </w:r>
            <w:r>
              <w:rPr>
                <w:webHidden/>
              </w:rPr>
              <w:fldChar w:fldCharType="begin"/>
            </w:r>
            <w:r>
              <w:rPr>
                <w:webHidden/>
              </w:rPr>
              <w:instrText xml:space="preserve"> PAGEREF _Toc223094144 \h </w:instrText>
            </w:r>
            <w:r>
              <w:rPr>
                <w:webHidden/>
              </w:rPr>
            </w:r>
            <w:r>
              <w:rPr>
                <w:webHidden/>
              </w:rPr>
              <w:fldChar w:fldCharType="separate"/>
            </w:r>
            <w:r w:rsidR="00A76D9F">
              <w:rPr>
                <w:webHidden/>
              </w:rPr>
              <w:t>377</w:t>
            </w:r>
            <w:r>
              <w:rPr>
                <w:webHidden/>
              </w:rPr>
              <w:fldChar w:fldCharType="end"/>
            </w:r>
          </w:hyperlink>
        </w:p>
        <w:p w14:paraId="0FB0E16C" w14:textId="183039C5"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45" w:history="1">
            <w:r w:rsidRPr="00E14024">
              <w:rPr>
                <w:rStyle w:val="Hiperpovezava"/>
              </w:rPr>
              <w:t>2.8.2.2.1</w:t>
            </w:r>
            <w:r>
              <w:rPr>
                <w:rFonts w:asciiTheme="minorHAnsi" w:eastAsiaTheme="minorEastAsia" w:hAnsiTheme="minorHAnsi" w:cstheme="minorBidi"/>
                <w:kern w:val="2"/>
                <w:sz w:val="24"/>
                <w:szCs w:val="24"/>
                <w:lang w:eastAsia="sl-SI"/>
                <w14:ligatures w14:val="standardContextual"/>
              </w:rPr>
              <w:tab/>
            </w:r>
            <w:r w:rsidRPr="00E14024">
              <w:rPr>
                <w:rStyle w:val="Hiperpovezava"/>
                <w:i/>
                <w:iCs/>
              </w:rPr>
              <w:t>SIP NEPREMIČNINE d. o. o. proti Sloveniji</w:t>
            </w:r>
            <w:r w:rsidRPr="00E14024">
              <w:rPr>
                <w:rStyle w:val="Hiperpovezava"/>
              </w:rPr>
              <w:t xml:space="preserve">, št. </w:t>
            </w:r>
            <w:r w:rsidRPr="00E14024">
              <w:rPr>
                <w:rStyle w:val="Hiperpovezava"/>
                <w:lang w:eastAsia="sl-SI"/>
              </w:rPr>
              <w:t>26267/22</w:t>
            </w:r>
            <w:r>
              <w:rPr>
                <w:webHidden/>
              </w:rPr>
              <w:tab/>
            </w:r>
            <w:r>
              <w:rPr>
                <w:webHidden/>
              </w:rPr>
              <w:fldChar w:fldCharType="begin"/>
            </w:r>
            <w:r>
              <w:rPr>
                <w:webHidden/>
              </w:rPr>
              <w:instrText xml:space="preserve"> PAGEREF _Toc223094145 \h </w:instrText>
            </w:r>
            <w:r>
              <w:rPr>
                <w:webHidden/>
              </w:rPr>
            </w:r>
            <w:r>
              <w:rPr>
                <w:webHidden/>
              </w:rPr>
              <w:fldChar w:fldCharType="separate"/>
            </w:r>
            <w:r w:rsidR="00A76D9F">
              <w:rPr>
                <w:webHidden/>
              </w:rPr>
              <w:t>377</w:t>
            </w:r>
            <w:r>
              <w:rPr>
                <w:webHidden/>
              </w:rPr>
              <w:fldChar w:fldCharType="end"/>
            </w:r>
          </w:hyperlink>
        </w:p>
        <w:p w14:paraId="0FC49F1D" w14:textId="5BF8373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46" w:history="1">
            <w:r w:rsidRPr="00E14024">
              <w:rPr>
                <w:rStyle w:val="Hiperpovezava"/>
              </w:rPr>
              <w:t>2.8.2.2.2</w:t>
            </w:r>
            <w:r>
              <w:rPr>
                <w:rFonts w:asciiTheme="minorHAnsi" w:eastAsiaTheme="minorEastAsia" w:hAnsiTheme="minorHAnsi" w:cstheme="minorBidi"/>
                <w:kern w:val="2"/>
                <w:sz w:val="24"/>
                <w:szCs w:val="24"/>
                <w:lang w:eastAsia="sl-SI"/>
                <w14:ligatures w14:val="standardContextual"/>
              </w:rPr>
              <w:tab/>
            </w:r>
            <w:r w:rsidRPr="00E14024">
              <w:rPr>
                <w:rStyle w:val="Hiperpovezava"/>
                <w:i/>
                <w:iCs/>
                <w:lang w:eastAsia="sl-SI"/>
              </w:rPr>
              <w:t>Janković proti Sloveniji</w:t>
            </w:r>
            <w:r w:rsidRPr="00E14024">
              <w:rPr>
                <w:rStyle w:val="Hiperpovezava"/>
                <w:lang w:eastAsia="sl-SI"/>
              </w:rPr>
              <w:t>, št. 15118/22</w:t>
            </w:r>
            <w:r>
              <w:rPr>
                <w:webHidden/>
              </w:rPr>
              <w:tab/>
            </w:r>
            <w:r>
              <w:rPr>
                <w:webHidden/>
              </w:rPr>
              <w:fldChar w:fldCharType="begin"/>
            </w:r>
            <w:r>
              <w:rPr>
                <w:webHidden/>
              </w:rPr>
              <w:instrText xml:space="preserve"> PAGEREF _Toc223094146 \h </w:instrText>
            </w:r>
            <w:r>
              <w:rPr>
                <w:webHidden/>
              </w:rPr>
            </w:r>
            <w:r>
              <w:rPr>
                <w:webHidden/>
              </w:rPr>
              <w:fldChar w:fldCharType="separate"/>
            </w:r>
            <w:r w:rsidR="00A76D9F">
              <w:rPr>
                <w:webHidden/>
              </w:rPr>
              <w:t>379</w:t>
            </w:r>
            <w:r>
              <w:rPr>
                <w:webHidden/>
              </w:rPr>
              <w:fldChar w:fldCharType="end"/>
            </w:r>
          </w:hyperlink>
        </w:p>
        <w:p w14:paraId="0518DBD4" w14:textId="34E04AD0"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47" w:history="1">
            <w:r w:rsidRPr="00E14024">
              <w:rPr>
                <w:rStyle w:val="Hiperpovezava"/>
              </w:rPr>
              <w:t>2.8.2.2.3</w:t>
            </w:r>
            <w:r>
              <w:rPr>
                <w:rFonts w:asciiTheme="minorHAnsi" w:eastAsiaTheme="minorEastAsia" w:hAnsiTheme="minorHAnsi" w:cstheme="minorBidi"/>
                <w:kern w:val="2"/>
                <w:sz w:val="24"/>
                <w:szCs w:val="24"/>
                <w:lang w:eastAsia="sl-SI"/>
                <w14:ligatures w14:val="standardContextual"/>
              </w:rPr>
              <w:tab/>
            </w:r>
            <w:r w:rsidRPr="00E14024">
              <w:rPr>
                <w:rStyle w:val="Hiperpovezava"/>
                <w:i/>
                <w:iCs/>
                <w:lang w:eastAsia="sl-SI"/>
              </w:rPr>
              <w:t>D. J. proti Sloveniji</w:t>
            </w:r>
            <w:r w:rsidRPr="00E14024">
              <w:rPr>
                <w:rStyle w:val="Hiperpovezava"/>
                <w:lang w:eastAsia="sl-SI"/>
              </w:rPr>
              <w:t>, št. 29265/22</w:t>
            </w:r>
            <w:r>
              <w:rPr>
                <w:webHidden/>
              </w:rPr>
              <w:tab/>
            </w:r>
            <w:r>
              <w:rPr>
                <w:webHidden/>
              </w:rPr>
              <w:fldChar w:fldCharType="begin"/>
            </w:r>
            <w:r>
              <w:rPr>
                <w:webHidden/>
              </w:rPr>
              <w:instrText xml:space="preserve"> PAGEREF _Toc223094147 \h </w:instrText>
            </w:r>
            <w:r>
              <w:rPr>
                <w:webHidden/>
              </w:rPr>
            </w:r>
            <w:r>
              <w:rPr>
                <w:webHidden/>
              </w:rPr>
              <w:fldChar w:fldCharType="separate"/>
            </w:r>
            <w:r w:rsidR="00A76D9F">
              <w:rPr>
                <w:webHidden/>
              </w:rPr>
              <w:t>381</w:t>
            </w:r>
            <w:r>
              <w:rPr>
                <w:webHidden/>
              </w:rPr>
              <w:fldChar w:fldCharType="end"/>
            </w:r>
          </w:hyperlink>
        </w:p>
        <w:p w14:paraId="25B601A6" w14:textId="5047121C"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48" w:history="1">
            <w:r w:rsidRPr="00E14024">
              <w:rPr>
                <w:rStyle w:val="Hiperpovezava"/>
                <w:lang w:eastAsia="sl-SI"/>
              </w:rPr>
              <w:t>2.8.2.2.4</w:t>
            </w:r>
            <w:r>
              <w:rPr>
                <w:rFonts w:asciiTheme="minorHAnsi" w:eastAsiaTheme="minorEastAsia" w:hAnsiTheme="minorHAnsi" w:cstheme="minorBidi"/>
                <w:kern w:val="2"/>
                <w:sz w:val="24"/>
                <w:szCs w:val="24"/>
                <w:lang w:eastAsia="sl-SI"/>
                <w14:ligatures w14:val="standardContextual"/>
              </w:rPr>
              <w:tab/>
            </w:r>
            <w:r w:rsidRPr="00E14024">
              <w:rPr>
                <w:rStyle w:val="Hiperpovezava"/>
                <w:i/>
                <w:iCs/>
                <w:lang w:eastAsia="sl-SI"/>
              </w:rPr>
              <w:t>P. R. proti Sloveniji</w:t>
            </w:r>
            <w:r w:rsidRPr="00E14024">
              <w:rPr>
                <w:rStyle w:val="Hiperpovezava"/>
                <w:lang w:eastAsia="sl-SI"/>
              </w:rPr>
              <w:t>, št. 11101/21</w:t>
            </w:r>
            <w:r>
              <w:rPr>
                <w:webHidden/>
              </w:rPr>
              <w:tab/>
            </w:r>
            <w:r>
              <w:rPr>
                <w:webHidden/>
              </w:rPr>
              <w:fldChar w:fldCharType="begin"/>
            </w:r>
            <w:r>
              <w:rPr>
                <w:webHidden/>
              </w:rPr>
              <w:instrText xml:space="preserve"> PAGEREF _Toc223094148 \h </w:instrText>
            </w:r>
            <w:r>
              <w:rPr>
                <w:webHidden/>
              </w:rPr>
            </w:r>
            <w:r>
              <w:rPr>
                <w:webHidden/>
              </w:rPr>
              <w:fldChar w:fldCharType="separate"/>
            </w:r>
            <w:r w:rsidR="00A76D9F">
              <w:rPr>
                <w:webHidden/>
              </w:rPr>
              <w:t>383</w:t>
            </w:r>
            <w:r>
              <w:rPr>
                <w:webHidden/>
              </w:rPr>
              <w:fldChar w:fldCharType="end"/>
            </w:r>
          </w:hyperlink>
        </w:p>
        <w:p w14:paraId="526A0888" w14:textId="69651CF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49" w:history="1">
            <w:r w:rsidRPr="00E14024">
              <w:rPr>
                <w:rStyle w:val="Hiperpovezava"/>
              </w:rPr>
              <w:t>2.8.2.2.5</w:t>
            </w:r>
            <w:r>
              <w:rPr>
                <w:rFonts w:asciiTheme="minorHAnsi" w:eastAsiaTheme="minorEastAsia" w:hAnsiTheme="minorHAnsi" w:cstheme="minorBidi"/>
                <w:kern w:val="2"/>
                <w:sz w:val="24"/>
                <w:szCs w:val="24"/>
                <w:lang w:eastAsia="sl-SI"/>
                <w14:ligatures w14:val="standardContextual"/>
              </w:rPr>
              <w:tab/>
            </w:r>
            <w:r w:rsidRPr="00E14024">
              <w:rPr>
                <w:rStyle w:val="Hiperpovezava"/>
                <w:i/>
                <w:iCs/>
                <w:shd w:val="clear" w:color="auto" w:fill="FFFFFF"/>
              </w:rPr>
              <w:t>Piro Planet d.o.o. proti Sloveniji</w:t>
            </w:r>
            <w:r>
              <w:rPr>
                <w:webHidden/>
              </w:rPr>
              <w:tab/>
            </w:r>
            <w:r>
              <w:rPr>
                <w:webHidden/>
              </w:rPr>
              <w:fldChar w:fldCharType="begin"/>
            </w:r>
            <w:r>
              <w:rPr>
                <w:webHidden/>
              </w:rPr>
              <w:instrText xml:space="preserve"> PAGEREF _Toc223094149 \h </w:instrText>
            </w:r>
            <w:r>
              <w:rPr>
                <w:webHidden/>
              </w:rPr>
            </w:r>
            <w:r>
              <w:rPr>
                <w:webHidden/>
              </w:rPr>
              <w:fldChar w:fldCharType="separate"/>
            </w:r>
            <w:r w:rsidR="00A76D9F">
              <w:rPr>
                <w:webHidden/>
              </w:rPr>
              <w:t>384</w:t>
            </w:r>
            <w:r>
              <w:rPr>
                <w:webHidden/>
              </w:rPr>
              <w:fldChar w:fldCharType="end"/>
            </w:r>
          </w:hyperlink>
        </w:p>
        <w:p w14:paraId="48D63155" w14:textId="5EACFCD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50" w:history="1">
            <w:r w:rsidRPr="00E14024">
              <w:rPr>
                <w:rStyle w:val="Hiperpovezava"/>
                <w:rFonts w:eastAsia="Aptos"/>
              </w:rPr>
              <w:t>2.8.2.3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Fonts w:eastAsia="Aptos"/>
              </w:rPr>
              <w:t>Sklep o nedopustnosti zadev zaradi ne izčrpanja domačih pravnih sredstev</w:t>
            </w:r>
            <w:r>
              <w:rPr>
                <w:webHidden/>
              </w:rPr>
              <w:tab/>
            </w:r>
            <w:r>
              <w:rPr>
                <w:webHidden/>
              </w:rPr>
              <w:fldChar w:fldCharType="begin"/>
            </w:r>
            <w:r>
              <w:rPr>
                <w:webHidden/>
              </w:rPr>
              <w:instrText xml:space="preserve"> PAGEREF _Toc223094150 \h </w:instrText>
            </w:r>
            <w:r>
              <w:rPr>
                <w:webHidden/>
              </w:rPr>
            </w:r>
            <w:r>
              <w:rPr>
                <w:webHidden/>
              </w:rPr>
              <w:fldChar w:fldCharType="separate"/>
            </w:r>
            <w:r w:rsidR="00A76D9F">
              <w:rPr>
                <w:webHidden/>
              </w:rPr>
              <w:t>385</w:t>
            </w:r>
            <w:r>
              <w:rPr>
                <w:webHidden/>
              </w:rPr>
              <w:fldChar w:fldCharType="end"/>
            </w:r>
          </w:hyperlink>
        </w:p>
        <w:p w14:paraId="5C2F613E" w14:textId="62355A76"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51" w:history="1">
            <w:r w:rsidRPr="00E14024">
              <w:rPr>
                <w:rStyle w:val="Hiperpovezava"/>
              </w:rPr>
              <w:t>2.8.2.3.1</w:t>
            </w:r>
            <w:r>
              <w:rPr>
                <w:rFonts w:asciiTheme="minorHAnsi" w:eastAsiaTheme="minorEastAsia" w:hAnsiTheme="minorHAnsi" w:cstheme="minorBidi"/>
                <w:kern w:val="2"/>
                <w:sz w:val="24"/>
                <w:szCs w:val="24"/>
                <w:lang w:eastAsia="sl-SI"/>
                <w14:ligatures w14:val="standardContextual"/>
              </w:rPr>
              <w:tab/>
            </w:r>
            <w:r w:rsidRPr="00E14024">
              <w:rPr>
                <w:rStyle w:val="Hiperpovezava"/>
                <w:i/>
                <w:iCs/>
              </w:rPr>
              <w:t xml:space="preserve">Kotnik in Jukič, </w:t>
            </w:r>
            <w:r w:rsidRPr="00E14024">
              <w:rPr>
                <w:rStyle w:val="Hiperpovezava"/>
              </w:rPr>
              <w:t xml:space="preserve">št. </w:t>
            </w:r>
            <w:r w:rsidRPr="00E14024">
              <w:rPr>
                <w:rStyle w:val="Hiperpovezava"/>
                <w:lang w:eastAsia="sl-SI"/>
              </w:rPr>
              <w:t>56605/19 in 25424/23</w:t>
            </w:r>
            <w:r>
              <w:rPr>
                <w:webHidden/>
              </w:rPr>
              <w:tab/>
            </w:r>
            <w:r>
              <w:rPr>
                <w:webHidden/>
              </w:rPr>
              <w:fldChar w:fldCharType="begin"/>
            </w:r>
            <w:r>
              <w:rPr>
                <w:webHidden/>
              </w:rPr>
              <w:instrText xml:space="preserve"> PAGEREF _Toc223094151 \h </w:instrText>
            </w:r>
            <w:r>
              <w:rPr>
                <w:webHidden/>
              </w:rPr>
            </w:r>
            <w:r>
              <w:rPr>
                <w:webHidden/>
              </w:rPr>
              <w:fldChar w:fldCharType="separate"/>
            </w:r>
            <w:r w:rsidR="00A76D9F">
              <w:rPr>
                <w:webHidden/>
              </w:rPr>
              <w:t>385</w:t>
            </w:r>
            <w:r>
              <w:rPr>
                <w:webHidden/>
              </w:rPr>
              <w:fldChar w:fldCharType="end"/>
            </w:r>
          </w:hyperlink>
        </w:p>
        <w:p w14:paraId="20B27FC9" w14:textId="254EA633"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52" w:history="1">
            <w:r w:rsidRPr="00E14024">
              <w:rPr>
                <w:rStyle w:val="Hiperpovezava"/>
              </w:rPr>
              <w:t>2.8.2.4</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Sklepi o izbrisu zadev s seznama zadev zaradi sklenitve prijateljske poravnave ali podane enostranske izjave</w:t>
            </w:r>
            <w:r>
              <w:rPr>
                <w:webHidden/>
              </w:rPr>
              <w:tab/>
            </w:r>
            <w:r>
              <w:rPr>
                <w:webHidden/>
              </w:rPr>
              <w:fldChar w:fldCharType="begin"/>
            </w:r>
            <w:r>
              <w:rPr>
                <w:webHidden/>
              </w:rPr>
              <w:instrText xml:space="preserve"> PAGEREF _Toc223094152 \h </w:instrText>
            </w:r>
            <w:r>
              <w:rPr>
                <w:webHidden/>
              </w:rPr>
            </w:r>
            <w:r>
              <w:rPr>
                <w:webHidden/>
              </w:rPr>
              <w:fldChar w:fldCharType="separate"/>
            </w:r>
            <w:r w:rsidR="00A76D9F">
              <w:rPr>
                <w:webHidden/>
              </w:rPr>
              <w:t>390</w:t>
            </w:r>
            <w:r>
              <w:rPr>
                <w:webHidden/>
              </w:rPr>
              <w:fldChar w:fldCharType="end"/>
            </w:r>
          </w:hyperlink>
        </w:p>
        <w:p w14:paraId="7ADD09F3" w14:textId="2FE596F6"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53" w:history="1">
            <w:r w:rsidRPr="00E14024">
              <w:rPr>
                <w:rStyle w:val="Hiperpovezava"/>
              </w:rPr>
              <w:t>2.8.2.4.1</w:t>
            </w:r>
            <w:r>
              <w:rPr>
                <w:rFonts w:asciiTheme="minorHAnsi" w:eastAsiaTheme="minorEastAsia" w:hAnsiTheme="minorHAnsi" w:cstheme="minorBidi"/>
                <w:kern w:val="2"/>
                <w:sz w:val="24"/>
                <w:szCs w:val="24"/>
                <w:lang w:eastAsia="sl-SI"/>
                <w14:ligatures w14:val="standardContextual"/>
              </w:rPr>
              <w:tab/>
            </w:r>
            <w:r w:rsidRPr="00E14024">
              <w:rPr>
                <w:rStyle w:val="Hiperpovezava"/>
                <w:i/>
                <w:iCs/>
              </w:rPr>
              <w:t>Koella proti Sloveniji</w:t>
            </w:r>
            <w:r w:rsidRPr="00E14024">
              <w:rPr>
                <w:rStyle w:val="Hiperpovezava"/>
              </w:rPr>
              <w:t xml:space="preserve">, št. </w:t>
            </w:r>
            <w:r w:rsidRPr="00E14024">
              <w:rPr>
                <w:rStyle w:val="Hiperpovezava"/>
                <w:lang w:eastAsia="sl-SI"/>
              </w:rPr>
              <w:t>12482/24</w:t>
            </w:r>
            <w:r>
              <w:rPr>
                <w:webHidden/>
              </w:rPr>
              <w:tab/>
            </w:r>
            <w:r>
              <w:rPr>
                <w:webHidden/>
              </w:rPr>
              <w:fldChar w:fldCharType="begin"/>
            </w:r>
            <w:r>
              <w:rPr>
                <w:webHidden/>
              </w:rPr>
              <w:instrText xml:space="preserve"> PAGEREF _Toc223094153 \h </w:instrText>
            </w:r>
            <w:r>
              <w:rPr>
                <w:webHidden/>
              </w:rPr>
            </w:r>
            <w:r>
              <w:rPr>
                <w:webHidden/>
              </w:rPr>
              <w:fldChar w:fldCharType="separate"/>
            </w:r>
            <w:r w:rsidR="00A76D9F">
              <w:rPr>
                <w:webHidden/>
              </w:rPr>
              <w:t>390</w:t>
            </w:r>
            <w:r>
              <w:rPr>
                <w:webHidden/>
              </w:rPr>
              <w:fldChar w:fldCharType="end"/>
            </w:r>
          </w:hyperlink>
        </w:p>
        <w:p w14:paraId="0CD39782" w14:textId="61A84B6D"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54" w:history="1">
            <w:r w:rsidRPr="00E14024">
              <w:rPr>
                <w:rStyle w:val="Hiperpovezava"/>
              </w:rPr>
              <w:t>2.8.2.4.2</w:t>
            </w:r>
            <w:r>
              <w:rPr>
                <w:rFonts w:asciiTheme="minorHAnsi" w:eastAsiaTheme="minorEastAsia" w:hAnsiTheme="minorHAnsi" w:cstheme="minorBidi"/>
                <w:kern w:val="2"/>
                <w:sz w:val="24"/>
                <w:szCs w:val="24"/>
                <w:lang w:eastAsia="sl-SI"/>
                <w14:ligatures w14:val="standardContextual"/>
              </w:rPr>
              <w:tab/>
            </w:r>
            <w:r w:rsidRPr="00E14024">
              <w:rPr>
                <w:rStyle w:val="Hiperpovezava"/>
                <w:i/>
                <w:iCs/>
                <w:lang w:eastAsia="sl-SI"/>
              </w:rPr>
              <w:t>Božičnik proti Sloveniji</w:t>
            </w:r>
            <w:r w:rsidRPr="00E14024">
              <w:rPr>
                <w:rStyle w:val="Hiperpovezava"/>
                <w:lang w:eastAsia="sl-SI"/>
              </w:rPr>
              <w:t>, št. 1703/23</w:t>
            </w:r>
            <w:r>
              <w:rPr>
                <w:webHidden/>
              </w:rPr>
              <w:tab/>
            </w:r>
            <w:r>
              <w:rPr>
                <w:webHidden/>
              </w:rPr>
              <w:fldChar w:fldCharType="begin"/>
            </w:r>
            <w:r>
              <w:rPr>
                <w:webHidden/>
              </w:rPr>
              <w:instrText xml:space="preserve"> PAGEREF _Toc223094154 \h </w:instrText>
            </w:r>
            <w:r>
              <w:rPr>
                <w:webHidden/>
              </w:rPr>
            </w:r>
            <w:r>
              <w:rPr>
                <w:webHidden/>
              </w:rPr>
              <w:fldChar w:fldCharType="separate"/>
            </w:r>
            <w:r w:rsidR="00A76D9F">
              <w:rPr>
                <w:webHidden/>
              </w:rPr>
              <w:t>390</w:t>
            </w:r>
            <w:r>
              <w:rPr>
                <w:webHidden/>
              </w:rPr>
              <w:fldChar w:fldCharType="end"/>
            </w:r>
          </w:hyperlink>
        </w:p>
        <w:p w14:paraId="2C67FCD1" w14:textId="2C7581E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55" w:history="1">
            <w:r w:rsidRPr="00E14024">
              <w:rPr>
                <w:rStyle w:val="Hiperpovezava"/>
              </w:rPr>
              <w:t>2.8.2.5</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Sodba v meddržavnem postopku, v katerem je intervenirala Republika Slovenija</w:t>
            </w:r>
            <w:r>
              <w:rPr>
                <w:webHidden/>
              </w:rPr>
              <w:tab/>
            </w:r>
            <w:r>
              <w:rPr>
                <w:webHidden/>
              </w:rPr>
              <w:fldChar w:fldCharType="begin"/>
            </w:r>
            <w:r>
              <w:rPr>
                <w:webHidden/>
              </w:rPr>
              <w:instrText xml:space="preserve"> PAGEREF _Toc223094155 \h </w:instrText>
            </w:r>
            <w:r>
              <w:rPr>
                <w:webHidden/>
              </w:rPr>
            </w:r>
            <w:r>
              <w:rPr>
                <w:webHidden/>
              </w:rPr>
              <w:fldChar w:fldCharType="separate"/>
            </w:r>
            <w:r w:rsidR="00A76D9F">
              <w:rPr>
                <w:webHidden/>
              </w:rPr>
              <w:t>391</w:t>
            </w:r>
            <w:r>
              <w:rPr>
                <w:webHidden/>
              </w:rPr>
              <w:fldChar w:fldCharType="end"/>
            </w:r>
          </w:hyperlink>
        </w:p>
        <w:p w14:paraId="2C5AA64F" w14:textId="4613FA7F"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56" w:history="1">
            <w:r w:rsidRPr="00E14024">
              <w:rPr>
                <w:rStyle w:val="Hiperpovezava"/>
              </w:rPr>
              <w:t>2.8.2.5.1</w:t>
            </w:r>
            <w:r>
              <w:rPr>
                <w:rFonts w:asciiTheme="minorHAnsi" w:eastAsiaTheme="minorEastAsia" w:hAnsiTheme="minorHAnsi" w:cstheme="minorBidi"/>
                <w:kern w:val="2"/>
                <w:sz w:val="24"/>
                <w:szCs w:val="24"/>
                <w:lang w:eastAsia="sl-SI"/>
                <w14:ligatures w14:val="standardContextual"/>
              </w:rPr>
              <w:tab/>
            </w:r>
            <w:r w:rsidRPr="00E14024">
              <w:rPr>
                <w:rStyle w:val="Hiperpovezava"/>
                <w:i/>
                <w:iCs/>
              </w:rPr>
              <w:t>Ukrajina in Nizozemska proti Ruski federaciji</w:t>
            </w:r>
            <w:r w:rsidRPr="00E14024">
              <w:rPr>
                <w:rStyle w:val="Hiperpovezava"/>
              </w:rPr>
              <w:t>, št. 8019/16, 43800/14, 28525/20 in 11055/22</w:t>
            </w:r>
            <w:r>
              <w:rPr>
                <w:webHidden/>
              </w:rPr>
              <w:tab/>
            </w:r>
            <w:r>
              <w:rPr>
                <w:webHidden/>
              </w:rPr>
              <w:fldChar w:fldCharType="begin"/>
            </w:r>
            <w:r>
              <w:rPr>
                <w:webHidden/>
              </w:rPr>
              <w:instrText xml:space="preserve"> PAGEREF _Toc223094156 \h </w:instrText>
            </w:r>
            <w:r>
              <w:rPr>
                <w:webHidden/>
              </w:rPr>
            </w:r>
            <w:r>
              <w:rPr>
                <w:webHidden/>
              </w:rPr>
              <w:fldChar w:fldCharType="separate"/>
            </w:r>
            <w:r w:rsidR="00A76D9F">
              <w:rPr>
                <w:webHidden/>
              </w:rPr>
              <w:t>391</w:t>
            </w:r>
            <w:r>
              <w:rPr>
                <w:webHidden/>
              </w:rPr>
              <w:fldChar w:fldCharType="end"/>
            </w:r>
          </w:hyperlink>
        </w:p>
        <w:p w14:paraId="2CAAEA02" w14:textId="7E73B836"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57" w:history="1">
            <w:r w:rsidRPr="00E14024">
              <w:rPr>
                <w:rStyle w:val="Hiperpovezava"/>
                <w:noProof/>
              </w:rPr>
              <w:t>2.9</w:t>
            </w:r>
            <w:r>
              <w:rPr>
                <w:rFonts w:asciiTheme="minorHAnsi" w:eastAsiaTheme="minorEastAsia" w:hAnsiTheme="minorHAnsi" w:cstheme="minorBidi"/>
                <w:noProof/>
                <w:kern w:val="2"/>
                <w:sz w:val="24"/>
                <w:szCs w:val="24"/>
                <w:lang w:eastAsia="sl-SI"/>
                <w14:ligatures w14:val="standardContextual"/>
              </w:rPr>
              <w:tab/>
            </w:r>
            <w:r w:rsidRPr="00E14024">
              <w:rPr>
                <w:rStyle w:val="Hiperpovezava"/>
                <w:noProof/>
              </w:rPr>
              <w:t>Postopki pred Sodiščem Evropske unije</w:t>
            </w:r>
            <w:r>
              <w:rPr>
                <w:noProof/>
                <w:webHidden/>
              </w:rPr>
              <w:tab/>
            </w:r>
            <w:r>
              <w:rPr>
                <w:noProof/>
                <w:webHidden/>
              </w:rPr>
              <w:fldChar w:fldCharType="begin"/>
            </w:r>
            <w:r>
              <w:rPr>
                <w:noProof/>
                <w:webHidden/>
              </w:rPr>
              <w:instrText xml:space="preserve"> PAGEREF _Toc223094157 \h </w:instrText>
            </w:r>
            <w:r>
              <w:rPr>
                <w:noProof/>
                <w:webHidden/>
              </w:rPr>
            </w:r>
            <w:r>
              <w:rPr>
                <w:noProof/>
                <w:webHidden/>
              </w:rPr>
              <w:fldChar w:fldCharType="separate"/>
            </w:r>
            <w:r w:rsidR="00A76D9F">
              <w:rPr>
                <w:noProof/>
                <w:webHidden/>
              </w:rPr>
              <w:t>392</w:t>
            </w:r>
            <w:r>
              <w:rPr>
                <w:noProof/>
                <w:webHidden/>
              </w:rPr>
              <w:fldChar w:fldCharType="end"/>
            </w:r>
          </w:hyperlink>
        </w:p>
        <w:p w14:paraId="33E0293E" w14:textId="10F3740F"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58" w:history="1">
            <w:r w:rsidRPr="00E14024">
              <w:rPr>
                <w:rStyle w:val="Hiperpovezava"/>
              </w:rPr>
              <w:t>2.9.1</w:t>
            </w:r>
            <w:r>
              <w:rPr>
                <w:rFonts w:asciiTheme="minorHAnsi" w:eastAsiaTheme="minorEastAsia" w:hAnsiTheme="minorHAnsi" w:cstheme="minorBidi"/>
                <w:kern w:val="2"/>
                <w:sz w:val="24"/>
                <w:szCs w:val="24"/>
                <w:lang w:eastAsia="sl-SI"/>
                <w14:ligatures w14:val="standardContextual"/>
              </w:rPr>
              <w:tab/>
            </w:r>
            <w:r w:rsidRPr="00E14024">
              <w:rPr>
                <w:rStyle w:val="Hiperpovezava"/>
              </w:rPr>
              <w:t>Pomembnejše nove zadeve</w:t>
            </w:r>
            <w:r>
              <w:rPr>
                <w:webHidden/>
              </w:rPr>
              <w:tab/>
            </w:r>
            <w:r>
              <w:rPr>
                <w:webHidden/>
              </w:rPr>
              <w:fldChar w:fldCharType="begin"/>
            </w:r>
            <w:r>
              <w:rPr>
                <w:webHidden/>
              </w:rPr>
              <w:instrText xml:space="preserve"> PAGEREF _Toc223094158 \h </w:instrText>
            </w:r>
            <w:r>
              <w:rPr>
                <w:webHidden/>
              </w:rPr>
            </w:r>
            <w:r>
              <w:rPr>
                <w:webHidden/>
              </w:rPr>
              <w:fldChar w:fldCharType="separate"/>
            </w:r>
            <w:r w:rsidR="00A76D9F">
              <w:rPr>
                <w:webHidden/>
              </w:rPr>
              <w:t>392</w:t>
            </w:r>
            <w:r>
              <w:rPr>
                <w:webHidden/>
              </w:rPr>
              <w:fldChar w:fldCharType="end"/>
            </w:r>
          </w:hyperlink>
        </w:p>
        <w:p w14:paraId="399AF32F" w14:textId="4100A080"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59" w:history="1">
            <w:r w:rsidRPr="00E14024">
              <w:rPr>
                <w:rStyle w:val="Hiperpovezava"/>
              </w:rPr>
              <w:t>2.9.1.1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Postopki predhodnega odločanja</w:t>
            </w:r>
            <w:r>
              <w:rPr>
                <w:webHidden/>
              </w:rPr>
              <w:tab/>
            </w:r>
            <w:r>
              <w:rPr>
                <w:webHidden/>
              </w:rPr>
              <w:fldChar w:fldCharType="begin"/>
            </w:r>
            <w:r>
              <w:rPr>
                <w:webHidden/>
              </w:rPr>
              <w:instrText xml:space="preserve"> PAGEREF _Toc223094159 \h </w:instrText>
            </w:r>
            <w:r>
              <w:rPr>
                <w:webHidden/>
              </w:rPr>
            </w:r>
            <w:r>
              <w:rPr>
                <w:webHidden/>
              </w:rPr>
              <w:fldChar w:fldCharType="separate"/>
            </w:r>
            <w:r w:rsidR="00A76D9F">
              <w:rPr>
                <w:webHidden/>
              </w:rPr>
              <w:t>392</w:t>
            </w:r>
            <w:r>
              <w:rPr>
                <w:webHidden/>
              </w:rPr>
              <w:fldChar w:fldCharType="end"/>
            </w:r>
          </w:hyperlink>
        </w:p>
        <w:p w14:paraId="08702CBE" w14:textId="16708472"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60" w:history="1">
            <w:r w:rsidRPr="00E14024">
              <w:rPr>
                <w:rStyle w:val="Hiperpovezava"/>
              </w:rPr>
              <w:t>2.9.1.1.1</w:t>
            </w:r>
            <w:r>
              <w:rPr>
                <w:rFonts w:asciiTheme="minorHAnsi" w:eastAsiaTheme="minorEastAsia" w:hAnsiTheme="minorHAnsi" w:cstheme="minorBidi"/>
                <w:kern w:val="2"/>
                <w:sz w:val="24"/>
                <w:szCs w:val="24"/>
                <w:lang w:eastAsia="sl-SI"/>
                <w14:ligatures w14:val="standardContextual"/>
              </w:rPr>
              <w:tab/>
            </w:r>
            <w:r w:rsidRPr="00E14024">
              <w:rPr>
                <w:rStyle w:val="Hiperpovezava"/>
                <w:i/>
              </w:rPr>
              <w:t xml:space="preserve">Telekom, </w:t>
            </w:r>
            <w:r w:rsidRPr="00E14024">
              <w:rPr>
                <w:rStyle w:val="Hiperpovezava"/>
              </w:rPr>
              <w:t>C-164/25</w:t>
            </w:r>
            <w:r>
              <w:rPr>
                <w:webHidden/>
              </w:rPr>
              <w:tab/>
            </w:r>
            <w:r>
              <w:rPr>
                <w:webHidden/>
              </w:rPr>
              <w:fldChar w:fldCharType="begin"/>
            </w:r>
            <w:r>
              <w:rPr>
                <w:webHidden/>
              </w:rPr>
              <w:instrText xml:space="preserve"> PAGEREF _Toc223094160 \h </w:instrText>
            </w:r>
            <w:r>
              <w:rPr>
                <w:webHidden/>
              </w:rPr>
            </w:r>
            <w:r>
              <w:rPr>
                <w:webHidden/>
              </w:rPr>
              <w:fldChar w:fldCharType="separate"/>
            </w:r>
            <w:r w:rsidR="00A76D9F">
              <w:rPr>
                <w:webHidden/>
              </w:rPr>
              <w:t>392</w:t>
            </w:r>
            <w:r>
              <w:rPr>
                <w:webHidden/>
              </w:rPr>
              <w:fldChar w:fldCharType="end"/>
            </w:r>
          </w:hyperlink>
        </w:p>
        <w:p w14:paraId="52712042" w14:textId="0C3A2B7A"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61" w:history="1">
            <w:r w:rsidRPr="00E14024">
              <w:rPr>
                <w:rStyle w:val="Hiperpovezava"/>
              </w:rPr>
              <w:t>2.9.1.2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Intervencija Republike Slovenije v postopku pred Splošnim sodiščem</w:t>
            </w:r>
            <w:r>
              <w:rPr>
                <w:webHidden/>
              </w:rPr>
              <w:tab/>
            </w:r>
            <w:r>
              <w:rPr>
                <w:webHidden/>
              </w:rPr>
              <w:fldChar w:fldCharType="begin"/>
            </w:r>
            <w:r>
              <w:rPr>
                <w:webHidden/>
              </w:rPr>
              <w:instrText xml:space="preserve"> PAGEREF _Toc223094161 \h </w:instrText>
            </w:r>
            <w:r>
              <w:rPr>
                <w:webHidden/>
              </w:rPr>
            </w:r>
            <w:r>
              <w:rPr>
                <w:webHidden/>
              </w:rPr>
              <w:fldChar w:fldCharType="separate"/>
            </w:r>
            <w:r w:rsidR="00A76D9F">
              <w:rPr>
                <w:webHidden/>
              </w:rPr>
              <w:t>393</w:t>
            </w:r>
            <w:r>
              <w:rPr>
                <w:webHidden/>
              </w:rPr>
              <w:fldChar w:fldCharType="end"/>
            </w:r>
          </w:hyperlink>
        </w:p>
        <w:p w14:paraId="58EF5666" w14:textId="31BFB74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62" w:history="1">
            <w:r w:rsidRPr="00E14024">
              <w:rPr>
                <w:rStyle w:val="Hiperpovezava"/>
              </w:rPr>
              <w:t>2.9.1.2.1</w:t>
            </w:r>
            <w:r>
              <w:rPr>
                <w:rFonts w:asciiTheme="minorHAnsi" w:eastAsiaTheme="minorEastAsia" w:hAnsiTheme="minorHAnsi" w:cstheme="minorBidi"/>
                <w:kern w:val="2"/>
                <w:sz w:val="24"/>
                <w:szCs w:val="24"/>
                <w:lang w:eastAsia="sl-SI"/>
                <w14:ligatures w14:val="standardContextual"/>
              </w:rPr>
              <w:tab/>
            </w:r>
            <w:r w:rsidRPr="00E14024">
              <w:rPr>
                <w:rStyle w:val="Hiperpovezava"/>
                <w:i/>
                <w:iCs/>
              </w:rPr>
              <w:t>Zdravniška zbornica Slovenije proti Evropski komisiji</w:t>
            </w:r>
            <w:r w:rsidRPr="00E14024">
              <w:rPr>
                <w:rStyle w:val="Hiperpovezava"/>
              </w:rPr>
              <w:t xml:space="preserve">, </w:t>
            </w:r>
            <w:r w:rsidRPr="00E14024">
              <w:rPr>
                <w:rStyle w:val="Hiperpovezava"/>
                <w:iCs/>
              </w:rPr>
              <w:t>T-499/24</w:t>
            </w:r>
            <w:r>
              <w:rPr>
                <w:webHidden/>
              </w:rPr>
              <w:tab/>
            </w:r>
            <w:r>
              <w:rPr>
                <w:webHidden/>
              </w:rPr>
              <w:fldChar w:fldCharType="begin"/>
            </w:r>
            <w:r>
              <w:rPr>
                <w:webHidden/>
              </w:rPr>
              <w:instrText xml:space="preserve"> PAGEREF _Toc223094162 \h </w:instrText>
            </w:r>
            <w:r>
              <w:rPr>
                <w:webHidden/>
              </w:rPr>
            </w:r>
            <w:r>
              <w:rPr>
                <w:webHidden/>
              </w:rPr>
              <w:fldChar w:fldCharType="separate"/>
            </w:r>
            <w:r w:rsidR="00A76D9F">
              <w:rPr>
                <w:webHidden/>
              </w:rPr>
              <w:t>394</w:t>
            </w:r>
            <w:r>
              <w:rPr>
                <w:webHidden/>
              </w:rPr>
              <w:fldChar w:fldCharType="end"/>
            </w:r>
          </w:hyperlink>
        </w:p>
        <w:p w14:paraId="70D25966" w14:textId="78C7916F" w:rsidR="000300A6" w:rsidRDefault="000300A6">
          <w:pPr>
            <w:pStyle w:val="Kazalovsebine3"/>
            <w:tabs>
              <w:tab w:val="left" w:pos="1225"/>
            </w:tabs>
            <w:rPr>
              <w:rFonts w:asciiTheme="minorHAnsi" w:eastAsiaTheme="minorEastAsia" w:hAnsiTheme="minorHAnsi" w:cstheme="minorBidi"/>
              <w:kern w:val="2"/>
              <w:sz w:val="24"/>
              <w:szCs w:val="24"/>
              <w:lang w:eastAsia="sl-SI"/>
              <w14:ligatures w14:val="standardContextual"/>
            </w:rPr>
          </w:pPr>
          <w:hyperlink w:anchor="_Toc223094163" w:history="1">
            <w:r w:rsidRPr="00E14024">
              <w:rPr>
                <w:rStyle w:val="Hiperpovezava"/>
              </w:rPr>
              <w:t>2.9.2</w:t>
            </w:r>
            <w:r>
              <w:rPr>
                <w:rFonts w:asciiTheme="minorHAnsi" w:eastAsiaTheme="minorEastAsia" w:hAnsiTheme="minorHAnsi" w:cstheme="minorBidi"/>
                <w:kern w:val="2"/>
                <w:sz w:val="24"/>
                <w:szCs w:val="24"/>
                <w:lang w:eastAsia="sl-SI"/>
                <w14:ligatures w14:val="standardContextual"/>
              </w:rPr>
              <w:tab/>
            </w:r>
            <w:r w:rsidRPr="00E14024">
              <w:rPr>
                <w:rStyle w:val="Hiperpovezava"/>
              </w:rPr>
              <w:t>Pomembnejše zaključene zadeve</w:t>
            </w:r>
            <w:r>
              <w:rPr>
                <w:webHidden/>
              </w:rPr>
              <w:tab/>
            </w:r>
            <w:r>
              <w:rPr>
                <w:webHidden/>
              </w:rPr>
              <w:fldChar w:fldCharType="begin"/>
            </w:r>
            <w:r>
              <w:rPr>
                <w:webHidden/>
              </w:rPr>
              <w:instrText xml:space="preserve"> PAGEREF _Toc223094163 \h </w:instrText>
            </w:r>
            <w:r>
              <w:rPr>
                <w:webHidden/>
              </w:rPr>
            </w:r>
            <w:r>
              <w:rPr>
                <w:webHidden/>
              </w:rPr>
              <w:fldChar w:fldCharType="separate"/>
            </w:r>
            <w:r w:rsidR="00A76D9F">
              <w:rPr>
                <w:webHidden/>
              </w:rPr>
              <w:t>394</w:t>
            </w:r>
            <w:r>
              <w:rPr>
                <w:webHidden/>
              </w:rPr>
              <w:fldChar w:fldCharType="end"/>
            </w:r>
          </w:hyperlink>
        </w:p>
        <w:p w14:paraId="50BC8FCC" w14:textId="3480C1DC"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64" w:history="1">
            <w:r w:rsidRPr="00E14024">
              <w:rPr>
                <w:rStyle w:val="Hiperpovezava"/>
              </w:rPr>
              <w:t>2.9.2.1</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Postopek predhodnega odločanja</w:t>
            </w:r>
            <w:r>
              <w:rPr>
                <w:webHidden/>
              </w:rPr>
              <w:tab/>
            </w:r>
            <w:r>
              <w:rPr>
                <w:webHidden/>
              </w:rPr>
              <w:fldChar w:fldCharType="begin"/>
            </w:r>
            <w:r>
              <w:rPr>
                <w:webHidden/>
              </w:rPr>
              <w:instrText xml:space="preserve"> PAGEREF _Toc223094164 \h </w:instrText>
            </w:r>
            <w:r>
              <w:rPr>
                <w:webHidden/>
              </w:rPr>
            </w:r>
            <w:r>
              <w:rPr>
                <w:webHidden/>
              </w:rPr>
              <w:fldChar w:fldCharType="separate"/>
            </w:r>
            <w:r w:rsidR="00A76D9F">
              <w:rPr>
                <w:webHidden/>
              </w:rPr>
              <w:t>394</w:t>
            </w:r>
            <w:r>
              <w:rPr>
                <w:webHidden/>
              </w:rPr>
              <w:fldChar w:fldCharType="end"/>
            </w:r>
          </w:hyperlink>
        </w:p>
        <w:p w14:paraId="6CE554C1" w14:textId="0DC5A7E3"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65" w:history="1">
            <w:r w:rsidRPr="00E14024">
              <w:rPr>
                <w:rStyle w:val="Hiperpovezava"/>
              </w:rPr>
              <w:t>2.9.2.1.1</w:t>
            </w:r>
            <w:r>
              <w:rPr>
                <w:rFonts w:asciiTheme="minorHAnsi" w:eastAsiaTheme="minorEastAsia" w:hAnsiTheme="minorHAnsi" w:cstheme="minorBidi"/>
                <w:kern w:val="2"/>
                <w:sz w:val="24"/>
                <w:szCs w:val="24"/>
                <w:lang w:eastAsia="sl-SI"/>
                <w14:ligatures w14:val="standardContextual"/>
              </w:rPr>
              <w:tab/>
            </w:r>
            <w:r w:rsidRPr="00E14024">
              <w:rPr>
                <w:rStyle w:val="Hiperpovezava"/>
                <w:i/>
              </w:rPr>
              <w:t>Interzero e.a.,</w:t>
            </w:r>
            <w:r w:rsidRPr="00E14024">
              <w:rPr>
                <w:rStyle w:val="Hiperpovezava"/>
              </w:rPr>
              <w:t xml:space="preserve"> C-254/23</w:t>
            </w:r>
            <w:r>
              <w:rPr>
                <w:webHidden/>
              </w:rPr>
              <w:tab/>
            </w:r>
            <w:r>
              <w:rPr>
                <w:webHidden/>
              </w:rPr>
              <w:fldChar w:fldCharType="begin"/>
            </w:r>
            <w:r>
              <w:rPr>
                <w:webHidden/>
              </w:rPr>
              <w:instrText xml:space="preserve"> PAGEREF _Toc223094165 \h </w:instrText>
            </w:r>
            <w:r>
              <w:rPr>
                <w:webHidden/>
              </w:rPr>
            </w:r>
            <w:r>
              <w:rPr>
                <w:webHidden/>
              </w:rPr>
              <w:fldChar w:fldCharType="separate"/>
            </w:r>
            <w:r w:rsidR="00A76D9F">
              <w:rPr>
                <w:webHidden/>
              </w:rPr>
              <w:t>394</w:t>
            </w:r>
            <w:r>
              <w:rPr>
                <w:webHidden/>
              </w:rPr>
              <w:fldChar w:fldCharType="end"/>
            </w:r>
          </w:hyperlink>
        </w:p>
        <w:p w14:paraId="34F1738A" w14:textId="407261D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66" w:history="1">
            <w:r w:rsidRPr="00E14024">
              <w:rPr>
                <w:rStyle w:val="Hiperpovezava"/>
              </w:rPr>
              <w:t>2.9.2.1.2</w:t>
            </w:r>
            <w:r>
              <w:rPr>
                <w:rFonts w:asciiTheme="minorHAnsi" w:eastAsiaTheme="minorEastAsia" w:hAnsiTheme="minorHAnsi" w:cstheme="minorBidi"/>
                <w:kern w:val="2"/>
                <w:sz w:val="24"/>
                <w:szCs w:val="24"/>
                <w:lang w:eastAsia="sl-SI"/>
                <w14:ligatures w14:val="standardContextual"/>
              </w:rPr>
              <w:tab/>
            </w:r>
            <w:r w:rsidRPr="00E14024">
              <w:rPr>
                <w:rStyle w:val="Hiperpovezava"/>
                <w:i/>
              </w:rPr>
              <w:t>MS Ključarovci,</w:t>
            </w:r>
            <w:r w:rsidRPr="00E14024">
              <w:rPr>
                <w:rStyle w:val="Hiperpovezava"/>
              </w:rPr>
              <w:t xml:space="preserve"> T-646/24</w:t>
            </w:r>
            <w:r>
              <w:rPr>
                <w:webHidden/>
              </w:rPr>
              <w:tab/>
            </w:r>
            <w:r>
              <w:rPr>
                <w:webHidden/>
              </w:rPr>
              <w:fldChar w:fldCharType="begin"/>
            </w:r>
            <w:r>
              <w:rPr>
                <w:webHidden/>
              </w:rPr>
              <w:instrText xml:space="preserve"> PAGEREF _Toc223094166 \h </w:instrText>
            </w:r>
            <w:r>
              <w:rPr>
                <w:webHidden/>
              </w:rPr>
            </w:r>
            <w:r>
              <w:rPr>
                <w:webHidden/>
              </w:rPr>
              <w:fldChar w:fldCharType="separate"/>
            </w:r>
            <w:r w:rsidR="00A76D9F">
              <w:rPr>
                <w:webHidden/>
              </w:rPr>
              <w:t>396</w:t>
            </w:r>
            <w:r>
              <w:rPr>
                <w:webHidden/>
              </w:rPr>
              <w:fldChar w:fldCharType="end"/>
            </w:r>
          </w:hyperlink>
        </w:p>
        <w:p w14:paraId="2DEA3FB0" w14:textId="25FD2DBD"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67" w:history="1">
            <w:r w:rsidRPr="00E14024">
              <w:rPr>
                <w:rStyle w:val="Hiperpovezava"/>
              </w:rPr>
              <w:t>2.9.2.2</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Pritožbeni postopek zoper sodbo Splošnega sodišča – problematika izplačila DDV po sodbi Sodišča</w:t>
            </w:r>
            <w:r>
              <w:rPr>
                <w:webHidden/>
              </w:rPr>
              <w:tab/>
            </w:r>
            <w:r>
              <w:rPr>
                <w:webHidden/>
              </w:rPr>
              <w:fldChar w:fldCharType="begin"/>
            </w:r>
            <w:r>
              <w:rPr>
                <w:webHidden/>
              </w:rPr>
              <w:instrText xml:space="preserve"> PAGEREF _Toc223094167 \h </w:instrText>
            </w:r>
            <w:r>
              <w:rPr>
                <w:webHidden/>
              </w:rPr>
            </w:r>
            <w:r>
              <w:rPr>
                <w:webHidden/>
              </w:rPr>
              <w:fldChar w:fldCharType="separate"/>
            </w:r>
            <w:r w:rsidR="00A76D9F">
              <w:rPr>
                <w:webHidden/>
              </w:rPr>
              <w:t>397</w:t>
            </w:r>
            <w:r>
              <w:rPr>
                <w:webHidden/>
              </w:rPr>
              <w:fldChar w:fldCharType="end"/>
            </w:r>
          </w:hyperlink>
        </w:p>
        <w:p w14:paraId="0E9A1284" w14:textId="62937FBA"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68" w:history="1">
            <w:r w:rsidRPr="00E14024">
              <w:rPr>
                <w:rStyle w:val="Hiperpovezava"/>
              </w:rPr>
              <w:t>2.9.2.2.1</w:t>
            </w:r>
            <w:r>
              <w:rPr>
                <w:rFonts w:asciiTheme="minorHAnsi" w:eastAsiaTheme="minorEastAsia" w:hAnsiTheme="minorHAnsi" w:cstheme="minorBidi"/>
                <w:kern w:val="2"/>
                <w:sz w:val="24"/>
                <w:szCs w:val="24"/>
                <w:lang w:eastAsia="sl-SI"/>
                <w14:ligatures w14:val="standardContextual"/>
              </w:rPr>
              <w:tab/>
            </w:r>
            <w:r w:rsidRPr="00E14024">
              <w:rPr>
                <w:rStyle w:val="Hiperpovezava"/>
                <w:i/>
              </w:rPr>
              <w:t>Slovenija proti Flašker in Komisiji,</w:t>
            </w:r>
            <w:r w:rsidRPr="00E14024">
              <w:rPr>
                <w:rStyle w:val="Hiperpovezava"/>
              </w:rPr>
              <w:t xml:space="preserve"> C-447/22 P (pritožba Republike Slovenije proti sodbi Splošnega sodišča T-392/20)</w:t>
            </w:r>
            <w:r>
              <w:rPr>
                <w:webHidden/>
              </w:rPr>
              <w:tab/>
            </w:r>
            <w:r>
              <w:rPr>
                <w:webHidden/>
              </w:rPr>
              <w:fldChar w:fldCharType="begin"/>
            </w:r>
            <w:r>
              <w:rPr>
                <w:webHidden/>
              </w:rPr>
              <w:instrText xml:space="preserve"> PAGEREF _Toc223094168 \h </w:instrText>
            </w:r>
            <w:r>
              <w:rPr>
                <w:webHidden/>
              </w:rPr>
            </w:r>
            <w:r>
              <w:rPr>
                <w:webHidden/>
              </w:rPr>
              <w:fldChar w:fldCharType="separate"/>
            </w:r>
            <w:r w:rsidR="00A76D9F">
              <w:rPr>
                <w:webHidden/>
              </w:rPr>
              <w:t>397</w:t>
            </w:r>
            <w:r>
              <w:rPr>
                <w:webHidden/>
              </w:rPr>
              <w:fldChar w:fldCharType="end"/>
            </w:r>
          </w:hyperlink>
        </w:p>
        <w:p w14:paraId="47C501AF" w14:textId="13C0CDD9" w:rsidR="000300A6" w:rsidRDefault="000300A6">
          <w:pPr>
            <w:pStyle w:val="Kazalovsebine4"/>
            <w:rPr>
              <w:rFonts w:asciiTheme="minorHAnsi" w:eastAsiaTheme="minorEastAsia" w:hAnsiTheme="minorHAnsi" w:cstheme="minorBidi"/>
              <w:caps w:val="0"/>
              <w:kern w:val="2"/>
              <w:sz w:val="24"/>
              <w:szCs w:val="24"/>
              <w:lang w:eastAsia="sl-SI"/>
              <w14:ligatures w14:val="standardContextual"/>
            </w:rPr>
          </w:pPr>
          <w:hyperlink w:anchor="_Toc223094169" w:history="1">
            <w:r w:rsidRPr="00E14024">
              <w:rPr>
                <w:rStyle w:val="Hiperpovezava"/>
              </w:rPr>
              <w:t>2.9.2.3</w:t>
            </w:r>
            <w:r>
              <w:rPr>
                <w:rFonts w:asciiTheme="minorHAnsi" w:eastAsiaTheme="minorEastAsia" w:hAnsiTheme="minorHAnsi" w:cstheme="minorBidi"/>
                <w:caps w:val="0"/>
                <w:kern w:val="2"/>
                <w:sz w:val="24"/>
                <w:szCs w:val="24"/>
                <w:lang w:eastAsia="sl-SI"/>
                <w14:ligatures w14:val="standardContextual"/>
              </w:rPr>
              <w:tab/>
            </w:r>
            <w:r w:rsidRPr="00E14024">
              <w:rPr>
                <w:rStyle w:val="Hiperpovezava"/>
              </w:rPr>
              <w:t>Intervencija Republike Slovenije v postopku pred Splošnim sodiščem</w:t>
            </w:r>
            <w:r>
              <w:rPr>
                <w:webHidden/>
              </w:rPr>
              <w:tab/>
            </w:r>
            <w:r>
              <w:rPr>
                <w:webHidden/>
              </w:rPr>
              <w:fldChar w:fldCharType="begin"/>
            </w:r>
            <w:r>
              <w:rPr>
                <w:webHidden/>
              </w:rPr>
              <w:instrText xml:space="preserve"> PAGEREF _Toc223094169 \h </w:instrText>
            </w:r>
            <w:r>
              <w:rPr>
                <w:webHidden/>
              </w:rPr>
            </w:r>
            <w:r>
              <w:rPr>
                <w:webHidden/>
              </w:rPr>
              <w:fldChar w:fldCharType="separate"/>
            </w:r>
            <w:r w:rsidR="00A76D9F">
              <w:rPr>
                <w:webHidden/>
              </w:rPr>
              <w:t>398</w:t>
            </w:r>
            <w:r>
              <w:rPr>
                <w:webHidden/>
              </w:rPr>
              <w:fldChar w:fldCharType="end"/>
            </w:r>
          </w:hyperlink>
        </w:p>
        <w:p w14:paraId="6BDE6519" w14:textId="003C1699" w:rsidR="000300A6" w:rsidRDefault="000300A6">
          <w:pPr>
            <w:pStyle w:val="Kazalovsebine5"/>
            <w:tabs>
              <w:tab w:val="left" w:pos="1920"/>
            </w:tabs>
            <w:rPr>
              <w:rFonts w:asciiTheme="minorHAnsi" w:eastAsiaTheme="minorEastAsia" w:hAnsiTheme="minorHAnsi" w:cstheme="minorBidi"/>
              <w:kern w:val="2"/>
              <w:sz w:val="24"/>
              <w:szCs w:val="24"/>
              <w:lang w:eastAsia="sl-SI"/>
              <w14:ligatures w14:val="standardContextual"/>
            </w:rPr>
          </w:pPr>
          <w:hyperlink w:anchor="_Toc223094170" w:history="1">
            <w:r w:rsidRPr="00E14024">
              <w:rPr>
                <w:rStyle w:val="Hiperpovezava"/>
              </w:rPr>
              <w:t>2.9.2.3.1</w:t>
            </w:r>
            <w:r>
              <w:rPr>
                <w:rFonts w:asciiTheme="minorHAnsi" w:eastAsiaTheme="minorEastAsia" w:hAnsiTheme="minorHAnsi" w:cstheme="minorBidi"/>
                <w:kern w:val="2"/>
                <w:sz w:val="24"/>
                <w:szCs w:val="24"/>
                <w:lang w:eastAsia="sl-SI"/>
                <w14:ligatures w14:val="standardContextual"/>
              </w:rPr>
              <w:tab/>
            </w:r>
            <w:r w:rsidRPr="00E14024">
              <w:rPr>
                <w:rStyle w:val="Hiperpovezava"/>
                <w:i/>
                <w:iCs/>
                <w:lang w:eastAsia="sl-SI"/>
              </w:rPr>
              <w:t>Republika Avstrija proti Evropski komisiji</w:t>
            </w:r>
            <w:r w:rsidRPr="00E14024">
              <w:rPr>
                <w:rStyle w:val="Hiperpovezava"/>
              </w:rPr>
              <w:t>, T-625/22</w:t>
            </w:r>
            <w:r>
              <w:rPr>
                <w:webHidden/>
              </w:rPr>
              <w:tab/>
            </w:r>
            <w:r>
              <w:rPr>
                <w:webHidden/>
              </w:rPr>
              <w:fldChar w:fldCharType="begin"/>
            </w:r>
            <w:r>
              <w:rPr>
                <w:webHidden/>
              </w:rPr>
              <w:instrText xml:space="preserve"> PAGEREF _Toc223094170 \h </w:instrText>
            </w:r>
            <w:r>
              <w:rPr>
                <w:webHidden/>
              </w:rPr>
            </w:r>
            <w:r>
              <w:rPr>
                <w:webHidden/>
              </w:rPr>
              <w:fldChar w:fldCharType="separate"/>
            </w:r>
            <w:r w:rsidR="00A76D9F">
              <w:rPr>
                <w:webHidden/>
              </w:rPr>
              <w:t>398</w:t>
            </w:r>
            <w:r>
              <w:rPr>
                <w:webHidden/>
              </w:rPr>
              <w:fldChar w:fldCharType="end"/>
            </w:r>
          </w:hyperlink>
        </w:p>
        <w:p w14:paraId="4DD957B5" w14:textId="32FEFA67" w:rsidR="000300A6" w:rsidRDefault="000300A6">
          <w:pPr>
            <w:pStyle w:val="Kazalovsebine1"/>
            <w:tabs>
              <w:tab w:val="left" w:pos="788"/>
            </w:tabs>
            <w:rPr>
              <w:rFonts w:asciiTheme="minorHAnsi" w:hAnsiTheme="minorHAnsi" w:cstheme="minorBidi"/>
              <w:noProof/>
              <w:kern w:val="2"/>
              <w:sz w:val="24"/>
              <w:szCs w:val="24"/>
              <w14:ligatures w14:val="standardContextual"/>
            </w:rPr>
          </w:pPr>
          <w:hyperlink w:anchor="_Toc223094171" w:history="1">
            <w:r w:rsidRPr="00E14024">
              <w:rPr>
                <w:rStyle w:val="Hiperpovezava"/>
                <w:rFonts w:eastAsia="Aptos"/>
                <w:noProof/>
              </w:rPr>
              <w:t>3</w:t>
            </w:r>
            <w:r>
              <w:rPr>
                <w:rFonts w:asciiTheme="minorHAnsi" w:hAnsiTheme="minorHAnsi" w:cstheme="minorBidi"/>
                <w:noProof/>
                <w:kern w:val="2"/>
                <w:sz w:val="24"/>
                <w:szCs w:val="24"/>
                <w14:ligatures w14:val="standardContextual"/>
              </w:rPr>
              <w:tab/>
            </w:r>
            <w:r w:rsidRPr="00E14024">
              <w:rPr>
                <w:rStyle w:val="Hiperpovezava"/>
                <w:rFonts w:eastAsia="Aptos"/>
                <w:noProof/>
              </w:rPr>
              <w:t>STRATEŠKE USMERITVE ZA NADALJNJE DELO DRŽAVNEGA ODVETNIŠTVA RS</w:t>
            </w:r>
            <w:r>
              <w:rPr>
                <w:noProof/>
                <w:webHidden/>
              </w:rPr>
              <w:tab/>
            </w:r>
            <w:r>
              <w:rPr>
                <w:noProof/>
                <w:webHidden/>
              </w:rPr>
              <w:fldChar w:fldCharType="begin"/>
            </w:r>
            <w:r>
              <w:rPr>
                <w:noProof/>
                <w:webHidden/>
              </w:rPr>
              <w:instrText xml:space="preserve"> PAGEREF _Toc223094171 \h </w:instrText>
            </w:r>
            <w:r>
              <w:rPr>
                <w:noProof/>
                <w:webHidden/>
              </w:rPr>
            </w:r>
            <w:r>
              <w:rPr>
                <w:noProof/>
                <w:webHidden/>
              </w:rPr>
              <w:fldChar w:fldCharType="separate"/>
            </w:r>
            <w:r w:rsidR="00A76D9F">
              <w:rPr>
                <w:noProof/>
                <w:webHidden/>
              </w:rPr>
              <w:t>399</w:t>
            </w:r>
            <w:r>
              <w:rPr>
                <w:noProof/>
                <w:webHidden/>
              </w:rPr>
              <w:fldChar w:fldCharType="end"/>
            </w:r>
          </w:hyperlink>
        </w:p>
        <w:p w14:paraId="26069CB0" w14:textId="76E33A0A"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72" w:history="1">
            <w:r w:rsidRPr="00E14024">
              <w:rPr>
                <w:rStyle w:val="Hiperpovezava"/>
                <w:noProof/>
              </w:rPr>
              <w:t>3.1 Poslanstvo Državnega odvetništva RS kot temelj strateških usmeritev za njegovo nadaljnje delo</w:t>
            </w:r>
            <w:r>
              <w:rPr>
                <w:noProof/>
                <w:webHidden/>
              </w:rPr>
              <w:tab/>
            </w:r>
            <w:r>
              <w:rPr>
                <w:noProof/>
                <w:webHidden/>
              </w:rPr>
              <w:fldChar w:fldCharType="begin"/>
            </w:r>
            <w:r>
              <w:rPr>
                <w:noProof/>
                <w:webHidden/>
              </w:rPr>
              <w:instrText xml:space="preserve"> PAGEREF _Toc223094172 \h </w:instrText>
            </w:r>
            <w:r>
              <w:rPr>
                <w:noProof/>
                <w:webHidden/>
              </w:rPr>
            </w:r>
            <w:r>
              <w:rPr>
                <w:noProof/>
                <w:webHidden/>
              </w:rPr>
              <w:fldChar w:fldCharType="separate"/>
            </w:r>
            <w:r w:rsidR="00A76D9F">
              <w:rPr>
                <w:noProof/>
                <w:webHidden/>
              </w:rPr>
              <w:t>399</w:t>
            </w:r>
            <w:r>
              <w:rPr>
                <w:noProof/>
                <w:webHidden/>
              </w:rPr>
              <w:fldChar w:fldCharType="end"/>
            </w:r>
          </w:hyperlink>
        </w:p>
        <w:p w14:paraId="66B5CEEC" w14:textId="778E0497"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73" w:history="1">
            <w:r w:rsidRPr="00E14024">
              <w:rPr>
                <w:rStyle w:val="Hiperpovezava"/>
                <w:noProof/>
              </w:rPr>
              <w:t>3.2 Vizija Državnega odvetništva RS</w:t>
            </w:r>
            <w:r>
              <w:rPr>
                <w:noProof/>
                <w:webHidden/>
              </w:rPr>
              <w:tab/>
            </w:r>
            <w:r>
              <w:rPr>
                <w:noProof/>
                <w:webHidden/>
              </w:rPr>
              <w:fldChar w:fldCharType="begin"/>
            </w:r>
            <w:r>
              <w:rPr>
                <w:noProof/>
                <w:webHidden/>
              </w:rPr>
              <w:instrText xml:space="preserve"> PAGEREF _Toc223094173 \h </w:instrText>
            </w:r>
            <w:r>
              <w:rPr>
                <w:noProof/>
                <w:webHidden/>
              </w:rPr>
            </w:r>
            <w:r>
              <w:rPr>
                <w:noProof/>
                <w:webHidden/>
              </w:rPr>
              <w:fldChar w:fldCharType="separate"/>
            </w:r>
            <w:r w:rsidR="00A76D9F">
              <w:rPr>
                <w:noProof/>
                <w:webHidden/>
              </w:rPr>
              <w:t>401</w:t>
            </w:r>
            <w:r>
              <w:rPr>
                <w:noProof/>
                <w:webHidden/>
              </w:rPr>
              <w:fldChar w:fldCharType="end"/>
            </w:r>
          </w:hyperlink>
        </w:p>
        <w:p w14:paraId="67D01C68" w14:textId="70428179" w:rsidR="000300A6" w:rsidRDefault="000300A6">
          <w:pPr>
            <w:pStyle w:val="Kazalovsebine2"/>
            <w:rPr>
              <w:rFonts w:asciiTheme="minorHAnsi" w:eastAsiaTheme="minorEastAsia" w:hAnsiTheme="minorHAnsi" w:cstheme="minorBidi"/>
              <w:noProof/>
              <w:kern w:val="2"/>
              <w:sz w:val="24"/>
              <w:szCs w:val="24"/>
              <w:lang w:eastAsia="sl-SI"/>
              <w14:ligatures w14:val="standardContextual"/>
            </w:rPr>
          </w:pPr>
          <w:hyperlink w:anchor="_Toc223094174" w:history="1">
            <w:r w:rsidRPr="00E14024">
              <w:rPr>
                <w:rStyle w:val="Hiperpovezava"/>
                <w:noProof/>
                <w:lang w:eastAsia="sl-SI"/>
              </w:rPr>
              <w:t>3.3 Strateški cilji</w:t>
            </w:r>
            <w:r>
              <w:rPr>
                <w:noProof/>
                <w:webHidden/>
              </w:rPr>
              <w:tab/>
            </w:r>
            <w:r>
              <w:rPr>
                <w:noProof/>
                <w:webHidden/>
              </w:rPr>
              <w:fldChar w:fldCharType="begin"/>
            </w:r>
            <w:r>
              <w:rPr>
                <w:noProof/>
                <w:webHidden/>
              </w:rPr>
              <w:instrText xml:space="preserve"> PAGEREF _Toc223094174 \h </w:instrText>
            </w:r>
            <w:r>
              <w:rPr>
                <w:noProof/>
                <w:webHidden/>
              </w:rPr>
            </w:r>
            <w:r>
              <w:rPr>
                <w:noProof/>
                <w:webHidden/>
              </w:rPr>
              <w:fldChar w:fldCharType="separate"/>
            </w:r>
            <w:r w:rsidR="00A76D9F">
              <w:rPr>
                <w:noProof/>
                <w:webHidden/>
              </w:rPr>
              <w:t>403</w:t>
            </w:r>
            <w:r>
              <w:rPr>
                <w:noProof/>
                <w:webHidden/>
              </w:rPr>
              <w:fldChar w:fldCharType="end"/>
            </w:r>
          </w:hyperlink>
        </w:p>
        <w:p w14:paraId="35DEB878" w14:textId="0E5BD6D1"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75" w:history="1">
            <w:r w:rsidRPr="00E14024">
              <w:rPr>
                <w:rStyle w:val="Hiperpovezava"/>
              </w:rPr>
              <w:t>3.3.1 Izboljšava sistemskega okvira delovanja Državnega odvetništva RS na način, ki bo zagotavljal še bolj učinkovito izvajanje pristojnosti in zagotovil stabilno in pravično delovno okolje</w:t>
            </w:r>
            <w:r>
              <w:rPr>
                <w:webHidden/>
              </w:rPr>
              <w:tab/>
            </w:r>
            <w:r>
              <w:rPr>
                <w:webHidden/>
              </w:rPr>
              <w:fldChar w:fldCharType="begin"/>
            </w:r>
            <w:r>
              <w:rPr>
                <w:webHidden/>
              </w:rPr>
              <w:instrText xml:space="preserve"> PAGEREF _Toc223094175 \h </w:instrText>
            </w:r>
            <w:r>
              <w:rPr>
                <w:webHidden/>
              </w:rPr>
            </w:r>
            <w:r>
              <w:rPr>
                <w:webHidden/>
              </w:rPr>
              <w:fldChar w:fldCharType="separate"/>
            </w:r>
            <w:r w:rsidR="00A76D9F">
              <w:rPr>
                <w:webHidden/>
              </w:rPr>
              <w:t>403</w:t>
            </w:r>
            <w:r>
              <w:rPr>
                <w:webHidden/>
              </w:rPr>
              <w:fldChar w:fldCharType="end"/>
            </w:r>
          </w:hyperlink>
        </w:p>
        <w:p w14:paraId="3C57A2A5" w14:textId="42F0958F"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76" w:history="1">
            <w:r w:rsidRPr="00E14024">
              <w:rPr>
                <w:rStyle w:val="Hiperpovezava"/>
              </w:rPr>
              <w:t>3.3.2 Nadaljnje zagotavljanje kakovostnega izvajanja pristojnosti</w:t>
            </w:r>
            <w:r>
              <w:rPr>
                <w:webHidden/>
              </w:rPr>
              <w:tab/>
            </w:r>
            <w:r>
              <w:rPr>
                <w:webHidden/>
              </w:rPr>
              <w:fldChar w:fldCharType="begin"/>
            </w:r>
            <w:r>
              <w:rPr>
                <w:webHidden/>
              </w:rPr>
              <w:instrText xml:space="preserve"> PAGEREF _Toc223094176 \h </w:instrText>
            </w:r>
            <w:r>
              <w:rPr>
                <w:webHidden/>
              </w:rPr>
            </w:r>
            <w:r>
              <w:rPr>
                <w:webHidden/>
              </w:rPr>
              <w:fldChar w:fldCharType="separate"/>
            </w:r>
            <w:r w:rsidR="00A76D9F">
              <w:rPr>
                <w:webHidden/>
              </w:rPr>
              <w:t>404</w:t>
            </w:r>
            <w:r>
              <w:rPr>
                <w:webHidden/>
              </w:rPr>
              <w:fldChar w:fldCharType="end"/>
            </w:r>
          </w:hyperlink>
        </w:p>
        <w:p w14:paraId="09075F9F" w14:textId="66D50A9E"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77" w:history="1">
            <w:r w:rsidRPr="00E14024">
              <w:rPr>
                <w:rStyle w:val="Hiperpovezava"/>
              </w:rPr>
              <w:t xml:space="preserve">3.3.3 </w:t>
            </w:r>
            <w:r w:rsidRPr="00E14024">
              <w:rPr>
                <w:rStyle w:val="Hiperpovezava"/>
                <w:rFonts w:eastAsia="Calibri"/>
              </w:rPr>
              <w:t>Pritegnitev mladega kadra in zagotovitev uravnotežene obremenjenosti zaposlenih</w:t>
            </w:r>
            <w:r>
              <w:rPr>
                <w:webHidden/>
              </w:rPr>
              <w:tab/>
            </w:r>
            <w:r>
              <w:rPr>
                <w:webHidden/>
              </w:rPr>
              <w:fldChar w:fldCharType="begin"/>
            </w:r>
            <w:r>
              <w:rPr>
                <w:webHidden/>
              </w:rPr>
              <w:instrText xml:space="preserve"> PAGEREF _Toc223094177 \h </w:instrText>
            </w:r>
            <w:r>
              <w:rPr>
                <w:webHidden/>
              </w:rPr>
            </w:r>
            <w:r>
              <w:rPr>
                <w:webHidden/>
              </w:rPr>
              <w:fldChar w:fldCharType="separate"/>
            </w:r>
            <w:r w:rsidR="00A76D9F">
              <w:rPr>
                <w:webHidden/>
              </w:rPr>
              <w:t>405</w:t>
            </w:r>
            <w:r>
              <w:rPr>
                <w:webHidden/>
              </w:rPr>
              <w:fldChar w:fldCharType="end"/>
            </w:r>
          </w:hyperlink>
        </w:p>
        <w:p w14:paraId="7AEC1BC4" w14:textId="64E29795"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78" w:history="1">
            <w:r w:rsidRPr="00E14024">
              <w:rPr>
                <w:rStyle w:val="Hiperpovezava"/>
              </w:rPr>
              <w:t>3.3.4 N</w:t>
            </w:r>
            <w:r w:rsidRPr="00E14024">
              <w:rPr>
                <w:rStyle w:val="Hiperpovezava"/>
                <w:rFonts w:eastAsia="Calibri"/>
              </w:rPr>
              <w:t>adaljnja optimizacija in digitalizacija poslovanja z vključevanjem rešitev umetne inteligence</w:t>
            </w:r>
            <w:r>
              <w:rPr>
                <w:webHidden/>
              </w:rPr>
              <w:tab/>
            </w:r>
            <w:r>
              <w:rPr>
                <w:webHidden/>
              </w:rPr>
              <w:fldChar w:fldCharType="begin"/>
            </w:r>
            <w:r>
              <w:rPr>
                <w:webHidden/>
              </w:rPr>
              <w:instrText xml:space="preserve"> PAGEREF _Toc223094178 \h </w:instrText>
            </w:r>
            <w:r>
              <w:rPr>
                <w:webHidden/>
              </w:rPr>
            </w:r>
            <w:r>
              <w:rPr>
                <w:webHidden/>
              </w:rPr>
              <w:fldChar w:fldCharType="separate"/>
            </w:r>
            <w:r w:rsidR="00A76D9F">
              <w:rPr>
                <w:webHidden/>
              </w:rPr>
              <w:t>406</w:t>
            </w:r>
            <w:r>
              <w:rPr>
                <w:webHidden/>
              </w:rPr>
              <w:fldChar w:fldCharType="end"/>
            </w:r>
          </w:hyperlink>
        </w:p>
        <w:p w14:paraId="4EF23992" w14:textId="58C89B3B"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79" w:history="1">
            <w:r w:rsidRPr="00E14024">
              <w:rPr>
                <w:rStyle w:val="Hiperpovezava"/>
              </w:rPr>
              <w:t>3.3.5 Transparentnost poslovanja</w:t>
            </w:r>
            <w:r>
              <w:rPr>
                <w:webHidden/>
              </w:rPr>
              <w:tab/>
            </w:r>
            <w:r>
              <w:rPr>
                <w:webHidden/>
              </w:rPr>
              <w:fldChar w:fldCharType="begin"/>
            </w:r>
            <w:r>
              <w:rPr>
                <w:webHidden/>
              </w:rPr>
              <w:instrText xml:space="preserve"> PAGEREF _Toc223094179 \h </w:instrText>
            </w:r>
            <w:r>
              <w:rPr>
                <w:webHidden/>
              </w:rPr>
            </w:r>
            <w:r>
              <w:rPr>
                <w:webHidden/>
              </w:rPr>
              <w:fldChar w:fldCharType="separate"/>
            </w:r>
            <w:r w:rsidR="00A76D9F">
              <w:rPr>
                <w:webHidden/>
              </w:rPr>
              <w:t>406</w:t>
            </w:r>
            <w:r>
              <w:rPr>
                <w:webHidden/>
              </w:rPr>
              <w:fldChar w:fldCharType="end"/>
            </w:r>
          </w:hyperlink>
        </w:p>
        <w:p w14:paraId="3D976A2F" w14:textId="1E99D5D4"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80" w:history="1">
            <w:r w:rsidRPr="00E14024">
              <w:rPr>
                <w:rStyle w:val="Hiperpovezava"/>
              </w:rPr>
              <w:t>3.3.6 Stimulativno delovno okolje, ki zaposlene motivira k inovativnosti in ustvarjalnosti</w:t>
            </w:r>
            <w:r>
              <w:rPr>
                <w:webHidden/>
              </w:rPr>
              <w:tab/>
            </w:r>
            <w:r>
              <w:rPr>
                <w:webHidden/>
              </w:rPr>
              <w:fldChar w:fldCharType="begin"/>
            </w:r>
            <w:r>
              <w:rPr>
                <w:webHidden/>
              </w:rPr>
              <w:instrText xml:space="preserve"> PAGEREF _Toc223094180 \h </w:instrText>
            </w:r>
            <w:r>
              <w:rPr>
                <w:webHidden/>
              </w:rPr>
            </w:r>
            <w:r>
              <w:rPr>
                <w:webHidden/>
              </w:rPr>
              <w:fldChar w:fldCharType="separate"/>
            </w:r>
            <w:r w:rsidR="00A76D9F">
              <w:rPr>
                <w:webHidden/>
              </w:rPr>
              <w:t>407</w:t>
            </w:r>
            <w:r>
              <w:rPr>
                <w:webHidden/>
              </w:rPr>
              <w:fldChar w:fldCharType="end"/>
            </w:r>
          </w:hyperlink>
        </w:p>
        <w:p w14:paraId="74D1663C" w14:textId="1B6DA26D" w:rsidR="000300A6" w:rsidRDefault="000300A6">
          <w:pPr>
            <w:pStyle w:val="Kazalovsebine3"/>
            <w:rPr>
              <w:rFonts w:asciiTheme="minorHAnsi" w:eastAsiaTheme="minorEastAsia" w:hAnsiTheme="minorHAnsi" w:cstheme="minorBidi"/>
              <w:kern w:val="2"/>
              <w:sz w:val="24"/>
              <w:szCs w:val="24"/>
              <w:lang w:eastAsia="sl-SI"/>
              <w14:ligatures w14:val="standardContextual"/>
            </w:rPr>
          </w:pPr>
          <w:hyperlink w:anchor="_Toc223094181" w:history="1">
            <w:r w:rsidRPr="00E14024">
              <w:rPr>
                <w:rStyle w:val="Hiperpovezava"/>
              </w:rPr>
              <w:t>3.3.7 Intenzivnejše mednarodno sodelovanje z drugimi zastopniki držav in ustanovitev mednarodnega združenja zastopnikov držav pred sodišči</w:t>
            </w:r>
            <w:r>
              <w:rPr>
                <w:webHidden/>
              </w:rPr>
              <w:tab/>
            </w:r>
            <w:r>
              <w:rPr>
                <w:webHidden/>
              </w:rPr>
              <w:fldChar w:fldCharType="begin"/>
            </w:r>
            <w:r>
              <w:rPr>
                <w:webHidden/>
              </w:rPr>
              <w:instrText xml:space="preserve"> PAGEREF _Toc223094181 \h </w:instrText>
            </w:r>
            <w:r>
              <w:rPr>
                <w:webHidden/>
              </w:rPr>
            </w:r>
            <w:r>
              <w:rPr>
                <w:webHidden/>
              </w:rPr>
              <w:fldChar w:fldCharType="separate"/>
            </w:r>
            <w:r w:rsidR="00A76D9F">
              <w:rPr>
                <w:webHidden/>
              </w:rPr>
              <w:t>407</w:t>
            </w:r>
            <w:r>
              <w:rPr>
                <w:webHidden/>
              </w:rPr>
              <w:fldChar w:fldCharType="end"/>
            </w:r>
          </w:hyperlink>
        </w:p>
        <w:p w14:paraId="7FB395C7" w14:textId="204C11D9" w:rsidR="00695AE2" w:rsidRDefault="00695AE2" w:rsidP="00695AE2">
          <w:pPr>
            <w:jc w:val="both"/>
          </w:pPr>
          <w:r>
            <w:fldChar w:fldCharType="end"/>
          </w:r>
        </w:p>
      </w:sdtContent>
    </w:sdt>
    <w:p w14:paraId="3D5AF3DD" w14:textId="77777777" w:rsidR="000D6881" w:rsidRPr="000D6881" w:rsidRDefault="000D6881" w:rsidP="000D6881"/>
    <w:p w14:paraId="2785DF31" w14:textId="2D5C2D70" w:rsidR="00695AE2" w:rsidRPr="00FE1A82" w:rsidRDefault="000D6881" w:rsidP="000D6881">
      <w:pPr>
        <w:tabs>
          <w:tab w:val="left" w:pos="2530"/>
        </w:tabs>
        <w:rPr>
          <w:rFonts w:eastAsia="Calibri"/>
          <w:b/>
          <w:sz w:val="40"/>
          <w:szCs w:val="40"/>
          <w:highlight w:val="green"/>
          <w:u w:val="single"/>
        </w:rPr>
      </w:pPr>
      <w:r>
        <w:tab/>
      </w:r>
      <w:r w:rsidR="00695AE2" w:rsidRPr="00FE1A82">
        <w:rPr>
          <w:highlight w:val="green"/>
        </w:rPr>
        <w:br w:type="page"/>
      </w:r>
    </w:p>
    <w:p w14:paraId="1858A5D2" w14:textId="77777777" w:rsidR="00AC73C2" w:rsidRDefault="00AC73C2" w:rsidP="00AC73C2">
      <w:pPr>
        <w:pStyle w:val="Naslov1"/>
        <w:numPr>
          <w:ilvl w:val="0"/>
          <w:numId w:val="0"/>
        </w:numPr>
        <w:ind w:left="432" w:hanging="432"/>
        <w:rPr>
          <w:rFonts w:asciiTheme="minorHAnsi" w:hAnsiTheme="minorHAnsi" w:cstheme="minorHAnsi"/>
        </w:rPr>
      </w:pPr>
      <w:bookmarkStart w:id="0" w:name="_Toc223093690"/>
      <w:bookmarkStart w:id="1" w:name="_Toc97639660"/>
      <w:r w:rsidRPr="00261687">
        <w:rPr>
          <w:rFonts w:asciiTheme="minorHAnsi" w:hAnsiTheme="minorHAnsi" w:cstheme="minorHAnsi"/>
        </w:rPr>
        <w:lastRenderedPageBreak/>
        <w:t>PREDGOVOR</w:t>
      </w:r>
      <w:bookmarkEnd w:id="0"/>
    </w:p>
    <w:p w14:paraId="0163ECDF" w14:textId="77777777" w:rsidR="00AF1686" w:rsidRPr="00AF1686" w:rsidRDefault="00AF1686" w:rsidP="00AF1686">
      <w:pPr>
        <w:rPr>
          <w:sz w:val="36"/>
          <w:szCs w:val="36"/>
        </w:rPr>
      </w:pPr>
    </w:p>
    <w:bookmarkEnd w:id="1"/>
    <w:p w14:paraId="0AE82F73" w14:textId="77777777" w:rsidR="00F47F97" w:rsidRDefault="00F47F97" w:rsidP="00F47F97">
      <w:pPr>
        <w:spacing w:line="240" w:lineRule="auto"/>
      </w:pPr>
      <w:r w:rsidRPr="006B4A5A">
        <w:t>Spoštovani</w:t>
      </w:r>
      <w:r>
        <w:t>.</w:t>
      </w:r>
    </w:p>
    <w:p w14:paraId="1739CE25" w14:textId="77777777" w:rsidR="00F47F97" w:rsidRDefault="00F47F97" w:rsidP="00F47F97">
      <w:pPr>
        <w:spacing w:line="240" w:lineRule="auto"/>
      </w:pPr>
    </w:p>
    <w:p w14:paraId="454BC134" w14:textId="77777777" w:rsidR="00F47F97" w:rsidRDefault="00F47F97" w:rsidP="00F47F97">
      <w:pPr>
        <w:spacing w:line="240" w:lineRule="auto"/>
        <w:jc w:val="both"/>
      </w:pPr>
      <w:r>
        <w:t>Na dan, ko pišem ta predgovor, je zanimiv datum, 26. 2. v letu 2026. Igra izbranih številk, seštevka dveh desetic in njun zmnožek, stotica, kot simbol neke celote. Svet okoli nas lahko vidimo kot celoto ali kot seštevek delcev, morda celo kot seštevek izjemno velikega števila izjemno majhnih, komaj opaznih delcev. Naša izbira je, katero perspektivo bomo izbrali. Rezultat celote je na koncu enak, razlika med obema perspektivama pa ogromna.</w:t>
      </w:r>
    </w:p>
    <w:p w14:paraId="0870FB70" w14:textId="1FA62E52" w:rsidR="00F47F97" w:rsidRDefault="00F47F97" w:rsidP="00F47F97">
      <w:pPr>
        <w:spacing w:line="240" w:lineRule="auto"/>
        <w:jc w:val="both"/>
      </w:pPr>
      <w:r>
        <w:t xml:space="preserve">  </w:t>
      </w:r>
    </w:p>
    <w:p w14:paraId="716AB50D" w14:textId="77777777" w:rsidR="00F47F97" w:rsidRDefault="00F47F97" w:rsidP="00F47F97">
      <w:pPr>
        <w:tabs>
          <w:tab w:val="left" w:pos="1620"/>
        </w:tabs>
        <w:spacing w:line="240" w:lineRule="auto"/>
        <w:jc w:val="both"/>
      </w:pPr>
      <w:r>
        <w:t>Leto 2025 je bilo kot celota za Državno odvetništvo RS še eno uspešno leto. To ne pove veliko. Zato se obračam k posameznim delcem te celote, številkam, ki so glavni pokazatelj tega, kako smo se odrezali na posameznem področju. Številke lanskoletne statistike povedo, da smo v lanskem letu kljub več kot 5 odstotnemu povečanju pripada zaključili skoraj 6 odstotkov več zadev kot v letu 2024, delež nerešenih pa je bil ob koncu leta 2025 za slabih 6 odstotkov manjši kot leto poprej. V delu smo imeli več kot 80.000 zadev. Te številke o letu, ki je za nami, že povedo nekaj več, a nič o vsebini, ki jih napolnjuje. Vsebina pa je pri nas res raznovrstna, saj državne odvetnice in državni odvetniki Republiki Sloveniji zagotavljamo storitve pravnega zastopanja in svetovanja praktično na vseh področjih z izjemo področja kazenskega pregona. V zgornjih številkah je tako zajeto vse, od množice manjših in pravno pogosto manj zahtevnih zadev, do velikega števila večjih, predvsem pravdnih, upravnopravnih</w:t>
      </w:r>
      <w:r w:rsidRPr="00CB09B5">
        <w:t xml:space="preserve"> </w:t>
      </w:r>
      <w:r>
        <w:t xml:space="preserve">ter delovnopravnih in socialnopravnih zadev; prav te so v primerjavi s preteklim letom porasle za več kot 121 odstotkov. Med zadevami, ki izstopajo tudi po vrednosti spornega predmeta, je veliko gospodarskopravnih, pa tudi nekaj mednarodnih arbitraž s sto in več milijonskimi vrednostmi spornega predmeta. Opazno je narasel tudi delež prejetih pritožb s strani Evropskega sodišča za človekove pravice, saj smo jih v letu 2025 prejeli za dobrih 58 odstotkov več kot v letu 2024. </w:t>
      </w:r>
    </w:p>
    <w:p w14:paraId="333CA257" w14:textId="77777777" w:rsidR="00F47F97" w:rsidRDefault="00F47F97" w:rsidP="00F47F97">
      <w:pPr>
        <w:tabs>
          <w:tab w:val="left" w:pos="1620"/>
        </w:tabs>
        <w:spacing w:line="240" w:lineRule="auto"/>
        <w:jc w:val="both"/>
      </w:pPr>
    </w:p>
    <w:p w14:paraId="25B0AADC" w14:textId="77777777" w:rsidR="00F47F97" w:rsidRDefault="00F47F97" w:rsidP="00F47F97">
      <w:pPr>
        <w:tabs>
          <w:tab w:val="left" w:pos="1620"/>
        </w:tabs>
        <w:spacing w:line="240" w:lineRule="auto"/>
        <w:jc w:val="both"/>
      </w:pPr>
      <w:r>
        <w:t xml:space="preserve">Javnost vselej z velikim zanimanjem spremlja tudi področje, ki je za naše delo najbolj značilno, to je področje odškodninske odgovornosti države. Tudi letos je uspeh zaključenih zadev izjemen, skoraj 99 odstoten. Natančneje, </w:t>
      </w:r>
      <w:r w:rsidRPr="00731912">
        <w:t xml:space="preserve">Republiki Sloveniji </w:t>
      </w:r>
      <w:r>
        <w:t xml:space="preserve">je bilo </w:t>
      </w:r>
      <w:r w:rsidRPr="00731912">
        <w:t xml:space="preserve">od celotnega zneska, ki so ga nasprotne stranke vtoževale </w:t>
      </w:r>
      <w:r>
        <w:t xml:space="preserve">pred slovenskimi sodišči </w:t>
      </w:r>
      <w:r w:rsidRPr="00731912">
        <w:t xml:space="preserve">iz naslova odškodninske odgovornosti države in je znašal 48.696.691,14 evra, </w:t>
      </w:r>
      <w:r>
        <w:t>v</w:t>
      </w:r>
      <w:r w:rsidRPr="00731912">
        <w:t xml:space="preserve"> plačilo</w:t>
      </w:r>
      <w:r>
        <w:t xml:space="preserve"> naloženo</w:t>
      </w:r>
      <w:r w:rsidRPr="00731912">
        <w:t xml:space="preserve"> le 1,29 odstotka, kar 98,71 odstotka vtoževanih spornih zneskov glavnic</w:t>
      </w:r>
      <w:r>
        <w:t xml:space="preserve">, kar v številki predstavlja </w:t>
      </w:r>
      <w:r w:rsidRPr="00731912">
        <w:t xml:space="preserve">48.069.596,85 evrov, pa </w:t>
      </w:r>
      <w:r>
        <w:t xml:space="preserve">predstavlja vrednost zahtevkov proti državi, ki so jih sodišča zavrnila. Ta znesek zato pomeni tudi večmilijonski </w:t>
      </w:r>
      <w:r w:rsidRPr="00731912">
        <w:t>prihranek za proračun</w:t>
      </w:r>
      <w:r>
        <w:t xml:space="preserve">. </w:t>
      </w:r>
      <w:r w:rsidRPr="00107181">
        <w:t>A tudi ta prihranek je celota, ki odraža več kot le številko</w:t>
      </w:r>
      <w:r>
        <w:t xml:space="preserve">. Odraža namreč požrtvovalno delo državnih odvetnic in odvetnikov, ažurno sodelovanje subjektov, ki jih zastopamo, delo sodišč v obliki 706 zaključenih sodnih sporov, seveda pa tudi dejstvo, da je bila večina zahtevkov proti državi po vsebini neutemeljena. Uspeh v sodnih postopkih pa ne pomeni le proračunskega prihranka, ampak tudi njegov prihodek. V letu 2025 je Državno odvetništvo RS </w:t>
      </w:r>
      <w:r w:rsidRPr="00731912">
        <w:t xml:space="preserve">iz naslova priznanih stroškov zastopanja v proračun </w:t>
      </w:r>
      <w:r>
        <w:t xml:space="preserve">odvedlo </w:t>
      </w:r>
      <w:r w:rsidRPr="00731912">
        <w:t>za 777.239,23 evrov prihodkov</w:t>
      </w:r>
      <w:r>
        <w:t xml:space="preserve">. </w:t>
      </w:r>
    </w:p>
    <w:p w14:paraId="548270ED" w14:textId="77777777" w:rsidR="00F47F97" w:rsidRDefault="00F47F97" w:rsidP="00F47F97">
      <w:pPr>
        <w:tabs>
          <w:tab w:val="left" w:pos="1620"/>
        </w:tabs>
        <w:spacing w:line="240" w:lineRule="auto"/>
        <w:jc w:val="both"/>
      </w:pPr>
    </w:p>
    <w:p w14:paraId="05978C92" w14:textId="77777777" w:rsidR="00F47F97" w:rsidRDefault="00F47F97" w:rsidP="00F47F97">
      <w:pPr>
        <w:tabs>
          <w:tab w:val="left" w:pos="1620"/>
        </w:tabs>
        <w:spacing w:line="240" w:lineRule="auto"/>
        <w:jc w:val="both"/>
      </w:pPr>
      <w:r>
        <w:t>Zgornje številke povedo največ o tem, kako izvršujemo naše pristojnosti. Te so srž našega poslanstva, naše odgovornosti in našega truda. Ta predgovor bi lahko zato na tem mestu zaključila, a si bom dovolila še nekaj vrstic.</w:t>
      </w:r>
    </w:p>
    <w:p w14:paraId="639E7FD8" w14:textId="77777777" w:rsidR="00F47F97" w:rsidRDefault="00F47F97" w:rsidP="00F47F97">
      <w:pPr>
        <w:tabs>
          <w:tab w:val="left" w:pos="1620"/>
        </w:tabs>
        <w:spacing w:line="240" w:lineRule="auto"/>
        <w:jc w:val="both"/>
      </w:pPr>
    </w:p>
    <w:p w14:paraId="21F87DEE" w14:textId="77777777" w:rsidR="00F47F97" w:rsidRDefault="00F47F97" w:rsidP="00F47F97">
      <w:pPr>
        <w:tabs>
          <w:tab w:val="left" w:pos="1620"/>
        </w:tabs>
        <w:spacing w:line="240" w:lineRule="auto"/>
        <w:jc w:val="both"/>
      </w:pPr>
      <w:r>
        <w:lastRenderedPageBreak/>
        <w:t xml:space="preserve">Predvsem zato, ker smo državne odvetnice in državni odvetniki več kot le seštevek rezultatov našega dela. Smo predvsem seštevek ljudi, naših izkušenj, znanja in vztrajnosti, pa tudi razpoloženj, razočaranj, upov, pričakovanj in želja. Ta mešanica je nepredvidljiva, na trenutke eksplozivna, a ima pozitiven predznak, čeprav za razliko od nekaterih števil nikoli ne bomo popolni. Kakšno je bilo torej leto 2025 za državne odvetnice, državne odvetnike in za Državno odvetništvo RS kot celoto? </w:t>
      </w:r>
    </w:p>
    <w:p w14:paraId="3146669E" w14:textId="77777777" w:rsidR="00F47F97" w:rsidRDefault="00F47F97" w:rsidP="00F47F97">
      <w:pPr>
        <w:tabs>
          <w:tab w:val="left" w:pos="1620"/>
        </w:tabs>
        <w:spacing w:line="240" w:lineRule="auto"/>
        <w:jc w:val="both"/>
      </w:pPr>
    </w:p>
    <w:p w14:paraId="5503D27A" w14:textId="77777777" w:rsidR="00F47F97" w:rsidRDefault="00F47F97" w:rsidP="00F47F97">
      <w:pPr>
        <w:tabs>
          <w:tab w:val="left" w:pos="1620"/>
        </w:tabs>
        <w:spacing w:line="240" w:lineRule="auto"/>
        <w:jc w:val="both"/>
      </w:pPr>
      <w:r>
        <w:t>Vse dogajanje preteklega leta seveda ni imelo pozitivnega predznaka. Prizadevanja za sprejem novele ZDOdv, ki bi končno odpravila anomalije naše sistemske ureditve, so do sredine leta 2025 še obetala rezultat, v drugi polovici leta pa so zaradi prioritetnega dela Ministrstva za pravosodje na svežnju sodniške zakonodaje praktično zastala. Zaradi izteka mandata aktualne vlade bo ta zastoj nujno še daljši, s tem pa tudi obdobje, ko državne odvetnice in odvetniki svoje delo opravljamo v okolju, ki za u</w:t>
      </w:r>
      <w:r>
        <w:rPr>
          <w:rFonts w:asciiTheme="minorHAnsi" w:eastAsia="Calibri" w:hAnsiTheme="minorHAnsi" w:cstheme="minorHAnsi"/>
        </w:rPr>
        <w:t>činkovito izvajanje naših pristojnosti ni optimalno. Smo državni organ – hibrid, neke vrste sistemski brezdomec, ki za opravljanje svojih pristojnosti nima ustreznega opolnomočenja in podpore v predpisih, ki urejajo njegovo delovanje. V tem oziru je vizija Državnega odvetništva RS jasna in ostaja nespremenjena, čeprav je njeno uresničevanje zaenkrat odloženo</w:t>
      </w:r>
      <w:r>
        <w:t>. Z lanskim letom je v veljavo stopila tudi plačna reforma. Ta je zagotovo prinesla marsikaj pozitivnega, a zaradi svojega sistemskega značaja v povezavi z odsotnostjo sprememb ZDOdv žal ni mogla ustrezno nasloviti specifičnega položaja najbolj izkušenih pravobranilcev, torej tistih, ki so svojo pot začeli kot funkcionarji in jo zaradi reforme, ki jo je nepremišljeno uvedel Zakon o državnem odvetništvu, nadaljevali kot javni uslužbenci. V posledici so se plačne razlike med kolegi, ki opravljajo enako delo, še poglobile in posebej ter nepravično prizadele najbolj izkušene med nami. Prav različna obravnava je tista, ki najbolj škoduje kolektivu. Tistim, ki svoje zahtevke zoper državo uveljavljajo pred sodišči, so se tako v preteklem letu pridružili tudi nekateri državni odvetniki. Ta razvoj dogodkov zbuja nelagodje, a je bil pričakovan.</w:t>
      </w:r>
    </w:p>
    <w:p w14:paraId="240AD897" w14:textId="77777777" w:rsidR="00F47F97" w:rsidRDefault="00F47F97" w:rsidP="00F47F97">
      <w:pPr>
        <w:tabs>
          <w:tab w:val="left" w:pos="1620"/>
        </w:tabs>
        <w:spacing w:line="240" w:lineRule="auto"/>
        <w:jc w:val="both"/>
      </w:pPr>
    </w:p>
    <w:p w14:paraId="0EAE62F2" w14:textId="77777777" w:rsidR="00F47F97" w:rsidRDefault="00F47F97" w:rsidP="00F47F97">
      <w:pPr>
        <w:tabs>
          <w:tab w:val="left" w:pos="1620"/>
        </w:tabs>
        <w:spacing w:line="240" w:lineRule="auto"/>
        <w:jc w:val="both"/>
      </w:pPr>
      <w:r>
        <w:t xml:space="preserve">Z izjemo navedenega pa je bilo v letu 2025 tudi v naših vrstah veliko pozitivnega in to so tisti delci celote, ki nedvomno zasijejo prek vseh ostalih. V letu 2025 imajo tudi skupni imenovalec, zame enega najžlahtnejših, in to je samoiniciativnost. </w:t>
      </w:r>
    </w:p>
    <w:p w14:paraId="2B8AE8BE" w14:textId="77777777" w:rsidR="00F47F97" w:rsidRDefault="00F47F97" w:rsidP="00F47F97">
      <w:pPr>
        <w:tabs>
          <w:tab w:val="left" w:pos="1620"/>
        </w:tabs>
        <w:spacing w:line="240" w:lineRule="auto"/>
        <w:jc w:val="both"/>
      </w:pPr>
    </w:p>
    <w:p w14:paraId="5316A279" w14:textId="77777777" w:rsidR="00F47F97" w:rsidRDefault="00F47F97" w:rsidP="00F47F97">
      <w:pPr>
        <w:tabs>
          <w:tab w:val="left" w:pos="1620"/>
        </w:tabs>
        <w:spacing w:line="240" w:lineRule="auto"/>
        <w:jc w:val="both"/>
      </w:pPr>
      <w:r>
        <w:t xml:space="preserve">Državno odvetništvo RS je v letu 2025 naredilo opazen premik na področju zastopanja centrov za socialno delo v družinskih sporih, v zvezi s čimer je bila na Državnem odvetništvu RS v letu 2025 ustanovljena posebna delovna skupina, ki združuje kolege z izkušnjami in znanjem tako iz postopkov pred domačimi sodišči, tudi Ustavnim sodiščem RS, kot iz postopkov pred Evropskim sodiščem za človekove pravice. Njeni člani so Ministrstvu za pravosodje sami predlagali svojo vključitev v njegovo medresorsko delovno skupino s tega področja, na lastno iniciativo so skupaj z zunanjimi strokovnjaki organizirali tudi dvodnevna izobraževanja, ki so se uspešno in predvsem ob veliki udeležbi zaposlenih na centrih za socialno delo pričela izvajati januarja 2026. Delovna skupina Državnega odvetništva RS spremlja in se ažurno odziva na aktualne dogodke, ki bi lahko vodili v večje število sporov, odzivi centrov za socialno delo in resornih ministrstev na tovrsten angažma pa so zelo pozitivni. Podobno aktivnost je zaznati na področju predpisov, ki urejajo dodeljevanje brezplačne pravne pomoči. Tudi na tem področju Državno odvetništvo RS aktivno sodeluje z Ministrstvom za pravosodje in predlaga rešitve, ki bi lahko omejile zlorabe te pravice, ki jih pri svojem delu zaznavajo državne odvetnice in državni odvetniki. </w:t>
      </w:r>
    </w:p>
    <w:p w14:paraId="2663DD84" w14:textId="77777777" w:rsidR="00F47F97" w:rsidRDefault="00F47F97" w:rsidP="00F47F97">
      <w:pPr>
        <w:tabs>
          <w:tab w:val="left" w:pos="1620"/>
        </w:tabs>
        <w:spacing w:line="240" w:lineRule="auto"/>
        <w:jc w:val="both"/>
      </w:pPr>
      <w:r>
        <w:lastRenderedPageBreak/>
        <w:t xml:space="preserve">Naša samoiniciativnost pa ni omejena zgolj na pravna področja. V lanskem letu je Državno odvetništvo RS Vrhovnemu sodišču RS, Ustavnemu sodišču RS, Vrhovnemu državnemu tožilstvu in Ministrstvu za pravosodje predstavilo pobudo za projekt, ki bi na področju digitalizacije vodil do bolj usklajenega delovanja pravosodnih organov, do skupne strategije, pregleda projektov na skupni platformi, posledično pa do izmenjave dobrih praks ter do stroškovnih in časovnih prihrankov. Prepogosto namreč opažamo, da pravosodni organi te projekte vodimo izolirano drug od drugega, čeprav so si v marsičem podobni. Usklajen pristop bi bil mnogo bolj učinkovit in je edini, ki lahko zagotavlja interoperabilnost digitalnih okolij posameznih organov in s tem cilj, ki nam je skupen – brezpapirno poslovanje. Odziv vseh omenjenih organov je bil pozitiven, prve aktivnosti pa so se v organizaciji Državnega odvetništva RS pričele konec lanskega leta. </w:t>
      </w:r>
    </w:p>
    <w:p w14:paraId="6DBE0419" w14:textId="77777777" w:rsidR="00F47F97" w:rsidRDefault="00F47F97" w:rsidP="00F47F97">
      <w:pPr>
        <w:tabs>
          <w:tab w:val="left" w:pos="1620"/>
        </w:tabs>
        <w:spacing w:line="240" w:lineRule="auto"/>
        <w:jc w:val="both"/>
      </w:pPr>
    </w:p>
    <w:p w14:paraId="6035D776" w14:textId="77777777" w:rsidR="00F47F97" w:rsidRDefault="00F47F97" w:rsidP="00F47F97">
      <w:pPr>
        <w:tabs>
          <w:tab w:val="left" w:pos="1620"/>
        </w:tabs>
        <w:spacing w:line="240" w:lineRule="auto"/>
        <w:jc w:val="both"/>
      </w:pPr>
      <w:r>
        <w:t>Še ena pobuda Državnega odvetništva RS vsekakor zasluži omembo, v prvi vrsti pa omembo in pohvalo zaslužijo tisti, ki jim je namenjena. To so naše sodelavke in sodelavci iz administracije, ki jim žal še vedno premalokrat povemo, da so vitalen in nepogrešljiv del našega kolektiva. Državno odvetništvo RS je zato z željo, da se kolegom iz administracije ne le na Državnem odvetništvu RS, ampak tudi v drugih pravosodnih organih omogoči izobraževanje v enakem formatu, kot smo ga deležni pravniki, Ministrstvu za pravosodje predlagalo uvedbo novega izobraževanja, t. j. dvodnevne Šole pravosodnega osebja, ki bi potekala v živo in bi med drugim zajemala predavanja s področja varstva osebnih podatkov, obvladovanja stresa, komunikacijskih veščin, varne uporabe umetne inteligence, integritete, idr. Tudi ta pobuda je bila na naše veliko navdušenje sprejeta in je že vključena v program Centra za izobraževanje v pravosodju za leto 2026, dogovorjeno pa je bilo, da bomo šolo bomo izmenično vodili Državno odvetništvo RS, Vrhovno sodišče RS in Vrhovno državno tožilstvo. Prvo šolo bo kot pobudnik tega izobraževanja vodilo Državno odvetništvo RS.</w:t>
      </w:r>
    </w:p>
    <w:p w14:paraId="57EC3476" w14:textId="77777777" w:rsidR="00F47F97" w:rsidRDefault="00F47F97" w:rsidP="00F47F97">
      <w:pPr>
        <w:tabs>
          <w:tab w:val="left" w:pos="1620"/>
        </w:tabs>
        <w:spacing w:line="240" w:lineRule="auto"/>
        <w:jc w:val="both"/>
      </w:pPr>
    </w:p>
    <w:p w14:paraId="0C97A0CA" w14:textId="77777777" w:rsidR="00F47F97" w:rsidRDefault="00F47F97" w:rsidP="00F47F97">
      <w:pPr>
        <w:spacing w:line="240" w:lineRule="auto"/>
        <w:jc w:val="both"/>
      </w:pPr>
      <w:r>
        <w:t>Na te naše pobude, predvsem pa na ljudi, ki stojijo za njimi, sem ponosna. Ne le zato, ker iskreno verjamem, da bodo skozi čas, ko bodo bolj zaživele, prinesle resnično dodano vrednost za širšo skupnost, temveč tudi zato, ker iz njih izhaja, da se na Državnem odvetništvu RS zavedamo, da smo del širše celote. M</w:t>
      </w:r>
      <w:r w:rsidRPr="006B4A5A">
        <w:t>enim, da je povezovanje tudi na ravni urejanja razmerij v državi edini pristop, ki je dolgoročno vzdržen in učinkovit. Znotraj državnega aparata noben zaposleni, noben oddelek nekega organa, noben organ, nobeno področje, noben sektor</w:t>
      </w:r>
      <w:r>
        <w:t xml:space="preserve"> in</w:t>
      </w:r>
      <w:r w:rsidRPr="006B4A5A">
        <w:t xml:space="preserve"> nobena veja oblasti ne preživi sam od sebe, nenazadnje nihče od n</w:t>
      </w:r>
      <w:r>
        <w:t>as</w:t>
      </w:r>
      <w:r w:rsidRPr="006B4A5A">
        <w:t xml:space="preserve"> nima </w:t>
      </w:r>
      <w:r>
        <w:t>svojih</w:t>
      </w:r>
      <w:r w:rsidRPr="006B4A5A">
        <w:t xml:space="preserve"> davkoplačevalcev in ni samozadosten pri izvajanju svojih pristojnosti. </w:t>
      </w:r>
    </w:p>
    <w:p w14:paraId="34900A32" w14:textId="77777777" w:rsidR="00F47F97" w:rsidRDefault="00F47F97" w:rsidP="00F47F97">
      <w:pPr>
        <w:spacing w:line="240" w:lineRule="auto"/>
        <w:jc w:val="both"/>
      </w:pPr>
    </w:p>
    <w:p w14:paraId="30000D79" w14:textId="77777777" w:rsidR="00F47F97" w:rsidRDefault="00F47F97" w:rsidP="00F47F97">
      <w:pPr>
        <w:spacing w:line="240" w:lineRule="auto"/>
        <w:jc w:val="both"/>
      </w:pPr>
      <w:r>
        <w:t xml:space="preserve">Samo povezani delci lahko zato sestavimo celoto, ki je trdna a obenem prilagodljiva in tako dovolj odporna na tveganja, ki jih prinašajo vse bolj zahtevne, dinamične in kompleksne družbene razmere. V tej verigi šteje vsak, tudi majhen delec. </w:t>
      </w:r>
    </w:p>
    <w:p w14:paraId="04F89835" w14:textId="77777777" w:rsidR="00F47F97" w:rsidRDefault="00F47F97" w:rsidP="00F47F97">
      <w:pPr>
        <w:spacing w:line="240" w:lineRule="auto"/>
        <w:jc w:val="both"/>
      </w:pPr>
    </w:p>
    <w:p w14:paraId="0D119541" w14:textId="77777777" w:rsidR="00F47F97" w:rsidRPr="006B4A5A" w:rsidRDefault="00F47F97" w:rsidP="00F47F97">
      <w:pPr>
        <w:spacing w:line="240" w:lineRule="auto"/>
        <w:jc w:val="both"/>
      </w:pPr>
      <w:r>
        <w:t>Na stotico kot simbolično celoto, ki jo morda ustvarja datum današnjega dne, zato raje gledam kot na seštevek mnogoterih delcev. Tudi zato, ker je eden od njih Državno odvetništvo RS. Ali je njegov delež ena, deset ali kaj drugega, je na koncu vseeno. Važno je, da je ta delež več kot nič in da se zna multiplicirati v obliki pozitivnih pobud in rezultatov, ki jih prikazuje tokratno letno poročilo, predvsem pa predanih ljudi, ki še vedno verjamejo v pomen njegovega poslanstva.</w:t>
      </w:r>
    </w:p>
    <w:p w14:paraId="7DD3230C" w14:textId="77777777" w:rsidR="00AC73C2" w:rsidRPr="006B4A5A" w:rsidRDefault="00AC73C2" w:rsidP="00AF1686">
      <w:pPr>
        <w:spacing w:line="240" w:lineRule="auto"/>
        <w:ind w:left="4956" w:firstLine="708"/>
        <w:jc w:val="center"/>
        <w:rPr>
          <w:lang w:eastAsia="sl-SI"/>
        </w:rPr>
      </w:pPr>
      <w:r w:rsidRPr="006B4A5A">
        <w:rPr>
          <w:lang w:eastAsia="sl-SI"/>
        </w:rPr>
        <w:t>dr. Ana Kerševan</w:t>
      </w:r>
    </w:p>
    <w:p w14:paraId="27F47E65" w14:textId="4182B293" w:rsidR="00F47F97" w:rsidRDefault="00AC73C2" w:rsidP="00AF1686">
      <w:pPr>
        <w:pStyle w:val="xmsonormal"/>
        <w:ind w:left="4956" w:firstLine="708"/>
        <w:jc w:val="center"/>
      </w:pPr>
      <w:r w:rsidRPr="006B4A5A">
        <w:t>generalna državna odvetnica</w:t>
      </w:r>
    </w:p>
    <w:p w14:paraId="69EA4E21" w14:textId="77777777" w:rsidR="00695AE2" w:rsidRPr="00B85642" w:rsidRDefault="00695AE2" w:rsidP="00695AE2">
      <w:pPr>
        <w:pStyle w:val="Naslov"/>
      </w:pPr>
      <w:r w:rsidRPr="00B85642">
        <w:lastRenderedPageBreak/>
        <w:t>SPLOŠNI STATISTIČNI DEL</w:t>
      </w:r>
    </w:p>
    <w:p w14:paraId="5CC43562" w14:textId="77777777" w:rsidR="00695AE2" w:rsidRPr="00503014" w:rsidRDefault="00695AE2" w:rsidP="00695AE2">
      <w:pPr>
        <w:spacing w:line="240" w:lineRule="auto"/>
        <w:jc w:val="both"/>
        <w:rPr>
          <w:rFonts w:eastAsia="Calibri"/>
          <w:color w:val="007466"/>
          <w:sz w:val="40"/>
          <w:szCs w:val="40"/>
        </w:rPr>
      </w:pPr>
    </w:p>
    <w:p w14:paraId="6E40D1EE" w14:textId="77777777" w:rsidR="00695AE2" w:rsidRPr="005C04C3" w:rsidRDefault="00695AE2" w:rsidP="00695AE2">
      <w:pPr>
        <w:pStyle w:val="Naslov1"/>
        <w:ind w:left="0" w:firstLine="0"/>
      </w:pPr>
      <w:bookmarkStart w:id="2" w:name="_Toc160097113"/>
      <w:bookmarkStart w:id="3" w:name="_Toc191561716"/>
      <w:bookmarkStart w:id="4" w:name="_Toc223093691"/>
      <w:r w:rsidRPr="005C04C3">
        <w:t>PREDSTAVITEV DRŽAVNEGA ODVETNIŠTVA REPUBLIKE SLOVENIJE</w:t>
      </w:r>
      <w:bookmarkEnd w:id="2"/>
      <w:bookmarkEnd w:id="3"/>
      <w:bookmarkEnd w:id="4"/>
      <w:r w:rsidRPr="005C04C3">
        <w:t xml:space="preserve"> </w:t>
      </w:r>
    </w:p>
    <w:p w14:paraId="47C295CA" w14:textId="77777777" w:rsidR="00695AE2" w:rsidRPr="000F5854" w:rsidRDefault="00695AE2" w:rsidP="00695AE2">
      <w:pPr>
        <w:pStyle w:val="Jasna"/>
        <w:rPr>
          <w:sz w:val="36"/>
          <w:szCs w:val="36"/>
        </w:rPr>
      </w:pPr>
    </w:p>
    <w:p w14:paraId="0EF949D1" w14:textId="77777777" w:rsidR="00695AE2" w:rsidRPr="005C04C3" w:rsidRDefault="00695AE2" w:rsidP="00695AE2">
      <w:pPr>
        <w:pStyle w:val="Naslov2"/>
        <w:ind w:left="0" w:firstLine="0"/>
      </w:pPr>
      <w:bookmarkStart w:id="5" w:name="_Toc160097114"/>
      <w:bookmarkStart w:id="6" w:name="_Toc191561717"/>
      <w:bookmarkStart w:id="7" w:name="_Toc223093692"/>
      <w:r w:rsidRPr="005C04C3">
        <w:t>Pravna ureditev delovanja Državnega odvetništva Republike Slovenije</w:t>
      </w:r>
      <w:bookmarkEnd w:id="5"/>
      <w:bookmarkEnd w:id="6"/>
      <w:bookmarkEnd w:id="7"/>
    </w:p>
    <w:p w14:paraId="0C918BD4" w14:textId="77777777" w:rsidR="00695AE2" w:rsidRPr="00F760BD" w:rsidRDefault="00695AE2" w:rsidP="00695AE2">
      <w:pPr>
        <w:spacing w:line="240" w:lineRule="auto"/>
        <w:jc w:val="both"/>
        <w:rPr>
          <w:rFonts w:eastAsia="Calibri"/>
          <w:sz w:val="32"/>
          <w:szCs w:val="32"/>
        </w:rPr>
      </w:pPr>
    </w:p>
    <w:p w14:paraId="46AE00A2" w14:textId="77777777" w:rsidR="00695AE2" w:rsidRPr="005C04C3" w:rsidRDefault="00695AE2" w:rsidP="00695AE2">
      <w:pPr>
        <w:pStyle w:val="Naslov3"/>
      </w:pPr>
      <w:bookmarkStart w:id="8" w:name="_Toc160097115"/>
      <w:bookmarkStart w:id="9" w:name="_Toc191561718"/>
      <w:bookmarkStart w:id="10" w:name="_Toc223093693"/>
      <w:r w:rsidRPr="005C04C3">
        <w:rPr>
          <w:rStyle w:val="Naslov3Znak"/>
          <w:b/>
          <w:bCs/>
        </w:rPr>
        <w:t>Ustanovitev Državnega odvetništva Republike Slovenije</w:t>
      </w:r>
      <w:bookmarkEnd w:id="8"/>
      <w:bookmarkEnd w:id="9"/>
      <w:bookmarkEnd w:id="10"/>
    </w:p>
    <w:p w14:paraId="1C5B1EAC" w14:textId="77777777" w:rsidR="00695AE2" w:rsidRPr="003D2063" w:rsidRDefault="00695AE2" w:rsidP="00695AE2">
      <w:pPr>
        <w:autoSpaceDE w:val="0"/>
        <w:autoSpaceDN w:val="0"/>
        <w:adjustRightInd w:val="0"/>
        <w:spacing w:line="240" w:lineRule="auto"/>
        <w:jc w:val="both"/>
        <w:rPr>
          <w:rFonts w:eastAsia="Calibri"/>
          <w:sz w:val="28"/>
          <w:szCs w:val="28"/>
        </w:rPr>
      </w:pPr>
    </w:p>
    <w:p w14:paraId="6EB45B76" w14:textId="77777777" w:rsidR="00695AE2" w:rsidRPr="00503014" w:rsidRDefault="00695AE2" w:rsidP="00695AE2">
      <w:pPr>
        <w:autoSpaceDE w:val="0"/>
        <w:autoSpaceDN w:val="0"/>
        <w:adjustRightInd w:val="0"/>
        <w:spacing w:line="240" w:lineRule="auto"/>
        <w:jc w:val="both"/>
        <w:rPr>
          <w:rFonts w:eastAsia="Calibri"/>
        </w:rPr>
      </w:pPr>
      <w:r w:rsidRPr="00503014">
        <w:rPr>
          <w:rFonts w:eastAsia="Calibri"/>
        </w:rPr>
        <w:t xml:space="preserve">V letu 2017 je bila izvedena reforma Državnega pravobranilstva Republike Slovenije (v nadaljevanju: Državno pravobranilstvo RS) v Državno odvetništvo Republike Slovenije (v nadaljevanju: Državno odvetništvo RS). Zakon o državnem odvetništvu (Uradni list RS, št. 23/2017 z dne 5. 5. 2017; v nadaljevanju: ZDOdv) je začel veljati 20. 5. 2017, uporabljati pa se je začel 20. 11. 2017. </w:t>
      </w:r>
    </w:p>
    <w:p w14:paraId="1825B9CD" w14:textId="77777777" w:rsidR="00695AE2" w:rsidRPr="00503014" w:rsidRDefault="00695AE2" w:rsidP="00695AE2">
      <w:pPr>
        <w:spacing w:line="240" w:lineRule="auto"/>
        <w:jc w:val="both"/>
        <w:rPr>
          <w:rFonts w:eastAsia="Calibri"/>
        </w:rPr>
      </w:pPr>
    </w:p>
    <w:p w14:paraId="7A55B1BB" w14:textId="77777777" w:rsidR="00695AE2" w:rsidRPr="00503014" w:rsidRDefault="00695AE2" w:rsidP="00695AE2">
      <w:pPr>
        <w:autoSpaceDE w:val="0"/>
        <w:autoSpaceDN w:val="0"/>
        <w:adjustRightInd w:val="0"/>
        <w:spacing w:line="240" w:lineRule="auto"/>
        <w:jc w:val="both"/>
      </w:pPr>
      <w:r w:rsidRPr="00503014">
        <w:t xml:space="preserve">Z ZDOdv je bilo ustanovljeno Državno odvetništvo RS kot poseben in samostojen državni organ. </w:t>
      </w:r>
    </w:p>
    <w:p w14:paraId="44903EFB" w14:textId="77777777" w:rsidR="00695AE2" w:rsidRPr="00503014" w:rsidRDefault="00695AE2" w:rsidP="00695AE2">
      <w:pPr>
        <w:spacing w:line="240" w:lineRule="auto"/>
        <w:jc w:val="both"/>
        <w:rPr>
          <w:rFonts w:eastAsia="Calibri"/>
          <w:sz w:val="28"/>
          <w:szCs w:val="28"/>
        </w:rPr>
      </w:pPr>
    </w:p>
    <w:p w14:paraId="6CCCFA53" w14:textId="77777777" w:rsidR="00695AE2" w:rsidRPr="00503014" w:rsidRDefault="00695AE2" w:rsidP="00695AE2">
      <w:pPr>
        <w:pStyle w:val="Naslov3"/>
      </w:pPr>
      <w:bookmarkStart w:id="11" w:name="_Toc191561719"/>
      <w:bookmarkStart w:id="12" w:name="_Toc223093694"/>
      <w:r w:rsidRPr="00503014">
        <w:t>Pristojnosti in naloge Državnega odvetništva RS</w:t>
      </w:r>
      <w:bookmarkEnd w:id="11"/>
      <w:bookmarkEnd w:id="12"/>
    </w:p>
    <w:p w14:paraId="0EAC2583" w14:textId="77777777" w:rsidR="00695AE2" w:rsidRPr="00503014" w:rsidRDefault="00695AE2" w:rsidP="00695AE2">
      <w:pPr>
        <w:spacing w:line="240" w:lineRule="auto"/>
        <w:jc w:val="both"/>
        <w:rPr>
          <w:rFonts w:eastAsia="Calibri"/>
          <w:sz w:val="28"/>
          <w:szCs w:val="28"/>
        </w:rPr>
      </w:pPr>
    </w:p>
    <w:p w14:paraId="7D27C0AB" w14:textId="77777777" w:rsidR="00695AE2" w:rsidRPr="00503014" w:rsidRDefault="00695AE2" w:rsidP="00695AE2">
      <w:pPr>
        <w:spacing w:line="240" w:lineRule="auto"/>
        <w:jc w:val="both"/>
        <w:rPr>
          <w:rFonts w:eastAsia="Calibri"/>
        </w:rPr>
      </w:pPr>
      <w:r w:rsidRPr="00503014">
        <w:rPr>
          <w:rFonts w:eastAsia="Calibri"/>
        </w:rPr>
        <w:t>Državno odvetništvo RS opravlja strokovne naloge na področju varstva premoženjskih in drugih pravic in interesov države. Pri opravljanju svojih nalog in pristojnosti je Državno odvetništvo RS samostojno in avtonomno. Naloge Državnega odvetništva RS izvajajo generalni državni odvetnik, njegov namestnik, višji državni odvetniki, državni odvetniki ter kandidati za državnega odvetnika.</w:t>
      </w:r>
    </w:p>
    <w:p w14:paraId="79175528" w14:textId="77777777" w:rsidR="00695AE2" w:rsidRPr="00503014" w:rsidRDefault="00695AE2" w:rsidP="00695AE2">
      <w:pPr>
        <w:spacing w:line="240" w:lineRule="auto"/>
        <w:jc w:val="both"/>
        <w:rPr>
          <w:rFonts w:eastAsia="Calibri"/>
        </w:rPr>
      </w:pPr>
    </w:p>
    <w:p w14:paraId="0F2AD53F" w14:textId="77777777" w:rsidR="00695AE2" w:rsidRPr="00503014" w:rsidRDefault="00695AE2" w:rsidP="00695AE2">
      <w:pPr>
        <w:spacing w:line="240" w:lineRule="auto"/>
        <w:jc w:val="both"/>
        <w:rPr>
          <w:rFonts w:eastAsia="Calibri"/>
        </w:rPr>
      </w:pPr>
      <w:r w:rsidRPr="00503014">
        <w:rPr>
          <w:rFonts w:eastAsia="Calibri"/>
        </w:rPr>
        <w:t>Državno odvetništvo RS deluje:</w:t>
      </w:r>
    </w:p>
    <w:p w14:paraId="79439325" w14:textId="77777777" w:rsidR="00695AE2" w:rsidRPr="00503014" w:rsidRDefault="00695AE2" w:rsidP="00695AE2">
      <w:pPr>
        <w:numPr>
          <w:ilvl w:val="0"/>
          <w:numId w:val="43"/>
        </w:numPr>
        <w:spacing w:line="240" w:lineRule="auto"/>
        <w:contextualSpacing/>
        <w:jc w:val="both"/>
        <w:rPr>
          <w:rFonts w:eastAsia="Calibri"/>
        </w:rPr>
      </w:pPr>
      <w:r w:rsidRPr="00503014">
        <w:rPr>
          <w:rFonts w:eastAsia="Calibri"/>
        </w:rPr>
        <w:t>po samem zakonu (</w:t>
      </w:r>
      <w:r w:rsidRPr="00503014">
        <w:rPr>
          <w:rFonts w:eastAsia="Calibri"/>
          <w:i/>
        </w:rPr>
        <w:t>ex lege</w:t>
      </w:r>
      <w:r w:rsidRPr="00503014">
        <w:rPr>
          <w:rFonts w:eastAsia="Calibri"/>
        </w:rPr>
        <w:t xml:space="preserve">), </w:t>
      </w:r>
    </w:p>
    <w:p w14:paraId="3070FAAA" w14:textId="77777777" w:rsidR="00695AE2" w:rsidRPr="00503014" w:rsidRDefault="00695AE2" w:rsidP="00695AE2">
      <w:pPr>
        <w:numPr>
          <w:ilvl w:val="0"/>
          <w:numId w:val="43"/>
        </w:numPr>
        <w:spacing w:line="240" w:lineRule="auto"/>
        <w:contextualSpacing/>
        <w:jc w:val="both"/>
        <w:rPr>
          <w:rFonts w:eastAsia="Calibri"/>
        </w:rPr>
      </w:pPr>
      <w:r w:rsidRPr="00503014">
        <w:rPr>
          <w:rFonts w:eastAsia="Calibri"/>
        </w:rPr>
        <w:t>na podlagi pooblastila (</w:t>
      </w:r>
      <w:r w:rsidRPr="00503014">
        <w:rPr>
          <w:rFonts w:eastAsia="Calibri"/>
          <w:i/>
        </w:rPr>
        <w:t>ex mandato</w:t>
      </w:r>
      <w:r w:rsidRPr="00503014">
        <w:rPr>
          <w:rFonts w:eastAsia="Calibri"/>
        </w:rPr>
        <w:t>): pred upravnimi organi zastopa subjekte na podlagi pooblastila za zastopanje.</w:t>
      </w:r>
    </w:p>
    <w:p w14:paraId="794D07EC" w14:textId="77777777" w:rsidR="00695AE2" w:rsidRPr="00503014" w:rsidRDefault="00695AE2" w:rsidP="00695AE2">
      <w:pPr>
        <w:spacing w:line="240" w:lineRule="auto"/>
        <w:ind w:left="720"/>
        <w:contextualSpacing/>
        <w:jc w:val="both"/>
        <w:rPr>
          <w:rFonts w:eastAsia="Calibri"/>
        </w:rPr>
      </w:pPr>
    </w:p>
    <w:p w14:paraId="1B35E378" w14:textId="77777777" w:rsidR="00695AE2" w:rsidRPr="00503014" w:rsidRDefault="00695AE2" w:rsidP="00695AE2">
      <w:pPr>
        <w:spacing w:line="240" w:lineRule="auto"/>
        <w:jc w:val="both"/>
        <w:rPr>
          <w:rFonts w:eastAsia="Calibri"/>
        </w:rPr>
      </w:pPr>
      <w:r w:rsidRPr="00503014">
        <w:rPr>
          <w:rFonts w:eastAsia="Calibri"/>
        </w:rPr>
        <w:t>Naloge Državnega odvetništva RS, ki jih določa ZDOdv, so:</w:t>
      </w:r>
    </w:p>
    <w:p w14:paraId="7D643A72" w14:textId="77777777" w:rsidR="00695AE2" w:rsidRPr="00503014" w:rsidRDefault="00695AE2" w:rsidP="00695AE2">
      <w:pPr>
        <w:spacing w:line="240" w:lineRule="auto"/>
        <w:jc w:val="both"/>
        <w:rPr>
          <w:rFonts w:eastAsia="Calibri"/>
        </w:rPr>
      </w:pPr>
    </w:p>
    <w:p w14:paraId="09232F0A" w14:textId="77777777" w:rsidR="00695AE2" w:rsidRPr="00503014" w:rsidRDefault="00695AE2" w:rsidP="00695AE2">
      <w:pPr>
        <w:numPr>
          <w:ilvl w:val="0"/>
          <w:numId w:val="1"/>
        </w:numPr>
        <w:spacing w:line="240" w:lineRule="auto"/>
        <w:jc w:val="both"/>
        <w:rPr>
          <w:rFonts w:eastAsia="Calibri"/>
        </w:rPr>
      </w:pPr>
      <w:r w:rsidRPr="00503014">
        <w:rPr>
          <w:rFonts w:eastAsia="Calibri"/>
        </w:rPr>
        <w:t>zastopanje države in državnih organov pred sodišči in upravnimi organi v Republiki Sloveniji, pred tujimi sodišči in tujimi arbitražami, pred mednarodnimi sodišči in mednarodnimi arbitražami ter pred Evropskim sodiščem za človekove pravice (ESČP);</w:t>
      </w:r>
    </w:p>
    <w:p w14:paraId="25D03D6B" w14:textId="77777777" w:rsidR="00695AE2" w:rsidRPr="00503014" w:rsidRDefault="00695AE2" w:rsidP="00695AE2">
      <w:pPr>
        <w:numPr>
          <w:ilvl w:val="0"/>
          <w:numId w:val="2"/>
        </w:numPr>
        <w:spacing w:line="240" w:lineRule="auto"/>
        <w:jc w:val="both"/>
        <w:rPr>
          <w:rFonts w:eastAsia="Calibri"/>
        </w:rPr>
      </w:pPr>
      <w:r w:rsidRPr="00503014">
        <w:rPr>
          <w:rFonts w:eastAsia="Calibri"/>
        </w:rPr>
        <w:t>zastopanje subjektov, ki so v celoti v lasti države, v posameznih postopkih pred sodišči v Republiki Sloveniji, ki so zanje in za Republiko Slovenijo izjemnega pomena;</w:t>
      </w:r>
    </w:p>
    <w:p w14:paraId="40D100D9" w14:textId="77777777" w:rsidR="00695AE2" w:rsidRPr="00503014" w:rsidRDefault="00695AE2" w:rsidP="00695AE2">
      <w:pPr>
        <w:numPr>
          <w:ilvl w:val="0"/>
          <w:numId w:val="3"/>
        </w:numPr>
        <w:spacing w:line="240" w:lineRule="auto"/>
        <w:jc w:val="both"/>
        <w:rPr>
          <w:rFonts w:eastAsia="Calibri"/>
        </w:rPr>
      </w:pPr>
      <w:r w:rsidRPr="00503014">
        <w:rPr>
          <w:rFonts w:eastAsia="Calibri"/>
        </w:rPr>
        <w:t>varovanje javnega interesa v upravnem sporu in v drugih primerih, ki jih določa zakon;</w:t>
      </w:r>
    </w:p>
    <w:p w14:paraId="2D1A498B" w14:textId="77777777" w:rsidR="00695AE2" w:rsidRPr="00503014" w:rsidRDefault="00695AE2" w:rsidP="00695AE2">
      <w:pPr>
        <w:numPr>
          <w:ilvl w:val="0"/>
          <w:numId w:val="4"/>
        </w:numPr>
        <w:spacing w:line="240" w:lineRule="auto"/>
        <w:jc w:val="both"/>
        <w:rPr>
          <w:rFonts w:eastAsia="Calibri"/>
        </w:rPr>
      </w:pPr>
      <w:r w:rsidRPr="00503014">
        <w:rPr>
          <w:rFonts w:eastAsia="Calibri"/>
        </w:rPr>
        <w:t>mirno reševanje sporov v predhodnih postopkih z namenom razbremenitve dela sodišč;</w:t>
      </w:r>
    </w:p>
    <w:p w14:paraId="648422A0" w14:textId="77777777" w:rsidR="00695AE2" w:rsidRPr="00503014" w:rsidRDefault="00695AE2" w:rsidP="00695AE2">
      <w:pPr>
        <w:numPr>
          <w:ilvl w:val="0"/>
          <w:numId w:val="5"/>
        </w:numPr>
        <w:spacing w:line="240" w:lineRule="auto"/>
        <w:jc w:val="both"/>
        <w:rPr>
          <w:rFonts w:eastAsia="Calibri"/>
        </w:rPr>
      </w:pPr>
      <w:r w:rsidRPr="00503014">
        <w:rPr>
          <w:rFonts w:eastAsia="Calibri"/>
        </w:rPr>
        <w:t>pravno svetovanje državi in državnim organom v premoženjskopravnih zadevah;</w:t>
      </w:r>
    </w:p>
    <w:p w14:paraId="3C3138C1" w14:textId="77777777" w:rsidR="00695AE2" w:rsidRPr="00503014" w:rsidRDefault="00695AE2" w:rsidP="00695AE2">
      <w:pPr>
        <w:numPr>
          <w:ilvl w:val="0"/>
          <w:numId w:val="6"/>
        </w:numPr>
        <w:spacing w:line="240" w:lineRule="auto"/>
        <w:jc w:val="both"/>
        <w:rPr>
          <w:rFonts w:eastAsia="Calibri"/>
        </w:rPr>
      </w:pPr>
      <w:r w:rsidRPr="00503014">
        <w:rPr>
          <w:rFonts w:eastAsia="Calibri"/>
        </w:rPr>
        <w:lastRenderedPageBreak/>
        <w:t>na zahtevo državnega organa oblikuje pravna mnenja, povezana z varstvom premoženjskih in drugih pravic in interesov Republike Slovenije;</w:t>
      </w:r>
    </w:p>
    <w:p w14:paraId="475B1BC7" w14:textId="77777777" w:rsidR="00695AE2" w:rsidRPr="00503014" w:rsidRDefault="00695AE2" w:rsidP="00695AE2">
      <w:pPr>
        <w:numPr>
          <w:ilvl w:val="0"/>
          <w:numId w:val="7"/>
        </w:numPr>
        <w:spacing w:line="240" w:lineRule="auto"/>
        <w:jc w:val="both"/>
        <w:rPr>
          <w:rFonts w:eastAsia="Calibri"/>
        </w:rPr>
      </w:pPr>
      <w:r w:rsidRPr="00503014">
        <w:rPr>
          <w:rFonts w:eastAsia="Calibri"/>
        </w:rPr>
        <w:t>na zahtevo državnega organa oblikuje pravna mnenja o skladnosti mnenj in ravnanj državnih organov s prakso sodišč v Republiki Sloveniji ter prakso mednarodnih sodišč in mednarodnih arbitraž;</w:t>
      </w:r>
    </w:p>
    <w:p w14:paraId="0D458F11" w14:textId="77777777" w:rsidR="00695AE2" w:rsidRPr="00503014" w:rsidRDefault="00695AE2" w:rsidP="00695AE2">
      <w:pPr>
        <w:numPr>
          <w:ilvl w:val="0"/>
          <w:numId w:val="7"/>
        </w:numPr>
        <w:spacing w:line="240" w:lineRule="auto"/>
        <w:jc w:val="both"/>
        <w:rPr>
          <w:rFonts w:eastAsia="Calibri"/>
        </w:rPr>
      </w:pPr>
      <w:r w:rsidRPr="00503014">
        <w:rPr>
          <w:rFonts w:eastAsia="Calibri"/>
        </w:rPr>
        <w:t>na predlog subjektov, ki so v celoti v lasti države, oblikuje posamezno pravno mnenje, ki je povezano z varstvom premoženjskih in drugih pravic in interesov, če gre za zadevo, ki ima neposredne posledice za javna sredstva (za javnofinančne prejemke in izdatke, prejemke in izdatke uporabnikov proračunov ter premoženje blagajn javnega financiranja in uporabnikov proračunov).</w:t>
      </w:r>
    </w:p>
    <w:p w14:paraId="408E369F" w14:textId="77777777" w:rsidR="00695AE2" w:rsidRPr="00503014" w:rsidRDefault="00695AE2" w:rsidP="00695AE2">
      <w:pPr>
        <w:spacing w:line="240" w:lineRule="auto"/>
        <w:ind w:left="720"/>
        <w:jc w:val="both"/>
        <w:rPr>
          <w:rFonts w:eastAsia="Calibri"/>
        </w:rPr>
      </w:pPr>
    </w:p>
    <w:p w14:paraId="2AD25B7D"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Državno odvetništvo RS poleg nalog, določenih v ZDOdv, opravlja tudi druge naloge, ki jih določajo posebni zakoni, in sicer:</w:t>
      </w:r>
    </w:p>
    <w:p w14:paraId="630C8933" w14:textId="77777777" w:rsidR="00695AE2" w:rsidRPr="00503014" w:rsidRDefault="00695AE2" w:rsidP="00695AE2">
      <w:pPr>
        <w:spacing w:line="240" w:lineRule="auto"/>
        <w:jc w:val="both"/>
        <w:rPr>
          <w:rFonts w:eastAsia="Times New Roman"/>
          <w:lang w:eastAsia="sl-SI"/>
        </w:rPr>
      </w:pPr>
    </w:p>
    <w:p w14:paraId="72F84B9B" w14:textId="77777777" w:rsidR="00695AE2" w:rsidRPr="00503014" w:rsidRDefault="00695AE2" w:rsidP="00695AE2">
      <w:pPr>
        <w:numPr>
          <w:ilvl w:val="0"/>
          <w:numId w:val="23"/>
        </w:numPr>
        <w:spacing w:line="240" w:lineRule="auto"/>
        <w:jc w:val="both"/>
        <w:rPr>
          <w:rFonts w:eastAsia="Calibri"/>
          <w:i/>
        </w:rPr>
      </w:pPr>
      <w:r w:rsidRPr="00503014">
        <w:rPr>
          <w:rFonts w:eastAsia="Calibri"/>
          <w:i/>
        </w:rPr>
        <w:t>Zakon o finančnem poslovanju, postopkih zaradi insolventnosti in prisilnem prenehanju</w:t>
      </w:r>
      <w:r w:rsidRPr="00503014">
        <w:rPr>
          <w:rFonts w:eastAsia="Calibri"/>
        </w:rPr>
        <w:t xml:space="preserve"> (ZFPPIPP), Uradni list RS, št. 176/21 - uradno prečiščeno besedilo, 178/21 - odl. US, 203/20 - ZIUPOPDVE, 43/21, 101/21, 196/21 - odl. US, 157/22 - odl. US, 35/23 - odl. US, 57/23 - odl. US, 102/23, 136/23 - ZIUZDS, 47/24, 25/25 - odl. US in 40/25;</w:t>
      </w:r>
    </w:p>
    <w:p w14:paraId="3A797098" w14:textId="77777777" w:rsidR="00695AE2" w:rsidRPr="00503014" w:rsidRDefault="00695AE2" w:rsidP="00695AE2">
      <w:pPr>
        <w:numPr>
          <w:ilvl w:val="0"/>
          <w:numId w:val="23"/>
        </w:numPr>
        <w:spacing w:line="240" w:lineRule="auto"/>
        <w:jc w:val="both"/>
        <w:rPr>
          <w:rFonts w:eastAsia="Calibri"/>
        </w:rPr>
      </w:pPr>
      <w:r w:rsidRPr="00503014">
        <w:rPr>
          <w:rFonts w:eastAsia="Calibri"/>
          <w:i/>
        </w:rPr>
        <w:t xml:space="preserve">Zakon o izvršbi in zavarovanju (ZIZ), </w:t>
      </w:r>
      <w:r w:rsidRPr="00503014">
        <w:rPr>
          <w:rFonts w:eastAsia="Calibri"/>
          <w:iCs/>
        </w:rPr>
        <w:t xml:space="preserve">Uradni list RS, št. </w:t>
      </w:r>
      <w:r>
        <w:fldChar w:fldCharType="begin"/>
      </w:r>
      <w:r>
        <w:instrText>HYPERLINK "http://www.uradni-list.si/1/objava.jsp?sop=2007-01-0098" \t "_blank" \o "Zakon o izvršbi in zavarovanju (uradno prečiščeno besedilo)"</w:instrText>
      </w:r>
      <w:r>
        <w:fldChar w:fldCharType="separate"/>
      </w:r>
      <w:r w:rsidRPr="00503014">
        <w:rPr>
          <w:rFonts w:eastAsia="Calibri"/>
          <w:iCs/>
        </w:rPr>
        <w:t>3/07</w:t>
      </w:r>
      <w:r>
        <w:fldChar w:fldCharType="end"/>
      </w:r>
      <w:r w:rsidRPr="00503014">
        <w:rPr>
          <w:rFonts w:eastAsia="Calibri"/>
          <w:iCs/>
        </w:rPr>
        <w:t xml:space="preserve"> – uradno prečiščeno besedilo, </w:t>
      </w:r>
      <w:hyperlink r:id="rId9" w:tgtFrame="_blank" w:tooltip="Zakon o spremembah in dopolnitvah Zakona o izvršbi in zavarovanju" w:history="1">
        <w:r w:rsidRPr="00503014">
          <w:rPr>
            <w:rFonts w:eastAsia="Calibri"/>
            <w:iCs/>
          </w:rPr>
          <w:t>93/07</w:t>
        </w:r>
      </w:hyperlink>
      <w:r w:rsidRPr="00503014">
        <w:rPr>
          <w:rFonts w:eastAsia="Calibri"/>
          <w:iCs/>
        </w:rPr>
        <w:t xml:space="preserve">, </w:t>
      </w:r>
      <w:hyperlink r:id="rId10" w:tgtFrame="_blank" w:tooltip="Zakon o sodnih taksah" w:history="1">
        <w:r w:rsidRPr="00503014">
          <w:rPr>
            <w:rFonts w:eastAsia="Calibri"/>
            <w:iCs/>
          </w:rPr>
          <w:t>37/08</w:t>
        </w:r>
      </w:hyperlink>
      <w:r w:rsidRPr="00503014">
        <w:rPr>
          <w:rFonts w:eastAsia="Calibri"/>
          <w:iCs/>
        </w:rPr>
        <w:t xml:space="preserve"> – ZST-1, </w:t>
      </w:r>
      <w:hyperlink r:id="rId11" w:tgtFrame="_blank" w:tooltip="Zakon o arbitraži" w:history="1">
        <w:r w:rsidRPr="00503014">
          <w:rPr>
            <w:rFonts w:eastAsia="Calibri"/>
            <w:iCs/>
          </w:rPr>
          <w:t>45/08</w:t>
        </w:r>
      </w:hyperlink>
      <w:r w:rsidRPr="00503014">
        <w:rPr>
          <w:rFonts w:eastAsia="Calibri"/>
          <w:iCs/>
        </w:rPr>
        <w:t xml:space="preserve"> – ZArbit, </w:t>
      </w:r>
      <w:hyperlink r:id="rId12" w:tgtFrame="_blank" w:tooltip="Zakon o dopolnitvi Zakona o izvršbi in zavarovanju" w:history="1">
        <w:r w:rsidRPr="00503014">
          <w:rPr>
            <w:rFonts w:eastAsia="Calibri"/>
            <w:iCs/>
          </w:rPr>
          <w:t>28/09</w:t>
        </w:r>
      </w:hyperlink>
      <w:r w:rsidRPr="00503014">
        <w:rPr>
          <w:rFonts w:eastAsia="Calibri"/>
          <w:iCs/>
        </w:rPr>
        <w:t xml:space="preserve">, </w:t>
      </w:r>
      <w:hyperlink r:id="rId13" w:tgtFrame="_blank" w:tooltip="Zakon o spremembah in dopolnitvah Zakona o izvršbi in zavarovanju" w:history="1">
        <w:r w:rsidRPr="00503014">
          <w:rPr>
            <w:rFonts w:eastAsia="Calibri"/>
            <w:iCs/>
          </w:rPr>
          <w:t>51/10</w:t>
        </w:r>
      </w:hyperlink>
      <w:r w:rsidRPr="00503014">
        <w:rPr>
          <w:rFonts w:eastAsia="Calibri"/>
          <w:iCs/>
        </w:rPr>
        <w:t xml:space="preserve">, </w:t>
      </w:r>
      <w:hyperlink r:id="rId14" w:tgtFrame="_blank" w:tooltip="Zakon o spremembah in dopolnitvah Zakona o izvršbi in zavarovanju" w:history="1">
        <w:r w:rsidRPr="00503014">
          <w:rPr>
            <w:rFonts w:eastAsia="Calibri"/>
            <w:iCs/>
          </w:rPr>
          <w:t>26/11</w:t>
        </w:r>
      </w:hyperlink>
      <w:r w:rsidRPr="00503014">
        <w:rPr>
          <w:rFonts w:eastAsia="Calibri"/>
          <w:iCs/>
        </w:rPr>
        <w:t xml:space="preserve">, </w:t>
      </w:r>
      <w:hyperlink r:id="rId15" w:tgtFrame="_blank" w:tooltip="Odločba o razveljavitvi 38. člena Zakona o spremembah in dopolnitvah Zakona o izvršbi in zavarovanju, kolikor določa, da v ustreznem delu veljajo določbe 45., 46. in 138. člena Zakona o izvršbi in zavarovanju tudi za primer menice, ki jo je menični zaveza" w:history="1">
        <w:r w:rsidRPr="00503014">
          <w:rPr>
            <w:rFonts w:eastAsia="Calibri"/>
            <w:iCs/>
          </w:rPr>
          <w:t>17/13</w:t>
        </w:r>
      </w:hyperlink>
      <w:r w:rsidRPr="00503014">
        <w:rPr>
          <w:rFonts w:eastAsia="Calibri"/>
          <w:iCs/>
        </w:rPr>
        <w:t xml:space="preserve"> – odl. US, </w:t>
      </w:r>
      <w:hyperlink r:id="rId16" w:tgtFrame="_blank" w:tooltip="Odločba o razveljavitvi šestega odstavka 45. člena, četrtega odstavka 46. člena, drugega odstavka 138. člena ter drugega odstavka 150. člena Zakona o izvršbi in zavarovanju" w:history="1">
        <w:r w:rsidRPr="00503014">
          <w:rPr>
            <w:rFonts w:eastAsia="Calibri"/>
            <w:iCs/>
          </w:rPr>
          <w:t>45/14</w:t>
        </w:r>
      </w:hyperlink>
      <w:r w:rsidRPr="00503014">
        <w:rPr>
          <w:rFonts w:eastAsia="Calibri"/>
          <w:iCs/>
        </w:rPr>
        <w:t xml:space="preserve"> – odl. US, </w:t>
      </w:r>
      <w:hyperlink r:id="rId17" w:tgtFrame="_blank" w:tooltip="Zakon o spremembah in dopolnitvah Zakona o izvršbi in zavarovanju" w:history="1">
        <w:r w:rsidRPr="00503014">
          <w:rPr>
            <w:rFonts w:eastAsia="Calibri"/>
            <w:iCs/>
          </w:rPr>
          <w:t>53/14</w:t>
        </w:r>
      </w:hyperlink>
      <w:r w:rsidRPr="00503014">
        <w:rPr>
          <w:rFonts w:eastAsia="Calibri"/>
          <w:iCs/>
        </w:rPr>
        <w:t xml:space="preserve">, </w:t>
      </w:r>
      <w:hyperlink r:id="rId18" w:tgtFrame="_blank" w:tooltip="Odločba o razveljavitvi 1. točke prvega odstavka 258. člena Zakona o izvršbi in zavarovanju" w:history="1">
        <w:r w:rsidRPr="00503014">
          <w:rPr>
            <w:rFonts w:eastAsia="Calibri"/>
            <w:iCs/>
          </w:rPr>
          <w:t>58/14</w:t>
        </w:r>
      </w:hyperlink>
      <w:r w:rsidRPr="00503014">
        <w:rPr>
          <w:rFonts w:eastAsia="Calibri"/>
          <w:iCs/>
        </w:rPr>
        <w:t xml:space="preserve"> – odl. US, </w:t>
      </w:r>
      <w:hyperlink r:id="rId19" w:tgtFrame="_blank" w:tooltip="Zakon o spremembah in dopolnitvah Zakona o izvršbi in zavarovanju" w:history="1">
        <w:r w:rsidRPr="00503014">
          <w:rPr>
            <w:rFonts w:eastAsia="Calibri"/>
            <w:iCs/>
          </w:rPr>
          <w:t>54/15</w:t>
        </w:r>
      </w:hyperlink>
      <w:r w:rsidRPr="00503014">
        <w:rPr>
          <w:rFonts w:eastAsia="Calibri"/>
          <w:iCs/>
        </w:rPr>
        <w:t xml:space="preserve">, </w:t>
      </w:r>
      <w:hyperlink r:id="rId20" w:tgtFrame="_blank" w:tooltip="Odločba o delni razveljavitvi 3. točke prvega odstavka 197. člena Zakona o izvršbi in zavarovanju" w:history="1">
        <w:r w:rsidRPr="00503014">
          <w:rPr>
            <w:rFonts w:eastAsia="Calibri"/>
            <w:iCs/>
          </w:rPr>
          <w:t>76/15</w:t>
        </w:r>
      </w:hyperlink>
      <w:r w:rsidRPr="00503014">
        <w:rPr>
          <w:rFonts w:eastAsia="Calibri"/>
          <w:iCs/>
        </w:rPr>
        <w:t xml:space="preserve"> – odl. US, </w:t>
      </w:r>
      <w:hyperlink r:id="rId21" w:tgtFrame="_blank" w:tooltip="Zakon o spremembah in dopolnitvah Zakona o izvršbi in zavarovanju" w:history="1">
        <w:r w:rsidRPr="00503014">
          <w:rPr>
            <w:rFonts w:eastAsia="Calibri"/>
            <w:iCs/>
          </w:rPr>
          <w:t>11/18</w:t>
        </w:r>
      </w:hyperlink>
      <w:r w:rsidRPr="00503014">
        <w:rPr>
          <w:rFonts w:eastAsia="Calibri"/>
          <w:iCs/>
        </w:rPr>
        <w:t xml:space="preserve">, </w:t>
      </w:r>
      <w:hyperlink r:id="rId22" w:tgtFrame="_blank" w:tooltip="Odločba o razveljavitvi drugega odstavka 71. člena Zakona o izvršbi in zavarovanju, kolikor se odlog izvršbe dovoljuje za najdlje tri mesece in le enkrat, kadar gre za izvršbo za izpraznitev in izročitev stanovanjske nepremičnine, ki je dolžnikov dom, z o" w:history="1">
        <w:r w:rsidRPr="00503014">
          <w:rPr>
            <w:rFonts w:eastAsia="Calibri"/>
            <w:iCs/>
          </w:rPr>
          <w:t>53/19</w:t>
        </w:r>
      </w:hyperlink>
      <w:r w:rsidRPr="00503014">
        <w:rPr>
          <w:rFonts w:eastAsia="Calibri"/>
          <w:iCs/>
        </w:rPr>
        <w:t xml:space="preserve"> – odl. US, </w:t>
      </w:r>
      <w:hyperlink r:id="rId23" w:tgtFrame="_blank" w:tooltip="Zakon o spremembah in dopolnitvah Zakona o davčnem postopku" w:history="1">
        <w:r w:rsidRPr="00503014">
          <w:rPr>
            <w:rFonts w:eastAsia="Calibri"/>
            <w:iCs/>
          </w:rPr>
          <w:t>66/19</w:t>
        </w:r>
      </w:hyperlink>
      <w:r w:rsidRPr="00503014">
        <w:rPr>
          <w:rFonts w:eastAsia="Calibri"/>
          <w:iCs/>
        </w:rPr>
        <w:t xml:space="preserve"> – ZDavP-2M, </w:t>
      </w:r>
      <w:hyperlink r:id="rId24" w:tgtFrame="_blank" w:tooltip="Zakon o spremembah in dopolnitvah Stvarnopravnega zakonika" w:history="1">
        <w:r w:rsidRPr="00503014">
          <w:rPr>
            <w:rFonts w:eastAsia="Calibri"/>
            <w:iCs/>
          </w:rPr>
          <w:t>23/20</w:t>
        </w:r>
      </w:hyperlink>
      <w:r w:rsidRPr="00503014">
        <w:rPr>
          <w:rFonts w:eastAsia="Calibri"/>
          <w:iCs/>
        </w:rPr>
        <w:t xml:space="preserve"> – SPZ-B, </w:t>
      </w:r>
      <w:hyperlink r:id="rId25" w:tgtFrame="_blank" w:tooltip="Zakon o spremembah in dopolnitvah Zakona o izvršbi in zavarovanju" w:history="1">
        <w:r w:rsidRPr="00503014">
          <w:rPr>
            <w:rFonts w:eastAsia="Calibri"/>
            <w:iCs/>
          </w:rPr>
          <w:t>36/21</w:t>
        </w:r>
      </w:hyperlink>
      <w:r w:rsidRPr="00503014">
        <w:rPr>
          <w:rFonts w:eastAsia="Calibri"/>
          <w:iCs/>
        </w:rPr>
        <w:t>, 81/22 – odl. US, 117/23 - ZIUOPZP-A, 131/23 – ZORZFS in 136/23 - ZIUZDS;</w:t>
      </w:r>
    </w:p>
    <w:p w14:paraId="5FE157A6" w14:textId="77777777" w:rsidR="00695AE2" w:rsidRPr="00503014" w:rsidRDefault="00695AE2" w:rsidP="00695AE2">
      <w:pPr>
        <w:numPr>
          <w:ilvl w:val="0"/>
          <w:numId w:val="23"/>
        </w:numPr>
        <w:spacing w:line="240" w:lineRule="auto"/>
        <w:jc w:val="both"/>
        <w:rPr>
          <w:rFonts w:eastAsia="Calibri"/>
        </w:rPr>
      </w:pPr>
      <w:r w:rsidRPr="00503014">
        <w:rPr>
          <w:rFonts w:eastAsia="Calibri"/>
          <w:i/>
        </w:rPr>
        <w:t>Zakon o povračilu škode osebam, ki so bile izbrisane iz registra stalnega prebivalstva</w:t>
      </w:r>
      <w:r w:rsidRPr="00503014">
        <w:rPr>
          <w:rFonts w:eastAsia="Calibri"/>
        </w:rPr>
        <w:t xml:space="preserve"> (ZPŠOIRSP), Uradni list RS, št. 99/13, 24/18 – odl. US in 85/18;</w:t>
      </w:r>
    </w:p>
    <w:p w14:paraId="62EC72BD" w14:textId="77777777" w:rsidR="00695AE2" w:rsidRPr="00503014" w:rsidRDefault="00695AE2" w:rsidP="00695AE2">
      <w:pPr>
        <w:numPr>
          <w:ilvl w:val="0"/>
          <w:numId w:val="23"/>
        </w:numPr>
        <w:spacing w:line="240" w:lineRule="auto"/>
        <w:jc w:val="both"/>
        <w:rPr>
          <w:rFonts w:eastAsia="Calibri"/>
        </w:rPr>
      </w:pPr>
      <w:r w:rsidRPr="00503014">
        <w:rPr>
          <w:rFonts w:eastAsia="Calibri"/>
          <w:i/>
          <w:iCs/>
        </w:rPr>
        <w:t>Zakon o odpravi krivic zaradi izbrisa pravnih oseb iz sodnega registra v obdobju od 23. julija 1999 do 15. januarja 2008</w:t>
      </w:r>
      <w:r w:rsidRPr="00503014">
        <w:rPr>
          <w:rFonts w:eastAsia="Calibri"/>
        </w:rPr>
        <w:t xml:space="preserve"> (ZOKIPOSR), Uradni list RS, št. 186/21;</w:t>
      </w:r>
    </w:p>
    <w:p w14:paraId="23FAAB08" w14:textId="77777777" w:rsidR="00695AE2" w:rsidRPr="00503014" w:rsidRDefault="00695AE2" w:rsidP="00695AE2">
      <w:pPr>
        <w:numPr>
          <w:ilvl w:val="0"/>
          <w:numId w:val="23"/>
        </w:numPr>
        <w:spacing w:line="240" w:lineRule="auto"/>
        <w:jc w:val="both"/>
        <w:rPr>
          <w:rFonts w:eastAsia="Calibri"/>
        </w:rPr>
      </w:pPr>
      <w:r w:rsidRPr="00503014">
        <w:rPr>
          <w:rFonts w:eastAsia="Calibri"/>
          <w:i/>
          <w:iCs/>
        </w:rPr>
        <w:t xml:space="preserve">Zakon o tujcih </w:t>
      </w:r>
      <w:r w:rsidRPr="00503014">
        <w:rPr>
          <w:rFonts w:eastAsia="Calibri"/>
        </w:rPr>
        <w:t>(ZTuj-2), Uradni list RS, št. 46/25 - uradno prečiščeno besedilo;</w:t>
      </w:r>
    </w:p>
    <w:p w14:paraId="62801ABC" w14:textId="77777777" w:rsidR="00695AE2" w:rsidRPr="00503014" w:rsidRDefault="00695AE2" w:rsidP="00695AE2">
      <w:pPr>
        <w:numPr>
          <w:ilvl w:val="0"/>
          <w:numId w:val="23"/>
        </w:numPr>
        <w:spacing w:line="240" w:lineRule="auto"/>
        <w:jc w:val="both"/>
        <w:rPr>
          <w:rFonts w:eastAsia="Calibri"/>
        </w:rPr>
      </w:pPr>
      <w:r w:rsidRPr="00503014">
        <w:rPr>
          <w:rFonts w:eastAsia="Calibri"/>
          <w:i/>
        </w:rPr>
        <w:t>Zakon o načinu izvršitve sodbe evropskega sodišča za človekove pravice v zadevi št.</w:t>
      </w:r>
    </w:p>
    <w:p w14:paraId="678E8D6A" w14:textId="77777777" w:rsidR="00695AE2" w:rsidRPr="00503014" w:rsidRDefault="00695AE2" w:rsidP="00695AE2">
      <w:pPr>
        <w:spacing w:line="240" w:lineRule="auto"/>
        <w:ind w:left="720"/>
        <w:jc w:val="both"/>
        <w:rPr>
          <w:rFonts w:eastAsia="Calibri"/>
        </w:rPr>
      </w:pPr>
      <w:r w:rsidRPr="00503014">
        <w:rPr>
          <w:rFonts w:eastAsia="Calibri"/>
          <w:i/>
        </w:rPr>
        <w:t xml:space="preserve"> 60642/08 </w:t>
      </w:r>
      <w:r w:rsidRPr="00503014">
        <w:rPr>
          <w:rFonts w:eastAsia="Calibri"/>
        </w:rPr>
        <w:t>(ZNISESČP)</w:t>
      </w:r>
      <w:r w:rsidRPr="00503014">
        <w:rPr>
          <w:rFonts w:eastAsia="Calibri"/>
          <w:i/>
        </w:rPr>
        <w:t xml:space="preserve">, </w:t>
      </w:r>
      <w:r w:rsidRPr="00503014">
        <w:rPr>
          <w:rFonts w:eastAsia="Calibri"/>
        </w:rPr>
        <w:t>Uradni list RS, št. 48/15;</w:t>
      </w:r>
    </w:p>
    <w:p w14:paraId="62D403A8" w14:textId="77777777" w:rsidR="00695AE2" w:rsidRPr="00503014" w:rsidRDefault="00695AE2" w:rsidP="00695AE2">
      <w:pPr>
        <w:numPr>
          <w:ilvl w:val="0"/>
          <w:numId w:val="23"/>
        </w:numPr>
        <w:spacing w:line="240" w:lineRule="auto"/>
        <w:jc w:val="both"/>
        <w:rPr>
          <w:rFonts w:eastAsia="Calibri"/>
        </w:rPr>
      </w:pPr>
      <w:r w:rsidRPr="00503014">
        <w:rPr>
          <w:rFonts w:eastAsia="Calibri"/>
          <w:i/>
        </w:rPr>
        <w:t>Zakon o odvzemu premoženja nezakonitega izvora</w:t>
      </w:r>
      <w:r w:rsidRPr="00503014">
        <w:rPr>
          <w:rFonts w:eastAsia="Calibri"/>
        </w:rPr>
        <w:t xml:space="preserve"> (ZOPNI), Uradni list RS, št. 91/11, 25/24, 53/18 – odl. US in 40/25;</w:t>
      </w:r>
    </w:p>
    <w:p w14:paraId="7A9D304D" w14:textId="77777777" w:rsidR="00695AE2" w:rsidRPr="00503014" w:rsidRDefault="00695AE2" w:rsidP="00695AE2">
      <w:pPr>
        <w:numPr>
          <w:ilvl w:val="0"/>
          <w:numId w:val="23"/>
        </w:numPr>
        <w:spacing w:line="240" w:lineRule="auto"/>
        <w:jc w:val="both"/>
        <w:rPr>
          <w:rFonts w:eastAsia="Calibri"/>
        </w:rPr>
      </w:pPr>
      <w:r w:rsidRPr="00503014">
        <w:rPr>
          <w:rFonts w:eastAsia="Calibri"/>
          <w:i/>
        </w:rPr>
        <w:t>Zakon o varstvu pravice do sojenja brez nepotrebnega odlašanja</w:t>
      </w:r>
      <w:r w:rsidRPr="00503014">
        <w:rPr>
          <w:rFonts w:eastAsia="Calibri"/>
        </w:rPr>
        <w:t xml:space="preserve"> (ZVPSBNO), Uradni list RS, št. 67/12 – uradno prečiščeno besedilo;</w:t>
      </w:r>
    </w:p>
    <w:p w14:paraId="7B52E5DE"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rPr>
        <w:t xml:space="preserve">Zakon o ureditvi določenih vprašanj zaradi končne razsodbe arbitražnega sodišča na podlagi Arbitražnega sporazuma med Vlado Republike Slovenije in Vlado Republike </w:t>
      </w:r>
      <w:r w:rsidRPr="00503014">
        <w:rPr>
          <w:rFonts w:eastAsia="Calibri"/>
          <w:i/>
          <w:color w:val="000000"/>
        </w:rPr>
        <w:t xml:space="preserve">Hrvaške </w:t>
      </w:r>
      <w:r w:rsidRPr="00503014">
        <w:rPr>
          <w:rFonts w:eastAsia="Calibri"/>
          <w:color w:val="000000"/>
        </w:rPr>
        <w:t>(ZUVRAS),</w:t>
      </w:r>
      <w:r w:rsidRPr="00503014">
        <w:rPr>
          <w:rFonts w:eastAsia="Calibri"/>
          <w:i/>
          <w:color w:val="000000"/>
        </w:rPr>
        <w:t xml:space="preserve"> </w:t>
      </w:r>
      <w:r w:rsidRPr="00503014">
        <w:rPr>
          <w:rFonts w:eastAsia="Calibri"/>
          <w:color w:val="000000"/>
        </w:rPr>
        <w:t>Uradni list RS, št. 69/17, 59/19, 204/21, 62/24 in 82/24;</w:t>
      </w:r>
    </w:p>
    <w:p w14:paraId="36496511" w14:textId="77777777" w:rsidR="00695AE2" w:rsidRPr="00503014" w:rsidRDefault="00695AE2" w:rsidP="00695AE2">
      <w:pPr>
        <w:numPr>
          <w:ilvl w:val="0"/>
          <w:numId w:val="23"/>
        </w:numPr>
        <w:spacing w:line="240" w:lineRule="auto"/>
        <w:contextualSpacing/>
        <w:jc w:val="both"/>
        <w:rPr>
          <w:rFonts w:eastAsia="Calibri"/>
          <w:color w:val="000000"/>
        </w:rPr>
      </w:pPr>
      <w:r w:rsidRPr="00503014">
        <w:rPr>
          <w:rFonts w:eastAsia="Calibri"/>
          <w:i/>
          <w:color w:val="000000"/>
        </w:rPr>
        <w:t>Zakon o kazenskem postopku</w:t>
      </w:r>
      <w:r w:rsidRPr="00503014">
        <w:rPr>
          <w:rFonts w:eastAsia="Calibri"/>
          <w:color w:val="000000"/>
        </w:rPr>
        <w:t xml:space="preserve"> (ZKP), Uradni list RS, št. </w:t>
      </w:r>
      <w:r>
        <w:fldChar w:fldCharType="begin"/>
      </w:r>
      <w:r>
        <w:instrText>HYPERLINK "http://www.uradni-list.si/1/objava.jsp?sop=2021-01-3462" \t "_blank" \o "Zakon o kazenskem postopku (uradno prečiščeno besedilo)"</w:instrText>
      </w:r>
      <w:r>
        <w:fldChar w:fldCharType="separate"/>
      </w:r>
      <w:r w:rsidRPr="00503014">
        <w:rPr>
          <w:rFonts w:eastAsia="Calibri"/>
          <w:color w:val="000000"/>
        </w:rPr>
        <w:t>176/21</w:t>
      </w:r>
      <w:r>
        <w:fldChar w:fldCharType="end"/>
      </w:r>
      <w:r w:rsidRPr="00503014">
        <w:rPr>
          <w:rFonts w:eastAsia="Calibri"/>
          <w:color w:val="000000"/>
        </w:rPr>
        <w:t xml:space="preserve"> – uradno prečiščeno besedilo, 96/22 – odl. US, 2/23 – odl. US, 7/23 - odl. US, 89/23 - odl. US, 53/24 in 93/25 - ZNUZJV;</w:t>
      </w:r>
    </w:p>
    <w:p w14:paraId="38B71AE9"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prekrških</w:t>
      </w:r>
      <w:r w:rsidRPr="00503014">
        <w:rPr>
          <w:rFonts w:eastAsia="Calibri"/>
          <w:color w:val="000000"/>
        </w:rPr>
        <w:t xml:space="preserve"> (ZP-1), Uradni list RS, št. 29/11 – uradno prečiščeno besedilo, 21/13, 111/13, 74/14 – odl. US, 92/14 – odl. US, 32/16, 15/17 – odl. US, 73/19 – odl. US, </w:t>
      </w:r>
      <w:r w:rsidRPr="00503014">
        <w:rPr>
          <w:rFonts w:eastAsia="Calibri"/>
        </w:rPr>
        <w:t>175/20 – ZIUOPDVE, 5/21 – odl. US,</w:t>
      </w:r>
      <w:r w:rsidRPr="00503014">
        <w:rPr>
          <w:rFonts w:ascii="Arial" w:hAnsi="Arial" w:cs="Arial"/>
          <w:color w:val="212529"/>
          <w:sz w:val="26"/>
          <w:szCs w:val="26"/>
          <w:shd w:val="clear" w:color="auto" w:fill="FFFFFF"/>
        </w:rPr>
        <w:t xml:space="preserve"> </w:t>
      </w:r>
      <w:r w:rsidRPr="00503014">
        <w:rPr>
          <w:rFonts w:eastAsia="Calibri"/>
        </w:rPr>
        <w:t>15/21 - ZDUOP, 123/21 - ZPrCP-F, 206/21 – ZDUPŠOP in 38/24;</w:t>
      </w:r>
    </w:p>
    <w:p w14:paraId="63903F66"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vzpostavitvi etažne lastnine na določenih stavbah in o ugotavljanju pripadajočega zemljišča</w:t>
      </w:r>
      <w:r w:rsidRPr="00503014">
        <w:rPr>
          <w:rFonts w:eastAsia="Calibri"/>
          <w:color w:val="000000"/>
        </w:rPr>
        <w:t xml:space="preserve"> (ZVEtL-1), Uradni list RS, št. 34/17;</w:t>
      </w:r>
    </w:p>
    <w:p w14:paraId="2FDD1555"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iCs/>
        </w:rPr>
        <w:lastRenderedPageBreak/>
        <w:t>Zakon o urejanju prostora</w:t>
      </w:r>
      <w:r w:rsidRPr="00503014">
        <w:rPr>
          <w:rFonts w:eastAsia="Calibri"/>
        </w:rPr>
        <w:t xml:space="preserve"> (ZUreP-3), Uradni list RS, št. 199/21,</w:t>
      </w:r>
      <w:r w:rsidRPr="00503014">
        <w:rPr>
          <w:rFonts w:ascii="Times New Roman" w:eastAsia="Times New Roman" w:hAnsi="Times New Roman" w:cs="Times New Roman"/>
          <w:color w:val="212529"/>
          <w:lang w:eastAsia="sl-SI"/>
        </w:rPr>
        <w:t xml:space="preserve"> </w:t>
      </w:r>
      <w:r w:rsidRPr="00503014">
        <w:rPr>
          <w:rFonts w:eastAsia="Calibri"/>
        </w:rPr>
        <w:t>18/23 - ZDU-10, 78/23 - ZUNPEOVE, 95/23 - ZIUOPZP, 131/23 - ZORZFS, 23/24, 38/24 - EZ-2, 81/24 - ZORZFS-A, 109/24, 25/25 - odl. US, 57/25 - ZORZFS-C in 75/25;</w:t>
      </w:r>
    </w:p>
    <w:p w14:paraId="4F881939"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davčnem postopku</w:t>
      </w:r>
      <w:r w:rsidRPr="00503014">
        <w:rPr>
          <w:rFonts w:eastAsia="Calibri"/>
          <w:color w:val="000000"/>
        </w:rPr>
        <w:t xml:space="preserve"> (ZDavP-2), Uradni list RS, št. 13/11 – uradno prečiščeno besedilo, 32/12, 94/12, 101/13 – ZDavNepr, 111/13, 25/14 – ZFU, 40/14 – ZIN-B, 90/14, 91/15, 63/16, 69/17, 13/18 – ZJF-H, 36/19, 66/19, </w:t>
      </w:r>
      <w:r w:rsidRPr="00503014">
        <w:rPr>
          <w:rFonts w:eastAsia="Calibri"/>
        </w:rPr>
        <w:t xml:space="preserve">145/20 – odl. US, 203/20 – ZIUPOPDVE, </w:t>
      </w:r>
      <w:r w:rsidRPr="00503014">
        <w:rPr>
          <w:rFonts w:eastAsia="Times New Roman"/>
        </w:rPr>
        <w:t>39/22</w:t>
      </w:r>
      <w:r w:rsidRPr="00503014">
        <w:rPr>
          <w:rFonts w:eastAsia="Calibri"/>
        </w:rPr>
        <w:t xml:space="preserve"> – ZFU-A, </w:t>
      </w:r>
      <w:r w:rsidRPr="00503014">
        <w:rPr>
          <w:rFonts w:eastAsia="Times New Roman"/>
        </w:rPr>
        <w:t>52/22</w:t>
      </w:r>
      <w:r w:rsidRPr="00503014">
        <w:rPr>
          <w:rFonts w:eastAsia="Calibri"/>
        </w:rPr>
        <w:t xml:space="preserve"> – odl. US, </w:t>
      </w:r>
      <w:r w:rsidRPr="00503014">
        <w:rPr>
          <w:rFonts w:eastAsia="Times New Roman"/>
        </w:rPr>
        <w:t>87/22</w:t>
      </w:r>
      <w:r w:rsidRPr="00503014">
        <w:rPr>
          <w:rFonts w:eastAsia="Calibri"/>
        </w:rPr>
        <w:t xml:space="preserve"> – odl. US in </w:t>
      </w:r>
      <w:r w:rsidRPr="00503014">
        <w:rPr>
          <w:rFonts w:eastAsia="Times New Roman"/>
        </w:rPr>
        <w:t>163/22,</w:t>
      </w:r>
      <w:r w:rsidRPr="00503014">
        <w:rPr>
          <w:rFonts w:ascii="Arial" w:hAnsi="Arial" w:cs="Arial"/>
          <w:color w:val="212529"/>
          <w:sz w:val="26"/>
          <w:szCs w:val="26"/>
          <w:shd w:val="clear" w:color="auto" w:fill="FFFFFF"/>
        </w:rPr>
        <w:t xml:space="preserve"> </w:t>
      </w:r>
      <w:r w:rsidRPr="00503014">
        <w:rPr>
          <w:rFonts w:eastAsia="Times New Roman"/>
        </w:rPr>
        <w:t>109/23 - odl. US, 117/23 - ZIUOPZP-A, 131/23 - ZORZFS, 136/23 - ZIUZDS, 55/24 - odl. US, 100/24, 70/25 - ZUTD-I, 93/25 - ZNUZJV, 85/25 – ZLZD in 100/25;</w:t>
      </w:r>
    </w:p>
    <w:p w14:paraId="333C7427"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denacionalizaciji</w:t>
      </w:r>
      <w:r w:rsidRPr="00503014">
        <w:rPr>
          <w:rFonts w:eastAsia="Calibri"/>
          <w:color w:val="000000"/>
        </w:rPr>
        <w:t xml:space="preserve"> (ZDen), Uradni list RS, št. 27/91–I, 56/92 – odl. US, 13/93 – odl. US, 31/93, 24/95 – odl. US, 20/97 – odl. US, 23/97 – odl. US, 65/98, 76/98 – odl. US, 66/00, 66/00 – ORZDen27, 11/01 – odl. US, 54/04 – ZDoh-1 in 18/05 – odl. US, 18/23 - ZDU-1O in 77/23 - odl. US;</w:t>
      </w:r>
    </w:p>
    <w:p w14:paraId="3140CAD8"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splošnem upravnem postopku</w:t>
      </w:r>
      <w:r w:rsidRPr="00503014">
        <w:rPr>
          <w:rFonts w:eastAsia="Calibri"/>
          <w:color w:val="000000"/>
        </w:rPr>
        <w:t xml:space="preserve"> (ZUP), Uradni list RS, št. 24/06 – uradno prečiščeno besedilo, 105/06 – ZUS-1, 126/07, 65/08, 8/10, 82/13, </w:t>
      </w:r>
      <w:r w:rsidRPr="00503014">
        <w:rPr>
          <w:rFonts w:eastAsia="Calibri"/>
        </w:rPr>
        <w:t>175/20 – ZIUOPDVE in 3/22 ZDeb;</w:t>
      </w:r>
    </w:p>
    <w:p w14:paraId="1DB28FAC"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upravnem sporu</w:t>
      </w:r>
      <w:r w:rsidRPr="00503014">
        <w:rPr>
          <w:rFonts w:eastAsia="Calibri"/>
          <w:color w:val="000000"/>
        </w:rPr>
        <w:t xml:space="preserve"> (ZUS-1), Uradni list RS, št. 105/06, 107/09 – odl. US, 62/10, 98/11 – odl. US, 109/12 in 10/17 – ZPP-E, 49/23, 131/23 – ZORZFS in 84/25;</w:t>
      </w:r>
    </w:p>
    <w:p w14:paraId="663E6CBC" w14:textId="77777777" w:rsidR="00695AE2" w:rsidRPr="00503014" w:rsidRDefault="00695AE2" w:rsidP="00695AE2">
      <w:pPr>
        <w:numPr>
          <w:ilvl w:val="0"/>
          <w:numId w:val="23"/>
        </w:numPr>
        <w:spacing w:line="240" w:lineRule="auto"/>
        <w:jc w:val="both"/>
        <w:rPr>
          <w:rFonts w:eastAsia="Calibri"/>
        </w:rPr>
      </w:pPr>
      <w:r w:rsidRPr="00503014">
        <w:rPr>
          <w:rFonts w:eastAsia="Calibri"/>
          <w:i/>
        </w:rPr>
        <w:t>Zakon o kolektivnih tožbah</w:t>
      </w:r>
      <w:r w:rsidRPr="00503014">
        <w:rPr>
          <w:rFonts w:eastAsia="Calibri"/>
        </w:rPr>
        <w:t xml:space="preserve"> (ZKolT), Uradni list RS, št. 55/17 in 133/23;</w:t>
      </w:r>
    </w:p>
    <w:p w14:paraId="03DE4B6E"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Družinski zakonik</w:t>
      </w:r>
      <w:r w:rsidRPr="00503014">
        <w:rPr>
          <w:rFonts w:eastAsia="Calibri"/>
          <w:color w:val="000000"/>
        </w:rPr>
        <w:t xml:space="preserve"> (DZ), Uradni list RS, št. 15/17, 21/18 – ZNOrg, 22/19, 67/19 – ZMatR-C,</w:t>
      </w:r>
      <w:r w:rsidRPr="00503014">
        <w:rPr>
          <w:rFonts w:eastAsia="Calibri"/>
        </w:rPr>
        <w:t xml:space="preserve"> 200/20 – ZOOMTVI, </w:t>
      </w:r>
      <w:r w:rsidRPr="00503014">
        <w:rPr>
          <w:rFonts w:eastAsia="Times New Roman"/>
        </w:rPr>
        <w:t>94/22</w:t>
      </w:r>
      <w:r w:rsidRPr="00503014">
        <w:rPr>
          <w:rFonts w:eastAsia="Calibri"/>
        </w:rPr>
        <w:t xml:space="preserve"> – odl. US, </w:t>
      </w:r>
      <w:r w:rsidRPr="00503014">
        <w:rPr>
          <w:rFonts w:eastAsia="Times New Roman"/>
        </w:rPr>
        <w:t>94/22</w:t>
      </w:r>
      <w:r w:rsidRPr="00503014">
        <w:rPr>
          <w:rFonts w:eastAsia="Calibri"/>
        </w:rPr>
        <w:t xml:space="preserve"> – odl. US in </w:t>
      </w:r>
      <w:r w:rsidRPr="00503014">
        <w:rPr>
          <w:rFonts w:eastAsia="Times New Roman"/>
        </w:rPr>
        <w:t>5/23, 34/24 - odl. US in 93/25 - ZNUZJV;</w:t>
      </w:r>
    </w:p>
    <w:p w14:paraId="02007A5B"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ugotavljanju vzajemnosti</w:t>
      </w:r>
      <w:r w:rsidRPr="00503014">
        <w:rPr>
          <w:rFonts w:eastAsia="Calibri"/>
          <w:color w:val="000000"/>
        </w:rPr>
        <w:t xml:space="preserve"> (ZUVza-1), Uradni list RS, št. 27/17;</w:t>
      </w:r>
    </w:p>
    <w:p w14:paraId="67629BCB"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lokalni samoupravi</w:t>
      </w:r>
      <w:r w:rsidRPr="00503014">
        <w:rPr>
          <w:rFonts w:eastAsia="Calibri"/>
          <w:color w:val="000000"/>
        </w:rPr>
        <w:t xml:space="preserve"> (ZLS),</w:t>
      </w:r>
      <w:r w:rsidRPr="00503014">
        <w:rPr>
          <w:rFonts w:ascii="Arial" w:hAnsi="Arial" w:cs="Arial"/>
          <w:color w:val="212529"/>
          <w:sz w:val="26"/>
          <w:szCs w:val="26"/>
          <w:shd w:val="clear" w:color="auto" w:fill="FFFFFF"/>
        </w:rPr>
        <w:t xml:space="preserve"> </w:t>
      </w:r>
      <w:r w:rsidRPr="00503014">
        <w:rPr>
          <w:rFonts w:eastAsia="Calibri"/>
          <w:color w:val="000000"/>
        </w:rPr>
        <w:t>Uradni list RS, št. 94/07 - uradno prečiščeno besedilo, 27/08 - odl. US, 76/08, 79/09, 51/10, 84/10 - odl. US, 40/12 - ZUJF, 14/15 - ZUUJFO, 76/16 - odl. US, 11/18 - ZSPDSLS-1, 30/18, 61/20 - ZIUZEOP-A, 80/20 - ZIUOOPE, 62/24 - odl. US in 102/24 - ZLV-K</w:t>
      </w:r>
      <w:r w:rsidRPr="00503014">
        <w:rPr>
          <w:rFonts w:eastAsia="Calibri"/>
        </w:rPr>
        <w:t>;</w:t>
      </w:r>
    </w:p>
    <w:p w14:paraId="4CFFB76E"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brezplačni pravni pomoči</w:t>
      </w:r>
      <w:r w:rsidRPr="00503014">
        <w:rPr>
          <w:rFonts w:eastAsia="Calibri"/>
          <w:color w:val="000000"/>
        </w:rPr>
        <w:t xml:space="preserve"> (ZBPP), Uradni list RS, št. 96/04 – uradno prečiščeno besedilo, 23/08, 15/14 – odl. US, 19/15, 39/18 in 93/25 - ZNUZJV;</w:t>
      </w:r>
    </w:p>
    <w:p w14:paraId="092CCB09"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 xml:space="preserve">Zakon o odškodnini žrtvam kaznivih dejanj </w:t>
      </w:r>
      <w:r w:rsidRPr="00503014">
        <w:rPr>
          <w:rFonts w:eastAsia="Calibri"/>
          <w:color w:val="000000"/>
        </w:rPr>
        <w:t>(ZOZKD), Uradni list RS, št. 101/05, 114/06 – ZUE, 86/10 in 76/23;</w:t>
      </w:r>
    </w:p>
    <w:p w14:paraId="1675C41B" w14:textId="77777777" w:rsidR="00695AE2" w:rsidRPr="00503014" w:rsidRDefault="00695AE2" w:rsidP="00695AE2">
      <w:pPr>
        <w:numPr>
          <w:ilvl w:val="0"/>
          <w:numId w:val="23"/>
        </w:numPr>
        <w:spacing w:line="240" w:lineRule="auto"/>
        <w:jc w:val="both"/>
        <w:rPr>
          <w:rFonts w:eastAsia="Calibri"/>
          <w:color w:val="000000"/>
        </w:rPr>
      </w:pPr>
      <w:r w:rsidRPr="00503014">
        <w:rPr>
          <w:rFonts w:eastAsia="Calibri"/>
          <w:i/>
          <w:color w:val="000000"/>
        </w:rPr>
        <w:t>Zakon o pravnem varstvu v postopkih javnega naročanja</w:t>
      </w:r>
      <w:r w:rsidRPr="00503014">
        <w:rPr>
          <w:rFonts w:eastAsia="Calibri"/>
          <w:color w:val="000000"/>
        </w:rPr>
        <w:t xml:space="preserve"> (ZPVPJN), Uradni list RS, št. 43/11, 60/11 – ZTP-D, 63/13, 90/14 – ZDU-1I, 60/17, 72/19, 95/23 - ZIUOPZP, 131/23 – ZORZFS in 83/25 - ZOUL;</w:t>
      </w:r>
    </w:p>
    <w:p w14:paraId="3EF0FD40" w14:textId="77777777" w:rsidR="00695AE2" w:rsidRPr="00503014" w:rsidRDefault="00695AE2" w:rsidP="00695AE2">
      <w:pPr>
        <w:numPr>
          <w:ilvl w:val="0"/>
          <w:numId w:val="23"/>
        </w:numPr>
        <w:spacing w:line="240" w:lineRule="auto"/>
        <w:jc w:val="both"/>
        <w:rPr>
          <w:rFonts w:eastAsia="Calibri"/>
          <w:i/>
          <w:iCs/>
        </w:rPr>
      </w:pPr>
      <w:r w:rsidRPr="00503014">
        <w:rPr>
          <w:rFonts w:eastAsia="Calibri"/>
          <w:i/>
          <w:iCs/>
          <w:shd w:val="clear" w:color="auto" w:fill="FFFFFF"/>
        </w:rPr>
        <w:t xml:space="preserve">Gradbeni zakon </w:t>
      </w:r>
      <w:r w:rsidRPr="00503014">
        <w:rPr>
          <w:rFonts w:eastAsia="Calibri"/>
          <w:shd w:val="clear" w:color="auto" w:fill="FFFFFF"/>
        </w:rPr>
        <w:t>(GZ-1),</w:t>
      </w:r>
      <w:r w:rsidRPr="00503014">
        <w:rPr>
          <w:rFonts w:eastAsia="Calibri"/>
          <w:i/>
          <w:iCs/>
          <w:shd w:val="clear" w:color="auto" w:fill="FFFFFF"/>
        </w:rPr>
        <w:t xml:space="preserve"> Uradni list RS, št. </w:t>
      </w:r>
      <w:r>
        <w:fldChar w:fldCharType="begin"/>
      </w:r>
      <w:r>
        <w:instrText>HYPERLINK "http://www.uradni-list.si/1/objava.jsp?sop=2021-01-3972" \t "_blank" \o "Gradbeni zakon (GZ-1)"</w:instrText>
      </w:r>
      <w:r>
        <w:fldChar w:fldCharType="separate"/>
      </w:r>
      <w:r w:rsidRPr="00503014">
        <w:rPr>
          <w:rFonts w:eastAsia="Calibri"/>
          <w:i/>
          <w:iCs/>
          <w:shd w:val="clear" w:color="auto" w:fill="FFFFFF"/>
        </w:rPr>
        <w:t>199/21</w:t>
      </w:r>
      <w:r>
        <w:fldChar w:fldCharType="end"/>
      </w:r>
      <w:r w:rsidRPr="00503014">
        <w:rPr>
          <w:rFonts w:eastAsia="Calibri"/>
          <w:i/>
          <w:iCs/>
          <w:shd w:val="clear" w:color="auto" w:fill="FFFFFF"/>
        </w:rPr>
        <w:t>, </w:t>
      </w:r>
      <w:hyperlink r:id="rId26" w:tgtFrame="_blank" w:tooltip="Zakon za zmanjšanje neenakosti in škodljivih posegov politike ter zagotavljanje spoštovanja pravne države" w:history="1">
        <w:r w:rsidRPr="00503014">
          <w:rPr>
            <w:rFonts w:eastAsia="Calibri"/>
            <w:i/>
            <w:iCs/>
            <w:shd w:val="clear" w:color="auto" w:fill="FFFFFF"/>
          </w:rPr>
          <w:t>105/22</w:t>
        </w:r>
      </w:hyperlink>
      <w:r w:rsidRPr="00503014">
        <w:rPr>
          <w:rFonts w:eastAsia="Calibri"/>
          <w:i/>
          <w:iCs/>
          <w:shd w:val="clear" w:color="auto" w:fill="FFFFFF"/>
        </w:rPr>
        <w:t> – ZZNŠPP, </w:t>
      </w:r>
      <w:hyperlink r:id="rId27" w:tgtFrame="_blank" w:tooltip="Zakon o spremembah Gradbenega zakona" w:history="1">
        <w:r w:rsidRPr="00503014">
          <w:rPr>
            <w:rFonts w:eastAsia="Calibri"/>
            <w:i/>
            <w:iCs/>
            <w:shd w:val="clear" w:color="auto" w:fill="FFFFFF"/>
          </w:rPr>
          <w:t>133/23</w:t>
        </w:r>
      </w:hyperlink>
      <w:r w:rsidRPr="00503014">
        <w:t>, 85/24 - ZAID-A, 47/25 - odl. US in 75/25;</w:t>
      </w:r>
    </w:p>
    <w:p w14:paraId="3E3057FE" w14:textId="77777777" w:rsidR="00695AE2" w:rsidRPr="00503014" w:rsidRDefault="00695AE2" w:rsidP="00695AE2">
      <w:pPr>
        <w:numPr>
          <w:ilvl w:val="0"/>
          <w:numId w:val="23"/>
        </w:numPr>
        <w:spacing w:line="240" w:lineRule="auto"/>
        <w:jc w:val="both"/>
        <w:rPr>
          <w:rFonts w:eastAsia="Calibri"/>
          <w:i/>
          <w:iCs/>
        </w:rPr>
      </w:pPr>
      <w:r w:rsidRPr="00503014">
        <w:rPr>
          <w:rFonts w:eastAsia="Calibri"/>
          <w:i/>
          <w:iCs/>
        </w:rPr>
        <w:t>Zakon o referendumu in o ljudski iniciativi</w:t>
      </w:r>
      <w:r w:rsidRPr="00503014">
        <w:rPr>
          <w:rFonts w:eastAsia="Calibri"/>
        </w:rPr>
        <w:t xml:space="preserve"> (ZRLI), Uradni list RS, št. 26/07 - uradno prečiščeno besedilo, 47/13, 6/18 - odl. US, 52/20, 30/24, 22/25</w:t>
      </w:r>
      <w:r w:rsidRPr="00503014">
        <w:t>;</w:t>
      </w:r>
    </w:p>
    <w:p w14:paraId="5FAC79A6" w14:textId="77777777" w:rsidR="00695AE2" w:rsidRPr="00503014" w:rsidRDefault="00695AE2" w:rsidP="00695AE2">
      <w:pPr>
        <w:numPr>
          <w:ilvl w:val="0"/>
          <w:numId w:val="23"/>
        </w:numPr>
        <w:spacing w:line="240" w:lineRule="auto"/>
        <w:jc w:val="both"/>
        <w:rPr>
          <w:rFonts w:eastAsia="Calibri"/>
        </w:rPr>
      </w:pPr>
      <w:r w:rsidRPr="00503014">
        <w:rPr>
          <w:rFonts w:eastAsia="Calibri"/>
          <w:i/>
          <w:iCs/>
        </w:rPr>
        <w:t>Zakon o funkcionarjih</w:t>
      </w:r>
      <w:r w:rsidRPr="00503014">
        <w:rPr>
          <w:rFonts w:eastAsia="Calibri"/>
        </w:rPr>
        <w:t xml:space="preserve">, Uradni list RS, št. 57/25. </w:t>
      </w:r>
    </w:p>
    <w:p w14:paraId="76C3AEFE" w14:textId="77777777" w:rsidR="00695AE2" w:rsidRPr="00503014" w:rsidRDefault="00695AE2" w:rsidP="00695AE2">
      <w:pPr>
        <w:spacing w:line="240" w:lineRule="auto"/>
        <w:jc w:val="both"/>
        <w:rPr>
          <w:rFonts w:eastAsia="Calibri"/>
          <w:sz w:val="32"/>
          <w:szCs w:val="32"/>
        </w:rPr>
      </w:pPr>
    </w:p>
    <w:p w14:paraId="4C1D305F" w14:textId="77777777" w:rsidR="00695AE2" w:rsidRPr="00503014" w:rsidRDefault="00695AE2" w:rsidP="00695AE2">
      <w:pPr>
        <w:pStyle w:val="Naslov2"/>
      </w:pPr>
      <w:bookmarkStart w:id="13" w:name="_Toc160097119"/>
      <w:bookmarkStart w:id="14" w:name="_Toc191561720"/>
      <w:bookmarkStart w:id="15" w:name="_Toc223093695"/>
      <w:r w:rsidRPr="003D2063">
        <w:rPr>
          <w:bCs/>
        </w:rPr>
        <w:t>O</w:t>
      </w:r>
      <w:r w:rsidRPr="00503014">
        <w:t>rganiziranost Državnega odvetništva RS</w:t>
      </w:r>
      <w:bookmarkEnd w:id="13"/>
      <w:bookmarkEnd w:id="14"/>
      <w:bookmarkEnd w:id="15"/>
      <w:r w:rsidRPr="00503014">
        <w:t xml:space="preserve"> </w:t>
      </w:r>
    </w:p>
    <w:p w14:paraId="16D58E25" w14:textId="77777777" w:rsidR="00695AE2" w:rsidRPr="00375550" w:rsidRDefault="00695AE2" w:rsidP="00695AE2">
      <w:pPr>
        <w:pStyle w:val="Jasna"/>
        <w:rPr>
          <w:sz w:val="32"/>
          <w:szCs w:val="32"/>
        </w:rPr>
      </w:pPr>
    </w:p>
    <w:p w14:paraId="19BAEEEC"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Državno odvetništvo RS izvaja naloge v okviru svojih pristojnosti na sedežu in na zunanjih oddelkih. </w:t>
      </w:r>
      <w:r w:rsidRPr="00503014">
        <w:rPr>
          <w:rFonts w:eastAsia="Times New Roman"/>
          <w:lang w:eastAsia="sl-SI"/>
        </w:rPr>
        <w:t xml:space="preserve">Organizacija ter stvarna in krajevna pristojnost sedeža in zunanjih oddelkov državnega odvetništva so določeni s Pravilnikom o organizaciji in pristojnosti sedeža in zunanjih oddelkov državnega odvetništva. </w:t>
      </w:r>
    </w:p>
    <w:p w14:paraId="647DC072" w14:textId="77777777" w:rsidR="00695AE2" w:rsidRPr="00503014" w:rsidRDefault="00695AE2" w:rsidP="00695AE2">
      <w:pPr>
        <w:spacing w:line="240" w:lineRule="auto"/>
        <w:jc w:val="both"/>
        <w:rPr>
          <w:rFonts w:eastAsia="Calibri"/>
          <w:b/>
          <w:bCs/>
          <w:color w:val="007466"/>
        </w:rPr>
      </w:pPr>
      <w:r w:rsidRPr="00503014">
        <w:rPr>
          <w:rFonts w:eastAsia="Calibri"/>
          <w:b/>
          <w:bCs/>
          <w:color w:val="007466"/>
        </w:rPr>
        <w:lastRenderedPageBreak/>
        <w:t xml:space="preserve">Slika 1: Organigram Državnega odvetništva za leto 2025 </w:t>
      </w:r>
    </w:p>
    <w:p w14:paraId="474CB28D" w14:textId="77777777" w:rsidR="00695AE2" w:rsidRPr="00503014" w:rsidRDefault="00695AE2" w:rsidP="00695AE2">
      <w:pPr>
        <w:spacing w:line="240" w:lineRule="auto"/>
        <w:jc w:val="both"/>
        <w:rPr>
          <w:rFonts w:eastAsia="Calibri"/>
        </w:rPr>
      </w:pPr>
      <w:r w:rsidRPr="00503014">
        <w:rPr>
          <w:rFonts w:eastAsia="Calibri"/>
          <w:noProof/>
        </w:rPr>
        <w:drawing>
          <wp:inline distT="0" distB="0" distL="0" distR="0" wp14:anchorId="3D131A05" wp14:editId="20DA0CA2">
            <wp:extent cx="5613400" cy="7333281"/>
            <wp:effectExtent l="0" t="0" r="6350" b="1270"/>
            <wp:docPr id="759943581" name="Slika 1" descr="Slika, ki vsebuje besede besedilo, posnetek zaslona, vzporedno,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43581" name="Slika 1" descr="Slika, ki vsebuje besede besedilo, posnetek zaslona, vzporedno, pisava&#10;&#10;Vsebina, ustvarjena z UI, morda ni pravilna."/>
                    <pic:cNvPicPr/>
                  </pic:nvPicPr>
                  <pic:blipFill>
                    <a:blip r:embed="rId28"/>
                    <a:stretch>
                      <a:fillRect/>
                    </a:stretch>
                  </pic:blipFill>
                  <pic:spPr>
                    <a:xfrm>
                      <a:off x="0" y="0"/>
                      <a:ext cx="5616196" cy="7336933"/>
                    </a:xfrm>
                    <a:prstGeom prst="rect">
                      <a:avLst/>
                    </a:prstGeom>
                  </pic:spPr>
                </pic:pic>
              </a:graphicData>
            </a:graphic>
          </wp:inline>
        </w:drawing>
      </w:r>
    </w:p>
    <w:p w14:paraId="646A9C98" w14:textId="77777777" w:rsidR="00695AE2" w:rsidRPr="00503014" w:rsidRDefault="00695AE2" w:rsidP="00695AE2">
      <w:pPr>
        <w:spacing w:line="240" w:lineRule="auto"/>
        <w:jc w:val="both"/>
        <w:rPr>
          <w:rFonts w:eastAsia="Calibri"/>
        </w:rPr>
      </w:pPr>
    </w:p>
    <w:p w14:paraId="69065719" w14:textId="77777777" w:rsidR="00695AE2" w:rsidRPr="00503014" w:rsidRDefault="00695AE2" w:rsidP="00695AE2">
      <w:pPr>
        <w:spacing w:line="240" w:lineRule="auto"/>
        <w:jc w:val="both"/>
        <w:rPr>
          <w:rFonts w:eastAsia="Calibri"/>
        </w:rPr>
      </w:pPr>
      <w:r w:rsidRPr="00503014">
        <w:rPr>
          <w:rFonts w:eastAsia="Calibri"/>
        </w:rPr>
        <w:t xml:space="preserve">Sedež </w:t>
      </w:r>
      <w:r>
        <w:rPr>
          <w:rFonts w:eastAsia="Calibri"/>
        </w:rPr>
        <w:t>D</w:t>
      </w:r>
      <w:r w:rsidRPr="00503014">
        <w:rPr>
          <w:rFonts w:eastAsia="Calibri"/>
        </w:rPr>
        <w:t xml:space="preserve">ržavnega odvetništva </w:t>
      </w:r>
      <w:r>
        <w:rPr>
          <w:rFonts w:eastAsia="Calibri"/>
        </w:rPr>
        <w:t xml:space="preserve">RS </w:t>
      </w:r>
      <w:r w:rsidRPr="00503014">
        <w:rPr>
          <w:rFonts w:eastAsia="Calibri"/>
        </w:rPr>
        <w:t>se nahaja v Ljubljani. Delo na sedežu je organizirano v oddelkih, ki predstavljajo notranje organizacijske enote, pri čemer je Mednarodni oddelek stalni specializirani oddelek.</w:t>
      </w:r>
    </w:p>
    <w:p w14:paraId="334838CB" w14:textId="77777777" w:rsidR="00695AE2" w:rsidRPr="00503014" w:rsidRDefault="00695AE2" w:rsidP="00695AE2">
      <w:pPr>
        <w:spacing w:line="240" w:lineRule="auto"/>
        <w:jc w:val="both"/>
        <w:rPr>
          <w:rFonts w:eastAsia="Calibri"/>
        </w:rPr>
      </w:pPr>
    </w:p>
    <w:p w14:paraId="74B78DFF" w14:textId="77777777" w:rsidR="00695AE2" w:rsidRPr="00503014" w:rsidRDefault="00695AE2" w:rsidP="00695AE2">
      <w:pPr>
        <w:spacing w:line="240" w:lineRule="auto"/>
        <w:jc w:val="both"/>
        <w:rPr>
          <w:rFonts w:eastAsia="Calibri"/>
        </w:rPr>
      </w:pPr>
      <w:r w:rsidRPr="00503014">
        <w:rPr>
          <w:rFonts w:eastAsia="Calibri"/>
        </w:rPr>
        <w:t>Na sedežu Državnega odvetništva RS v Ljubljani so v letu 2025 delovali naslednji oddelki:</w:t>
      </w:r>
    </w:p>
    <w:p w14:paraId="40CF7010" w14:textId="77777777" w:rsidR="00695AE2" w:rsidRPr="00503014" w:rsidRDefault="00695AE2" w:rsidP="00695AE2">
      <w:pPr>
        <w:numPr>
          <w:ilvl w:val="0"/>
          <w:numId w:val="24"/>
        </w:numPr>
        <w:spacing w:line="240" w:lineRule="auto"/>
        <w:jc w:val="both"/>
        <w:rPr>
          <w:rFonts w:eastAsia="Calibri"/>
        </w:rPr>
      </w:pPr>
      <w:r w:rsidRPr="00503014">
        <w:rPr>
          <w:rFonts w:eastAsia="Calibri"/>
        </w:rPr>
        <w:t>Mednarodni oddelek,</w:t>
      </w:r>
    </w:p>
    <w:p w14:paraId="710AFC89" w14:textId="77777777" w:rsidR="00695AE2" w:rsidRPr="00503014" w:rsidRDefault="00695AE2" w:rsidP="00695AE2">
      <w:pPr>
        <w:numPr>
          <w:ilvl w:val="0"/>
          <w:numId w:val="24"/>
        </w:numPr>
        <w:spacing w:line="240" w:lineRule="auto"/>
        <w:jc w:val="both"/>
        <w:rPr>
          <w:rFonts w:eastAsia="Calibri"/>
        </w:rPr>
      </w:pPr>
      <w:r w:rsidRPr="00503014">
        <w:rPr>
          <w:rFonts w:eastAsia="Calibri"/>
        </w:rPr>
        <w:lastRenderedPageBreak/>
        <w:t>Svetovalno analitični oddelek,</w:t>
      </w:r>
    </w:p>
    <w:p w14:paraId="4D871518" w14:textId="77777777" w:rsidR="00695AE2" w:rsidRPr="00503014" w:rsidRDefault="00695AE2" w:rsidP="00695AE2">
      <w:pPr>
        <w:numPr>
          <w:ilvl w:val="0"/>
          <w:numId w:val="24"/>
        </w:numPr>
        <w:spacing w:line="240" w:lineRule="auto"/>
        <w:jc w:val="both"/>
        <w:rPr>
          <w:rFonts w:eastAsia="Calibri"/>
        </w:rPr>
      </w:pPr>
      <w:r w:rsidRPr="00503014">
        <w:rPr>
          <w:rFonts w:eastAsia="Calibri"/>
        </w:rPr>
        <w:t>Civilnopravni in gospodarski oddelek,</w:t>
      </w:r>
    </w:p>
    <w:p w14:paraId="52412757" w14:textId="77777777" w:rsidR="00695AE2" w:rsidRPr="00503014" w:rsidRDefault="00695AE2" w:rsidP="00695AE2">
      <w:pPr>
        <w:numPr>
          <w:ilvl w:val="0"/>
          <w:numId w:val="24"/>
        </w:numPr>
        <w:spacing w:line="240" w:lineRule="auto"/>
        <w:jc w:val="both"/>
        <w:rPr>
          <w:rFonts w:eastAsia="Calibri"/>
        </w:rPr>
      </w:pPr>
      <w:r w:rsidRPr="00503014">
        <w:rPr>
          <w:rFonts w:eastAsia="Calibri"/>
        </w:rPr>
        <w:t>Delovnopravni in socialno-pravni oddelek,</w:t>
      </w:r>
    </w:p>
    <w:p w14:paraId="288F047B" w14:textId="77777777" w:rsidR="00695AE2" w:rsidRPr="00503014" w:rsidRDefault="00695AE2" w:rsidP="00695AE2">
      <w:pPr>
        <w:numPr>
          <w:ilvl w:val="0"/>
          <w:numId w:val="24"/>
        </w:numPr>
        <w:spacing w:line="240" w:lineRule="auto"/>
        <w:jc w:val="both"/>
        <w:rPr>
          <w:rFonts w:eastAsia="Calibri"/>
        </w:rPr>
      </w:pPr>
      <w:r w:rsidRPr="00503014">
        <w:rPr>
          <w:rFonts w:eastAsia="Calibri"/>
        </w:rPr>
        <w:t>Nepravdni oddelek,</w:t>
      </w:r>
    </w:p>
    <w:p w14:paraId="11ABAE4A" w14:textId="77777777" w:rsidR="00695AE2" w:rsidRPr="00503014" w:rsidRDefault="00695AE2" w:rsidP="00695AE2">
      <w:pPr>
        <w:numPr>
          <w:ilvl w:val="0"/>
          <w:numId w:val="24"/>
        </w:numPr>
        <w:spacing w:line="240" w:lineRule="auto"/>
        <w:jc w:val="both"/>
        <w:rPr>
          <w:rFonts w:eastAsia="Calibri"/>
        </w:rPr>
      </w:pPr>
      <w:r w:rsidRPr="00503014">
        <w:rPr>
          <w:rFonts w:eastAsia="Calibri"/>
        </w:rPr>
        <w:t>Upravni oddelek.</w:t>
      </w:r>
    </w:p>
    <w:p w14:paraId="024A0AED" w14:textId="77777777" w:rsidR="00695AE2" w:rsidRPr="00503014" w:rsidRDefault="00695AE2" w:rsidP="00695AE2">
      <w:pPr>
        <w:spacing w:line="240" w:lineRule="auto"/>
        <w:jc w:val="both"/>
        <w:rPr>
          <w:rFonts w:eastAsia="Times New Roman"/>
          <w:lang w:eastAsia="sl-SI"/>
        </w:rPr>
      </w:pPr>
    </w:p>
    <w:p w14:paraId="6D91E8DB"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Sedež Državnega odvetništva RS v Ljubljani je </w:t>
      </w:r>
      <w:r w:rsidRPr="00503014">
        <w:rPr>
          <w:rFonts w:eastAsia="Times New Roman"/>
          <w:bCs/>
          <w:lang w:eastAsia="sl-SI"/>
        </w:rPr>
        <w:t>izključno pristojen</w:t>
      </w:r>
      <w:r w:rsidRPr="00503014">
        <w:rPr>
          <w:rFonts w:eastAsia="Times New Roman"/>
          <w:lang w:eastAsia="sl-SI"/>
        </w:rPr>
        <w:t xml:space="preserve"> za:</w:t>
      </w:r>
    </w:p>
    <w:p w14:paraId="119F13B2" w14:textId="77777777" w:rsidR="00695AE2" w:rsidRPr="00503014" w:rsidRDefault="00695AE2" w:rsidP="00695AE2">
      <w:pPr>
        <w:numPr>
          <w:ilvl w:val="0"/>
          <w:numId w:val="8"/>
        </w:numPr>
        <w:spacing w:line="240" w:lineRule="auto"/>
        <w:jc w:val="both"/>
        <w:rPr>
          <w:rFonts w:eastAsia="Calibri"/>
        </w:rPr>
      </w:pPr>
      <w:r w:rsidRPr="00503014">
        <w:rPr>
          <w:rFonts w:eastAsia="Calibri"/>
        </w:rPr>
        <w:t>zastopanje javnega interesa v upravnih sporih;</w:t>
      </w:r>
    </w:p>
    <w:p w14:paraId="1EC36111" w14:textId="77777777" w:rsidR="00695AE2" w:rsidRPr="00503014" w:rsidRDefault="00695AE2" w:rsidP="00695AE2">
      <w:pPr>
        <w:numPr>
          <w:ilvl w:val="0"/>
          <w:numId w:val="8"/>
        </w:numPr>
        <w:spacing w:line="240" w:lineRule="auto"/>
        <w:jc w:val="both"/>
        <w:rPr>
          <w:rFonts w:eastAsia="Calibri"/>
        </w:rPr>
      </w:pPr>
      <w:r w:rsidRPr="00503014">
        <w:rPr>
          <w:rFonts w:eastAsia="Calibri"/>
        </w:rPr>
        <w:t>zastopanje pred tujimi sodišči in tujimi arbitražami ter mednarodnimi sodišči in mednarodnimi arbitražami;</w:t>
      </w:r>
    </w:p>
    <w:p w14:paraId="486F9501" w14:textId="77777777" w:rsidR="00695AE2" w:rsidRPr="00503014" w:rsidRDefault="00695AE2" w:rsidP="00695AE2">
      <w:pPr>
        <w:numPr>
          <w:ilvl w:val="0"/>
          <w:numId w:val="8"/>
        </w:numPr>
        <w:spacing w:line="240" w:lineRule="auto"/>
        <w:jc w:val="both"/>
        <w:rPr>
          <w:rFonts w:eastAsia="Calibri"/>
        </w:rPr>
      </w:pPr>
      <w:r w:rsidRPr="00503014">
        <w:rPr>
          <w:rFonts w:eastAsia="Calibri"/>
        </w:rPr>
        <w:t>zastopanje v postopkih za povrnitev škode, rehabilitacijo in uveljavitev drugih pravic oseb, ki so bile neupravičeno obsojene ali jim je bila neutemeljeno vzeta prostost po zakonu, ki ureja kazenski postopek, ali so jim bile neupravičeno izrečene sankcije ali jim je bila neutemeljeno vzeta prostost po zakonu, ki ureja prekrške;</w:t>
      </w:r>
    </w:p>
    <w:p w14:paraId="7BB41A4E" w14:textId="77777777" w:rsidR="00695AE2" w:rsidRPr="00503014" w:rsidRDefault="00695AE2" w:rsidP="00695AE2">
      <w:pPr>
        <w:numPr>
          <w:ilvl w:val="0"/>
          <w:numId w:val="8"/>
        </w:numPr>
        <w:spacing w:line="240" w:lineRule="auto"/>
        <w:jc w:val="both"/>
        <w:rPr>
          <w:rFonts w:eastAsia="Calibri"/>
        </w:rPr>
      </w:pPr>
      <w:r w:rsidRPr="00503014">
        <w:rPr>
          <w:rFonts w:eastAsia="Calibri"/>
        </w:rPr>
        <w:t>zastopanje v postopkih za revizijo postopkov javnega naročanja in</w:t>
      </w:r>
    </w:p>
    <w:p w14:paraId="47622576" w14:textId="77777777" w:rsidR="00695AE2" w:rsidRPr="00503014" w:rsidRDefault="00695AE2" w:rsidP="00695AE2">
      <w:pPr>
        <w:numPr>
          <w:ilvl w:val="0"/>
          <w:numId w:val="8"/>
        </w:numPr>
        <w:spacing w:line="240" w:lineRule="auto"/>
        <w:jc w:val="both"/>
        <w:rPr>
          <w:rFonts w:eastAsia="Calibri"/>
        </w:rPr>
      </w:pPr>
      <w:r w:rsidRPr="00503014">
        <w:rPr>
          <w:rFonts w:eastAsia="Calibri"/>
        </w:rPr>
        <w:t>opravljanje nalog, ki jih iz razlogov smotrnosti ali boljše usposobljenosti sedeža državnega odvetništva določi generalni državni odvetnik po predhodnem soglasju ministra.</w:t>
      </w:r>
    </w:p>
    <w:p w14:paraId="1B43F4EA" w14:textId="77777777" w:rsidR="00695AE2" w:rsidRPr="00503014" w:rsidRDefault="00695AE2" w:rsidP="00695AE2">
      <w:pPr>
        <w:spacing w:line="240" w:lineRule="auto"/>
        <w:jc w:val="both"/>
        <w:rPr>
          <w:rFonts w:eastAsia="Calibri"/>
        </w:rPr>
      </w:pPr>
    </w:p>
    <w:p w14:paraId="19176EB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Državno odvetništvo na sedežu v Ljubljani zastopa subjekte iz 12. in 13. člena ZDOdv:</w:t>
      </w:r>
    </w:p>
    <w:p w14:paraId="32FEC3FC" w14:textId="77777777" w:rsidR="00695AE2" w:rsidRPr="00503014" w:rsidRDefault="00695AE2" w:rsidP="00695AE2">
      <w:pPr>
        <w:numPr>
          <w:ilvl w:val="0"/>
          <w:numId w:val="9"/>
        </w:numPr>
        <w:spacing w:line="240" w:lineRule="auto"/>
        <w:jc w:val="both"/>
        <w:rPr>
          <w:rFonts w:eastAsia="Calibri"/>
        </w:rPr>
      </w:pPr>
      <w:r w:rsidRPr="00503014">
        <w:rPr>
          <w:rFonts w:eastAsia="Calibri"/>
        </w:rPr>
        <w:t>pred Okrajnim sodiščem v Ljubljani, Okrajnim sodiščem v Cerknici, Okrajnim sodiščem v Domžalah, Okrajnim sodiščem v Grosupljem, Okrajnim sodiščem v Kamniku, Okrajnim sodiščem v Kočevju, Okrajnim sodiščem v Litiji, Okrajnim sodiščem v Trbovljah in Okrajnim sodiščem na Vrhniki,</w:t>
      </w:r>
    </w:p>
    <w:p w14:paraId="72B17728" w14:textId="77777777" w:rsidR="00695AE2" w:rsidRPr="00503014" w:rsidRDefault="00695AE2" w:rsidP="00695AE2">
      <w:pPr>
        <w:numPr>
          <w:ilvl w:val="0"/>
          <w:numId w:val="9"/>
        </w:numPr>
        <w:spacing w:line="240" w:lineRule="auto"/>
        <w:jc w:val="both"/>
        <w:rPr>
          <w:rFonts w:eastAsia="Calibri"/>
        </w:rPr>
      </w:pPr>
      <w:r w:rsidRPr="00503014">
        <w:rPr>
          <w:rFonts w:eastAsia="Calibri"/>
        </w:rPr>
        <w:t>pred Okrožnim sodiščem v Ljubljani,</w:t>
      </w:r>
    </w:p>
    <w:p w14:paraId="1D3526DB" w14:textId="77777777" w:rsidR="00695AE2" w:rsidRPr="00503014" w:rsidRDefault="00695AE2" w:rsidP="00695AE2">
      <w:pPr>
        <w:numPr>
          <w:ilvl w:val="0"/>
          <w:numId w:val="9"/>
        </w:numPr>
        <w:spacing w:line="240" w:lineRule="auto"/>
        <w:jc w:val="both"/>
        <w:rPr>
          <w:rFonts w:eastAsia="Calibri"/>
        </w:rPr>
      </w:pPr>
      <w:r w:rsidRPr="00503014">
        <w:rPr>
          <w:rFonts w:eastAsia="Calibri"/>
        </w:rPr>
        <w:t>pred Delovnim in socialnim sodiščem v Ljubljani,</w:t>
      </w:r>
    </w:p>
    <w:p w14:paraId="1B2053A3" w14:textId="77777777" w:rsidR="00695AE2" w:rsidRPr="00503014" w:rsidRDefault="00695AE2" w:rsidP="00695AE2">
      <w:pPr>
        <w:numPr>
          <w:ilvl w:val="0"/>
          <w:numId w:val="9"/>
        </w:numPr>
        <w:spacing w:line="240" w:lineRule="auto"/>
        <w:jc w:val="both"/>
        <w:rPr>
          <w:rFonts w:eastAsia="Calibri"/>
        </w:rPr>
      </w:pPr>
      <w:r w:rsidRPr="00503014">
        <w:rPr>
          <w:rFonts w:eastAsia="Calibri"/>
        </w:rPr>
        <w:t xml:space="preserve">pred Upravnim sodiščem Republike Slovenije, </w:t>
      </w:r>
    </w:p>
    <w:p w14:paraId="423550E8" w14:textId="77777777" w:rsidR="00695AE2" w:rsidRPr="00503014" w:rsidRDefault="00695AE2" w:rsidP="00695AE2">
      <w:pPr>
        <w:numPr>
          <w:ilvl w:val="0"/>
          <w:numId w:val="9"/>
        </w:numPr>
        <w:spacing w:line="240" w:lineRule="auto"/>
        <w:jc w:val="both"/>
        <w:rPr>
          <w:rFonts w:eastAsia="Calibri"/>
        </w:rPr>
      </w:pPr>
      <w:r w:rsidRPr="00503014">
        <w:rPr>
          <w:rFonts w:eastAsia="Calibri"/>
        </w:rPr>
        <w:t>pred Višjim sodiščem v Ljubljani,</w:t>
      </w:r>
    </w:p>
    <w:p w14:paraId="126DB312" w14:textId="77777777" w:rsidR="00695AE2" w:rsidRPr="00503014" w:rsidRDefault="00695AE2" w:rsidP="00695AE2">
      <w:pPr>
        <w:numPr>
          <w:ilvl w:val="0"/>
          <w:numId w:val="9"/>
        </w:numPr>
        <w:spacing w:line="240" w:lineRule="auto"/>
        <w:jc w:val="both"/>
        <w:rPr>
          <w:rFonts w:eastAsia="Calibri"/>
        </w:rPr>
      </w:pPr>
      <w:r w:rsidRPr="00503014">
        <w:rPr>
          <w:rFonts w:eastAsia="Calibri"/>
        </w:rPr>
        <w:t>pred Višjim delovnim in socialnim sodiščem,</w:t>
      </w:r>
    </w:p>
    <w:p w14:paraId="157B6467" w14:textId="77777777" w:rsidR="00695AE2" w:rsidRPr="00503014" w:rsidRDefault="00695AE2" w:rsidP="00695AE2">
      <w:pPr>
        <w:numPr>
          <w:ilvl w:val="0"/>
          <w:numId w:val="9"/>
        </w:numPr>
        <w:spacing w:line="240" w:lineRule="auto"/>
        <w:jc w:val="both"/>
        <w:rPr>
          <w:rFonts w:eastAsia="Calibri"/>
        </w:rPr>
      </w:pPr>
      <w:r w:rsidRPr="00503014">
        <w:rPr>
          <w:rFonts w:eastAsia="Calibri"/>
        </w:rPr>
        <w:t>pred Vrhovnim sodiščem Republike Slovenije, </w:t>
      </w:r>
    </w:p>
    <w:p w14:paraId="39C77300" w14:textId="77777777" w:rsidR="00695AE2" w:rsidRPr="00503014" w:rsidRDefault="00695AE2" w:rsidP="00695AE2">
      <w:pPr>
        <w:numPr>
          <w:ilvl w:val="0"/>
          <w:numId w:val="9"/>
        </w:numPr>
        <w:spacing w:line="240" w:lineRule="auto"/>
        <w:jc w:val="both"/>
        <w:rPr>
          <w:rFonts w:eastAsia="Calibri"/>
        </w:rPr>
      </w:pPr>
      <w:r w:rsidRPr="00503014">
        <w:rPr>
          <w:rFonts w:eastAsia="Calibri"/>
        </w:rPr>
        <w:t>pred Ustavnim sodiščem Republike Slovenije, kadar je na prvi stopnji odločalo sodišče z območja sodnega okrožja Ljubljana.</w:t>
      </w:r>
    </w:p>
    <w:p w14:paraId="33938797" w14:textId="77777777" w:rsidR="00695AE2" w:rsidRPr="00503014" w:rsidRDefault="00695AE2" w:rsidP="00695AE2">
      <w:pPr>
        <w:spacing w:line="240" w:lineRule="auto"/>
        <w:jc w:val="both"/>
        <w:rPr>
          <w:rFonts w:eastAsia="Calibri"/>
        </w:rPr>
      </w:pPr>
    </w:p>
    <w:p w14:paraId="3DC5755C" w14:textId="77777777" w:rsidR="00695AE2" w:rsidRPr="00503014" w:rsidRDefault="00695AE2" w:rsidP="00695AE2">
      <w:pPr>
        <w:spacing w:line="240" w:lineRule="auto"/>
        <w:jc w:val="both"/>
        <w:rPr>
          <w:rFonts w:eastAsia="Calibri"/>
        </w:rPr>
      </w:pPr>
      <w:r w:rsidRPr="00503014">
        <w:rPr>
          <w:rFonts w:eastAsia="Calibri"/>
        </w:rPr>
        <w:t>Zunanji oddelki predstavljajo zunanje organizacijske enote državnega odvetništva in delujejo v skladu s svojo stvarno ter krajevno pristojnostjo.</w:t>
      </w:r>
    </w:p>
    <w:p w14:paraId="5B342B87" w14:textId="77777777" w:rsidR="00695AE2" w:rsidRPr="00503014" w:rsidRDefault="00695AE2" w:rsidP="00695AE2">
      <w:pPr>
        <w:spacing w:line="240" w:lineRule="auto"/>
        <w:jc w:val="both"/>
        <w:rPr>
          <w:rFonts w:eastAsia="Calibri"/>
          <w:b/>
          <w:bCs/>
          <w:color w:val="007466"/>
        </w:rPr>
      </w:pPr>
    </w:p>
    <w:p w14:paraId="7B76C37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Zunanji oddelek državnega odvetništva v Celju zastopa subjekte iz 12. in 13. člena ZDOdv:</w:t>
      </w:r>
    </w:p>
    <w:p w14:paraId="16359BE0"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pred Okrajnim sodiščem v Celju, Okrajnim sodiščem v Slovenskih Konjicah, Okrajnim sodiščem v Šentjurju pri Celju, Okrajnim sodiščem v Šmarju pri Jelšah, Okrajnim sodiščem v Velenju, Okrajnim sodiščem v Žalcu,</w:t>
      </w:r>
    </w:p>
    <w:p w14:paraId="21A9ACBB"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pred Okrožnim sodiščem v Celju,</w:t>
      </w:r>
    </w:p>
    <w:p w14:paraId="055438EF"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pred Delovnim sodiščem v Celju,</w:t>
      </w:r>
    </w:p>
    <w:p w14:paraId="0B18E8BE"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pred Upravnim sodiščem Republike Slovenije – zunanjim oddelkom v Celju,</w:t>
      </w:r>
    </w:p>
    <w:p w14:paraId="55A5722D"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pred Višjim sodiščem v Celju,</w:t>
      </w:r>
    </w:p>
    <w:p w14:paraId="471A082E"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pred Višjim delovnim in socialnim sodiščem,</w:t>
      </w:r>
    </w:p>
    <w:p w14:paraId="4CB8B2C3"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t xml:space="preserve">pred Vrhovnim sodiščem Republike Slovenije, </w:t>
      </w:r>
    </w:p>
    <w:p w14:paraId="64AECBD0" w14:textId="77777777" w:rsidR="00695AE2" w:rsidRPr="00503014" w:rsidRDefault="00695AE2" w:rsidP="00695AE2">
      <w:pPr>
        <w:numPr>
          <w:ilvl w:val="0"/>
          <w:numId w:val="10"/>
        </w:numPr>
        <w:spacing w:line="240" w:lineRule="auto"/>
        <w:ind w:left="714" w:hanging="357"/>
        <w:jc w:val="both"/>
        <w:rPr>
          <w:rFonts w:eastAsia="Calibri"/>
        </w:rPr>
      </w:pPr>
      <w:r w:rsidRPr="00503014">
        <w:rPr>
          <w:rFonts w:eastAsia="Calibri"/>
        </w:rPr>
        <w:lastRenderedPageBreak/>
        <w:t>pred Ustavnim sodiščem Republike Slovenije, kadar je na prvi stopnji odločalo sodišče z območja sodnega okrožja Celje.</w:t>
      </w:r>
    </w:p>
    <w:p w14:paraId="20CDD6C3" w14:textId="77777777" w:rsidR="00695AE2" w:rsidRPr="00503014" w:rsidRDefault="00695AE2" w:rsidP="00695AE2">
      <w:pPr>
        <w:spacing w:line="240" w:lineRule="auto"/>
        <w:ind w:left="714"/>
        <w:jc w:val="both"/>
        <w:rPr>
          <w:rFonts w:eastAsia="Calibri"/>
        </w:rPr>
      </w:pPr>
    </w:p>
    <w:p w14:paraId="13B4B56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Zunanji oddelek državnega odvetništva v Kopru zastopa subjekte iz 12. in 13. člena ZDOdv:</w:t>
      </w:r>
    </w:p>
    <w:p w14:paraId="16A023F6" w14:textId="77777777" w:rsidR="00695AE2" w:rsidRPr="00503014" w:rsidRDefault="00695AE2" w:rsidP="00695AE2">
      <w:pPr>
        <w:numPr>
          <w:ilvl w:val="0"/>
          <w:numId w:val="11"/>
        </w:numPr>
        <w:spacing w:line="240" w:lineRule="auto"/>
        <w:jc w:val="both"/>
        <w:rPr>
          <w:rFonts w:eastAsia="Calibri"/>
        </w:rPr>
      </w:pPr>
      <w:r w:rsidRPr="00503014">
        <w:rPr>
          <w:rFonts w:eastAsia="Calibri"/>
        </w:rPr>
        <w:t>pred Okrajnim sodiščem v Kopru, Okrajnim sodiščem v Ilirski Bistrici, Okrajnim sodiščem v Piranu, Okrajnim sodiščem v Postojni, Okrajnim sodiščem v Sežani, </w:t>
      </w:r>
    </w:p>
    <w:p w14:paraId="18904B4B" w14:textId="77777777" w:rsidR="00695AE2" w:rsidRPr="00503014" w:rsidRDefault="00695AE2" w:rsidP="00695AE2">
      <w:pPr>
        <w:numPr>
          <w:ilvl w:val="0"/>
          <w:numId w:val="11"/>
        </w:numPr>
        <w:spacing w:line="240" w:lineRule="auto"/>
        <w:jc w:val="both"/>
        <w:rPr>
          <w:rFonts w:eastAsia="Calibri"/>
        </w:rPr>
      </w:pPr>
      <w:r w:rsidRPr="00503014">
        <w:rPr>
          <w:rFonts w:eastAsia="Calibri"/>
        </w:rPr>
        <w:t>pred Okrožnim sodiščem v Kopru,</w:t>
      </w:r>
    </w:p>
    <w:p w14:paraId="72A53530" w14:textId="77777777" w:rsidR="00695AE2" w:rsidRPr="00503014" w:rsidRDefault="00695AE2" w:rsidP="00695AE2">
      <w:pPr>
        <w:numPr>
          <w:ilvl w:val="0"/>
          <w:numId w:val="11"/>
        </w:numPr>
        <w:spacing w:line="240" w:lineRule="auto"/>
        <w:jc w:val="both"/>
        <w:rPr>
          <w:rFonts w:eastAsia="Calibri"/>
        </w:rPr>
      </w:pPr>
      <w:r w:rsidRPr="00503014">
        <w:rPr>
          <w:rFonts w:eastAsia="Calibri"/>
        </w:rPr>
        <w:t>pred Delovnim sodiščem v Kopru,</w:t>
      </w:r>
    </w:p>
    <w:p w14:paraId="46F67470" w14:textId="77777777" w:rsidR="00695AE2" w:rsidRPr="00503014" w:rsidRDefault="00695AE2" w:rsidP="00695AE2">
      <w:pPr>
        <w:numPr>
          <w:ilvl w:val="0"/>
          <w:numId w:val="11"/>
        </w:numPr>
        <w:spacing w:line="240" w:lineRule="auto"/>
        <w:jc w:val="both"/>
        <w:rPr>
          <w:rFonts w:eastAsia="Calibri"/>
        </w:rPr>
      </w:pPr>
      <w:r w:rsidRPr="00503014">
        <w:rPr>
          <w:rFonts w:eastAsia="Calibri"/>
        </w:rPr>
        <w:t xml:space="preserve">pred Upravnim sodiščem Republike Slovenije – zunanjim oddelkom v Novi Gorici, </w:t>
      </w:r>
    </w:p>
    <w:p w14:paraId="77DDCC38" w14:textId="77777777" w:rsidR="00695AE2" w:rsidRPr="00503014" w:rsidRDefault="00695AE2" w:rsidP="00695AE2">
      <w:pPr>
        <w:numPr>
          <w:ilvl w:val="0"/>
          <w:numId w:val="11"/>
        </w:numPr>
        <w:spacing w:line="240" w:lineRule="auto"/>
        <w:jc w:val="both"/>
        <w:rPr>
          <w:rFonts w:eastAsia="Calibri"/>
        </w:rPr>
      </w:pPr>
      <w:r w:rsidRPr="00503014">
        <w:rPr>
          <w:rFonts w:eastAsia="Calibri"/>
        </w:rPr>
        <w:t>pred Višjim sodiščem v Kopru,</w:t>
      </w:r>
    </w:p>
    <w:p w14:paraId="12F070E4" w14:textId="77777777" w:rsidR="00695AE2" w:rsidRPr="00503014" w:rsidRDefault="00695AE2" w:rsidP="00695AE2">
      <w:pPr>
        <w:numPr>
          <w:ilvl w:val="0"/>
          <w:numId w:val="11"/>
        </w:numPr>
        <w:spacing w:line="240" w:lineRule="auto"/>
        <w:jc w:val="both"/>
        <w:rPr>
          <w:rFonts w:eastAsia="Calibri"/>
        </w:rPr>
      </w:pPr>
      <w:r w:rsidRPr="00503014">
        <w:rPr>
          <w:rFonts w:eastAsia="Calibri"/>
        </w:rPr>
        <w:t>pred Višjim delovnim in socialnim sodiščem,</w:t>
      </w:r>
    </w:p>
    <w:p w14:paraId="2D2787B6" w14:textId="77777777" w:rsidR="00695AE2" w:rsidRPr="00503014" w:rsidRDefault="00695AE2" w:rsidP="00695AE2">
      <w:pPr>
        <w:numPr>
          <w:ilvl w:val="0"/>
          <w:numId w:val="11"/>
        </w:numPr>
        <w:spacing w:line="240" w:lineRule="auto"/>
        <w:jc w:val="both"/>
        <w:rPr>
          <w:rFonts w:eastAsia="Calibri"/>
        </w:rPr>
      </w:pPr>
      <w:r w:rsidRPr="00503014">
        <w:rPr>
          <w:rFonts w:eastAsia="Calibri"/>
        </w:rPr>
        <w:t xml:space="preserve">pred Vrhovnim sodiščem Republike Slovenije, </w:t>
      </w:r>
    </w:p>
    <w:p w14:paraId="608E2363" w14:textId="77777777" w:rsidR="00695AE2" w:rsidRPr="00503014" w:rsidRDefault="00695AE2" w:rsidP="00695AE2">
      <w:pPr>
        <w:numPr>
          <w:ilvl w:val="0"/>
          <w:numId w:val="11"/>
        </w:numPr>
        <w:spacing w:line="240" w:lineRule="auto"/>
        <w:jc w:val="both"/>
        <w:rPr>
          <w:rFonts w:eastAsia="Calibri"/>
        </w:rPr>
      </w:pPr>
      <w:r w:rsidRPr="00503014">
        <w:rPr>
          <w:rFonts w:eastAsia="Calibri"/>
        </w:rPr>
        <w:t>pred Ustavnim sodiščem Republike Slovenije, kadar je na prvi stopnji odločalo sodišče z območja sodnega okrožja Koper. </w:t>
      </w:r>
    </w:p>
    <w:p w14:paraId="47F077B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rPr>
      </w:pPr>
    </w:p>
    <w:p w14:paraId="6F2E614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Zunanji oddelek državnega odvetništva v Kranju zastopa subjekte iz 12. in 13. člena ZDOdv:</w:t>
      </w:r>
    </w:p>
    <w:p w14:paraId="6156D5E7"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Okrajnim sodiščem v Kranju, Okrajnim sodiščem na Jesenicah, Okrajnim sodiščem v Radovljici, Okrajnim sodiščem v Škofji Loki,</w:t>
      </w:r>
    </w:p>
    <w:p w14:paraId="5B58FB86"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Okrožnim sodiščem v Kranju,</w:t>
      </w:r>
    </w:p>
    <w:p w14:paraId="7FB62023"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Delovnim in socialnim sodiščem v Ljubljani – zunanjim oddelkom v Kranju,</w:t>
      </w:r>
    </w:p>
    <w:p w14:paraId="08FBE477"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Upravnim sodiščem Republike Slovenije,</w:t>
      </w:r>
    </w:p>
    <w:p w14:paraId="4278658C"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Višjim sodiščem v Ljubljani,</w:t>
      </w:r>
    </w:p>
    <w:p w14:paraId="1FDC8E2B"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Višjim delovnim in socialnim sodiščem,</w:t>
      </w:r>
    </w:p>
    <w:p w14:paraId="6B46C715" w14:textId="77777777" w:rsidR="00695AE2" w:rsidRPr="00503014" w:rsidRDefault="00695AE2" w:rsidP="00695AE2">
      <w:pPr>
        <w:numPr>
          <w:ilvl w:val="0"/>
          <w:numId w:val="12"/>
        </w:numPr>
        <w:spacing w:line="240" w:lineRule="auto"/>
        <w:jc w:val="both"/>
        <w:rPr>
          <w:rFonts w:eastAsia="Calibri"/>
        </w:rPr>
      </w:pPr>
      <w:r w:rsidRPr="00503014">
        <w:rPr>
          <w:rFonts w:eastAsia="Calibri"/>
        </w:rPr>
        <w:t xml:space="preserve">pred Vrhovnim sodiščem Republike Slovenije </w:t>
      </w:r>
    </w:p>
    <w:p w14:paraId="15506B11" w14:textId="77777777" w:rsidR="00695AE2" w:rsidRPr="00503014" w:rsidRDefault="00695AE2" w:rsidP="00695AE2">
      <w:pPr>
        <w:numPr>
          <w:ilvl w:val="0"/>
          <w:numId w:val="12"/>
        </w:numPr>
        <w:spacing w:line="240" w:lineRule="auto"/>
        <w:jc w:val="both"/>
        <w:rPr>
          <w:rFonts w:eastAsia="Calibri"/>
        </w:rPr>
      </w:pPr>
      <w:r w:rsidRPr="00503014">
        <w:rPr>
          <w:rFonts w:eastAsia="Calibri"/>
        </w:rPr>
        <w:t>pred Ustavnim sodiščem Republike Slovenije, kadar je na prvi stopnji odločalo sodišče z območja sodnega okrožja Kranj.</w:t>
      </w:r>
    </w:p>
    <w:p w14:paraId="4928172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rPr>
      </w:pPr>
    </w:p>
    <w:p w14:paraId="220D4B46" w14:textId="77777777" w:rsidR="00695AE2" w:rsidRPr="00503014" w:rsidRDefault="00695AE2" w:rsidP="00695AE2">
      <w:pPr>
        <w:tabs>
          <w:tab w:val="left" w:pos="283"/>
        </w:tabs>
        <w:autoSpaceDE w:val="0"/>
        <w:autoSpaceDN w:val="0"/>
        <w:adjustRightInd w:val="0"/>
        <w:spacing w:line="240" w:lineRule="auto"/>
        <w:textAlignment w:val="center"/>
        <w:rPr>
          <w:rFonts w:eastAsia="Calibri"/>
        </w:rPr>
      </w:pPr>
      <w:r w:rsidRPr="00503014">
        <w:rPr>
          <w:rFonts w:eastAsia="Calibri"/>
        </w:rPr>
        <w:t>Zunanji oddelek državnega odvetništva v Mariboru zastopa subjekte iz 12. in 13. člena ZDOdv:</w:t>
      </w:r>
    </w:p>
    <w:p w14:paraId="730D8BED"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Okrajnim sodiščem v Mariboru, Okrajnim sodiščem v Lenartu, Okrajnim sodiščem v Slovenj Gradcu, Okrajnim sodiščem v Slovenski Bistrici,</w:t>
      </w:r>
    </w:p>
    <w:p w14:paraId="69BDF895"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Okrožnim sodiščem v Mariboru, Okrožnim sodiščem v Slovenj Gradcu, </w:t>
      </w:r>
    </w:p>
    <w:p w14:paraId="37F66524"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Delovnim sodiščem v Mariboru, Delovnim sodiščem v Mariboru – zunanjim oddelkom v Slovenj Gradcu,</w:t>
      </w:r>
    </w:p>
    <w:p w14:paraId="0292D6F8"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Upravnim sodiščem Republike Slovenije – zunanjim oddelkom v Mariboru,</w:t>
      </w:r>
    </w:p>
    <w:p w14:paraId="564DA71B"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Višjim sodiščem v Mariboru,</w:t>
      </w:r>
    </w:p>
    <w:p w14:paraId="7C10ADCB"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Višjim delovnim in socialnim sodiščem, </w:t>
      </w:r>
    </w:p>
    <w:p w14:paraId="26E846AC"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Vrhovnim sodiščem Republike Slovenije,</w:t>
      </w:r>
    </w:p>
    <w:p w14:paraId="37EC0D20" w14:textId="77777777" w:rsidR="00695AE2" w:rsidRPr="00503014" w:rsidRDefault="00695AE2" w:rsidP="00695AE2">
      <w:pPr>
        <w:numPr>
          <w:ilvl w:val="0"/>
          <w:numId w:val="13"/>
        </w:numPr>
        <w:spacing w:line="240" w:lineRule="auto"/>
        <w:jc w:val="both"/>
        <w:rPr>
          <w:rFonts w:eastAsia="Calibri"/>
        </w:rPr>
      </w:pPr>
      <w:r w:rsidRPr="00503014">
        <w:rPr>
          <w:rFonts w:eastAsia="Calibri"/>
        </w:rPr>
        <w:t>pred Ustavnim sodiščem Republike Slovenije, kadar je na prvi stopnji odločalo sodišče z območja sodnega okrožja Maribor ali sodnega okrožja Slovenj Gradec.</w:t>
      </w:r>
    </w:p>
    <w:p w14:paraId="75C059E4" w14:textId="77777777" w:rsidR="00695AE2" w:rsidRPr="00503014" w:rsidRDefault="00695AE2" w:rsidP="00695AE2">
      <w:pPr>
        <w:spacing w:line="240" w:lineRule="auto"/>
        <w:jc w:val="both"/>
        <w:rPr>
          <w:rFonts w:eastAsia="Calibri"/>
        </w:rPr>
      </w:pPr>
    </w:p>
    <w:p w14:paraId="6F4574C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Zunanji oddelek državnega odvetništva v Murski Soboti zastopa subjekte iz 12. in 13. člena ZDOdv:</w:t>
      </w:r>
    </w:p>
    <w:p w14:paraId="569E580D"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Okrajnim sodiščem v Murski Soboti, Okrajnim sodiščem v Gornji Radgoni, Okrajnim sodiščem v Lendavi, Okrajnim sodiščem v Ljutomeru,</w:t>
      </w:r>
    </w:p>
    <w:p w14:paraId="13A4CF81"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Okrožnim sodiščem v Murski Soboti,</w:t>
      </w:r>
    </w:p>
    <w:p w14:paraId="34B9471B"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Delovnim sodiščem v Mariboru – zunanjim oddelkom v Murski Soboti,</w:t>
      </w:r>
    </w:p>
    <w:p w14:paraId="42E995F9" w14:textId="77777777" w:rsidR="00695AE2" w:rsidRPr="00503014" w:rsidRDefault="00695AE2" w:rsidP="00695AE2">
      <w:pPr>
        <w:numPr>
          <w:ilvl w:val="0"/>
          <w:numId w:val="14"/>
        </w:numPr>
        <w:spacing w:line="240" w:lineRule="auto"/>
        <w:jc w:val="both"/>
        <w:rPr>
          <w:rFonts w:eastAsia="Calibri"/>
        </w:rPr>
      </w:pPr>
      <w:r w:rsidRPr="00503014">
        <w:rPr>
          <w:rFonts w:eastAsia="Calibri"/>
        </w:rPr>
        <w:lastRenderedPageBreak/>
        <w:t>pred Upravnim sodiščem Republike Slovenije – zunanjim oddelkom v Mariboru,</w:t>
      </w:r>
    </w:p>
    <w:p w14:paraId="162B5005"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Višjim sodiščem v Mariboru,</w:t>
      </w:r>
    </w:p>
    <w:p w14:paraId="16A98C23"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Višjim delovnim in socialnim sodiščem,</w:t>
      </w:r>
    </w:p>
    <w:p w14:paraId="0171D6A9"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Vrhovnim sodiščem Republike Slovenije,</w:t>
      </w:r>
    </w:p>
    <w:p w14:paraId="0744D0DD" w14:textId="77777777" w:rsidR="00695AE2" w:rsidRPr="00503014" w:rsidRDefault="00695AE2" w:rsidP="00695AE2">
      <w:pPr>
        <w:numPr>
          <w:ilvl w:val="0"/>
          <w:numId w:val="14"/>
        </w:numPr>
        <w:spacing w:line="240" w:lineRule="auto"/>
        <w:jc w:val="both"/>
        <w:rPr>
          <w:rFonts w:eastAsia="Calibri"/>
        </w:rPr>
      </w:pPr>
      <w:r w:rsidRPr="00503014">
        <w:rPr>
          <w:rFonts w:eastAsia="Calibri"/>
        </w:rPr>
        <w:t>pred Ustavnim sodiščem Republike Slovenije, kadar je na prvi stopnji odločalo sodišče z območja sodnega okrožja Murska Sobota.</w:t>
      </w:r>
    </w:p>
    <w:p w14:paraId="760D5BFD" w14:textId="77777777" w:rsidR="00695AE2" w:rsidRPr="00503014" w:rsidRDefault="00695AE2" w:rsidP="00695AE2">
      <w:pPr>
        <w:spacing w:line="240" w:lineRule="auto"/>
        <w:jc w:val="both"/>
        <w:rPr>
          <w:rFonts w:eastAsia="Calibri"/>
          <w:bCs/>
        </w:rPr>
      </w:pPr>
    </w:p>
    <w:p w14:paraId="798EFCF8" w14:textId="77777777" w:rsidR="00695AE2" w:rsidRPr="00503014" w:rsidRDefault="00695AE2" w:rsidP="00695AE2">
      <w:pPr>
        <w:spacing w:line="240" w:lineRule="auto"/>
        <w:jc w:val="both"/>
        <w:rPr>
          <w:rFonts w:eastAsia="Calibri"/>
          <w:bCs/>
        </w:rPr>
      </w:pPr>
      <w:r w:rsidRPr="00503014">
        <w:rPr>
          <w:rFonts w:eastAsia="Calibri"/>
          <w:bCs/>
        </w:rPr>
        <w:t>Zunanji oddelek državnega odvetništva v Novi Gorici zastopa subjekte iz 12. in 13. člena ZDOdv:</w:t>
      </w:r>
    </w:p>
    <w:p w14:paraId="7D8BA8A8"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Okrajnim sodiščem v Novi Gorici, Okrajnim sodiščem v Ajdovščini, Okrajnim sodiščem v Idriji, Okrajnim sodiščem v Tolminu,</w:t>
      </w:r>
    </w:p>
    <w:p w14:paraId="71D22AE4"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Okrožnim sodiščem v Novi Gorici,</w:t>
      </w:r>
    </w:p>
    <w:p w14:paraId="26C46264"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Delovnim sodiščem v Kopru – zunanjim oddelkom v Novi Gorici,</w:t>
      </w:r>
    </w:p>
    <w:p w14:paraId="56FF7004"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Upravnim sodiščem Republike Slovenije – zunanjim oddelkom v Novi Gorici,</w:t>
      </w:r>
    </w:p>
    <w:p w14:paraId="2079338E"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Višjim sodiščem v Kopru,</w:t>
      </w:r>
    </w:p>
    <w:p w14:paraId="64BB89DA"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Višjim delovnim in socialnim sodiščem,</w:t>
      </w:r>
    </w:p>
    <w:p w14:paraId="09A4640A" w14:textId="77777777" w:rsidR="00695AE2" w:rsidRPr="00503014" w:rsidRDefault="00695AE2" w:rsidP="00695AE2">
      <w:pPr>
        <w:numPr>
          <w:ilvl w:val="0"/>
          <w:numId w:val="15"/>
        </w:numPr>
        <w:spacing w:line="240" w:lineRule="auto"/>
        <w:jc w:val="both"/>
        <w:rPr>
          <w:rFonts w:eastAsia="Calibri"/>
        </w:rPr>
      </w:pPr>
      <w:r w:rsidRPr="00503014">
        <w:rPr>
          <w:rFonts w:eastAsia="Calibri"/>
        </w:rPr>
        <w:t xml:space="preserve">pred Vrhovnim sodiščem Republike Slovenije, </w:t>
      </w:r>
    </w:p>
    <w:p w14:paraId="029E8012" w14:textId="77777777" w:rsidR="00695AE2" w:rsidRPr="00503014" w:rsidRDefault="00695AE2" w:rsidP="00695AE2">
      <w:pPr>
        <w:numPr>
          <w:ilvl w:val="0"/>
          <w:numId w:val="15"/>
        </w:numPr>
        <w:spacing w:line="240" w:lineRule="auto"/>
        <w:jc w:val="both"/>
        <w:rPr>
          <w:rFonts w:eastAsia="Calibri"/>
        </w:rPr>
      </w:pPr>
      <w:r w:rsidRPr="00503014">
        <w:rPr>
          <w:rFonts w:eastAsia="Calibri"/>
        </w:rPr>
        <w:t>pred Ustavnim sodiščem Republike Slovenije, kadar je na prvi stopnji odločalo sodišče z območja sodnega okrožja Nova Gorica. </w:t>
      </w:r>
    </w:p>
    <w:p w14:paraId="15A3DB0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rPr>
      </w:pPr>
    </w:p>
    <w:p w14:paraId="4A156C2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Zunanji oddelek državnega odvetništva v Novem mestu zastopa subjekte iz 12. in 13. člena ZDOdv:</w:t>
      </w:r>
    </w:p>
    <w:p w14:paraId="32E26317"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Okrajnim sodiščem v Novem mestu, Okrajnim sodiščem v Brežicah, Okrajnim sodiščem v Črnomlju, Okrajnim sodiščem v Krškem, Okrajnim sodiščem v Sevnici, Okrajnim sodiščem v Trebnjem,</w:t>
      </w:r>
    </w:p>
    <w:p w14:paraId="3200442B"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Okrožnim sodiščem v Novem mestu, Okrožnim sodiščem v Krškem,</w:t>
      </w:r>
    </w:p>
    <w:p w14:paraId="4F440527"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Delovnim in socialnim sodiščem v Ljubljani – zunanjim oddelkom v Brežicah in zunanjim oddelkom v Novem mestu,</w:t>
      </w:r>
    </w:p>
    <w:p w14:paraId="7F8699B5"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Upravnim sodiščem Republike Slovenije,</w:t>
      </w:r>
    </w:p>
    <w:p w14:paraId="69C3AE36"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Višjim sodiščem v Ljubljani,</w:t>
      </w:r>
    </w:p>
    <w:p w14:paraId="12FF3865"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Višjim delovnim in socialnim sodiščem,</w:t>
      </w:r>
    </w:p>
    <w:p w14:paraId="642327F2" w14:textId="77777777" w:rsidR="00695AE2" w:rsidRPr="00503014" w:rsidRDefault="00695AE2" w:rsidP="00695AE2">
      <w:pPr>
        <w:numPr>
          <w:ilvl w:val="0"/>
          <w:numId w:val="16"/>
        </w:numPr>
        <w:spacing w:line="240" w:lineRule="auto"/>
        <w:jc w:val="both"/>
        <w:rPr>
          <w:rFonts w:eastAsia="Calibri"/>
        </w:rPr>
      </w:pPr>
      <w:r w:rsidRPr="00503014">
        <w:rPr>
          <w:rFonts w:eastAsia="Calibri"/>
        </w:rPr>
        <w:t xml:space="preserve">pred Vrhovnim sodiščem Republike Slovenije, </w:t>
      </w:r>
    </w:p>
    <w:p w14:paraId="33C06407" w14:textId="77777777" w:rsidR="00695AE2" w:rsidRPr="00503014" w:rsidRDefault="00695AE2" w:rsidP="00695AE2">
      <w:pPr>
        <w:numPr>
          <w:ilvl w:val="0"/>
          <w:numId w:val="16"/>
        </w:numPr>
        <w:spacing w:line="240" w:lineRule="auto"/>
        <w:jc w:val="both"/>
        <w:rPr>
          <w:rFonts w:eastAsia="Calibri"/>
        </w:rPr>
      </w:pPr>
      <w:r w:rsidRPr="00503014">
        <w:rPr>
          <w:rFonts w:eastAsia="Calibri"/>
        </w:rPr>
        <w:t>pred Ustavnim sodiščem Republike Slovenije, kadar je na prvi stopnji odločalo sodišče z območja sodnega okrožja Novo mesto in Krško.</w:t>
      </w:r>
    </w:p>
    <w:p w14:paraId="76CA36B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rPr>
      </w:pPr>
    </w:p>
    <w:p w14:paraId="46A1B99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Zunanji oddelek državnega odvetništva na Ptuju zastopa subjekte iz 12. in 13. člena ZDOdv:</w:t>
      </w:r>
    </w:p>
    <w:p w14:paraId="455A7940"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Okrajnim sodiščem na Ptuju, Okrajnim sodiščem v Ormožu, </w:t>
      </w:r>
    </w:p>
    <w:p w14:paraId="3AEA7573"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Okrožnim sodiščem na Ptuju,</w:t>
      </w:r>
    </w:p>
    <w:p w14:paraId="4FA89784"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Delovnim sodiščem v Mariboru – zunanjim oddelkom na Ptuju,</w:t>
      </w:r>
    </w:p>
    <w:p w14:paraId="11C97B86"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Upravnim sodiščem Republike Slovenije – zunanjim oddelkom v Mariboru,</w:t>
      </w:r>
    </w:p>
    <w:p w14:paraId="79946B9D"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Višjim sodiščem v Mariboru,</w:t>
      </w:r>
    </w:p>
    <w:p w14:paraId="4DF15F1E"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Višjim delovnim in socialnim sodiščem,</w:t>
      </w:r>
    </w:p>
    <w:p w14:paraId="3FDAF01E"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Vrhovnim sodiščem Republike Slovenije,</w:t>
      </w:r>
    </w:p>
    <w:p w14:paraId="4D3A9028" w14:textId="77777777" w:rsidR="00695AE2" w:rsidRPr="00503014" w:rsidRDefault="00695AE2" w:rsidP="00695AE2">
      <w:pPr>
        <w:numPr>
          <w:ilvl w:val="0"/>
          <w:numId w:val="17"/>
        </w:numPr>
        <w:spacing w:line="240" w:lineRule="auto"/>
        <w:jc w:val="both"/>
        <w:rPr>
          <w:rFonts w:eastAsia="Calibri"/>
        </w:rPr>
      </w:pPr>
      <w:r w:rsidRPr="00503014">
        <w:rPr>
          <w:rFonts w:eastAsia="Calibri"/>
        </w:rPr>
        <w:t>pred Ustavnim sodiščem Republike Slovenije, kadar je na prvi stopnji odločalo sodišče z območja sodnega okrožja Ptuj.</w:t>
      </w:r>
    </w:p>
    <w:p w14:paraId="5AB91F87" w14:textId="77777777" w:rsidR="00695AE2" w:rsidRDefault="00695AE2" w:rsidP="00695AE2">
      <w:pPr>
        <w:spacing w:line="240" w:lineRule="auto"/>
        <w:jc w:val="both"/>
        <w:rPr>
          <w:rFonts w:eastAsia="Times New Roman"/>
          <w:lang w:eastAsia="sl-SI"/>
        </w:rPr>
      </w:pPr>
    </w:p>
    <w:p w14:paraId="02B62A6A" w14:textId="77777777" w:rsidR="00B5231B" w:rsidRPr="00503014" w:rsidRDefault="00B5231B" w:rsidP="00695AE2">
      <w:pPr>
        <w:spacing w:line="240" w:lineRule="auto"/>
        <w:jc w:val="both"/>
        <w:rPr>
          <w:rFonts w:eastAsia="Times New Roman"/>
          <w:lang w:eastAsia="sl-SI"/>
        </w:rPr>
      </w:pPr>
    </w:p>
    <w:p w14:paraId="0AFB6573" w14:textId="77777777" w:rsidR="00695AE2" w:rsidRPr="00503014" w:rsidRDefault="00695AE2" w:rsidP="00695AE2">
      <w:pPr>
        <w:spacing w:line="240" w:lineRule="auto"/>
        <w:jc w:val="both"/>
        <w:rPr>
          <w:rFonts w:eastAsia="Calibri"/>
          <w:b/>
          <w:bCs/>
          <w:color w:val="007466"/>
        </w:rPr>
      </w:pPr>
      <w:r w:rsidRPr="00503014">
        <w:rPr>
          <w:rFonts w:eastAsia="Calibri"/>
          <w:b/>
          <w:bCs/>
          <w:color w:val="007466"/>
        </w:rPr>
        <w:lastRenderedPageBreak/>
        <w:t xml:space="preserve">Slika 2: Krajevna pristojnost oddelkov Državnega odvetništva RS  </w:t>
      </w:r>
    </w:p>
    <w:p w14:paraId="696F935D" w14:textId="77777777" w:rsidR="00695AE2" w:rsidRPr="00503014" w:rsidRDefault="00695AE2" w:rsidP="00695AE2">
      <w:pPr>
        <w:spacing w:line="240" w:lineRule="auto"/>
        <w:jc w:val="both"/>
        <w:rPr>
          <w:rFonts w:eastAsia="Calibri"/>
          <w:sz w:val="20"/>
          <w:szCs w:val="20"/>
        </w:rPr>
      </w:pPr>
    </w:p>
    <w:p w14:paraId="78754587" w14:textId="77777777" w:rsidR="00695AE2" w:rsidRPr="00503014" w:rsidRDefault="00695AE2" w:rsidP="00695AE2">
      <w:pPr>
        <w:spacing w:line="240" w:lineRule="auto"/>
        <w:jc w:val="both"/>
        <w:rPr>
          <w:rFonts w:eastAsia="Calibri"/>
        </w:rPr>
      </w:pPr>
      <w:r w:rsidRPr="00503014">
        <w:rPr>
          <w:rFonts w:eastAsia="Calibri"/>
          <w:noProof/>
        </w:rPr>
        <w:drawing>
          <wp:inline distT="0" distB="0" distL="0" distR="0" wp14:anchorId="68235C05" wp14:editId="2F8E1C5C">
            <wp:extent cx="5731510" cy="4043246"/>
            <wp:effectExtent l="0" t="0" r="2540" b="0"/>
            <wp:docPr id="12" name="Slika 12" descr="Slika, ki vsebuje besede zemljevid, atlas,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zemljevid, atlas, besedilo&#10;&#10;Vsebina, ustvarjena z umetno inteligenco, morda ni pravilna."/>
                    <pic:cNvPicPr/>
                  </pic:nvPicPr>
                  <pic:blipFill rotWithShape="1">
                    <a:blip r:embed="rId29"/>
                    <a:srcRect l="4145" t="7020" r="2410" b="11065"/>
                    <a:stretch/>
                  </pic:blipFill>
                  <pic:spPr bwMode="auto">
                    <a:xfrm>
                      <a:off x="0" y="0"/>
                      <a:ext cx="5731510" cy="4043246"/>
                    </a:xfrm>
                    <a:prstGeom prst="rect">
                      <a:avLst/>
                    </a:prstGeom>
                    <a:ln>
                      <a:noFill/>
                    </a:ln>
                    <a:extLst>
                      <a:ext uri="{53640926-AAD7-44D8-BBD7-CCE9431645EC}">
                        <a14:shadowObscured xmlns:a14="http://schemas.microsoft.com/office/drawing/2010/main"/>
                      </a:ext>
                    </a:extLst>
                  </pic:spPr>
                </pic:pic>
              </a:graphicData>
            </a:graphic>
          </wp:inline>
        </w:drawing>
      </w:r>
    </w:p>
    <w:p w14:paraId="45F937B7" w14:textId="77777777" w:rsidR="00695AE2" w:rsidRPr="00503014" w:rsidRDefault="00695AE2" w:rsidP="00695AE2">
      <w:pPr>
        <w:spacing w:line="240" w:lineRule="auto"/>
        <w:jc w:val="both"/>
        <w:rPr>
          <w:rFonts w:eastAsia="Calibri"/>
          <w:b/>
          <w:bCs/>
          <w:color w:val="007466"/>
          <w:sz w:val="32"/>
          <w:szCs w:val="32"/>
        </w:rPr>
      </w:pPr>
    </w:p>
    <w:p w14:paraId="04DB4213" w14:textId="77777777" w:rsidR="00695AE2" w:rsidRPr="008F0EFE" w:rsidRDefault="00695AE2" w:rsidP="00695AE2">
      <w:pPr>
        <w:pStyle w:val="Naslov2"/>
        <w:ind w:left="0" w:firstLine="0"/>
      </w:pPr>
      <w:bookmarkStart w:id="16" w:name="_Toc160097118"/>
      <w:bookmarkStart w:id="17" w:name="_Toc191561721"/>
      <w:bookmarkStart w:id="18" w:name="_Toc223093696"/>
      <w:r w:rsidRPr="008F0EFE">
        <w:t xml:space="preserve">Državno odvetništvo RS </w:t>
      </w:r>
      <w:bookmarkEnd w:id="16"/>
      <w:r w:rsidRPr="008F0EFE">
        <w:t>kot pomemben in zgodovinsko pogojen gradnik pravosodnega sistema Republike Slovenije</w:t>
      </w:r>
      <w:bookmarkEnd w:id="17"/>
      <w:bookmarkEnd w:id="18"/>
      <w:r w:rsidRPr="008F0EFE">
        <w:t xml:space="preserve"> </w:t>
      </w:r>
    </w:p>
    <w:p w14:paraId="6A82772A" w14:textId="77777777" w:rsidR="00695AE2" w:rsidRPr="008F0EFE" w:rsidRDefault="00695AE2" w:rsidP="00695AE2">
      <w:pPr>
        <w:pStyle w:val="Jasna"/>
        <w:rPr>
          <w:sz w:val="32"/>
          <w:szCs w:val="32"/>
        </w:rPr>
      </w:pPr>
    </w:p>
    <w:p w14:paraId="2A22832A" w14:textId="77777777" w:rsidR="00695AE2" w:rsidRPr="00503014" w:rsidRDefault="00695AE2" w:rsidP="00695AE2">
      <w:pPr>
        <w:pStyle w:val="Naslov3"/>
        <w:rPr>
          <w:rFonts w:eastAsiaTheme="majorEastAsia"/>
        </w:rPr>
      </w:pPr>
      <w:bookmarkStart w:id="19" w:name="_Toc191561722"/>
      <w:bookmarkStart w:id="20" w:name="_Toc223093697"/>
      <w:r w:rsidRPr="00503014">
        <w:rPr>
          <w:rFonts w:eastAsiaTheme="majorEastAsia"/>
        </w:rPr>
        <w:t>Zgodovinski razvoj institucije zastopnika države</w:t>
      </w:r>
      <w:bookmarkStart w:id="21" w:name="_Toc191561723"/>
      <w:bookmarkEnd w:id="19"/>
      <w:bookmarkEnd w:id="20"/>
    </w:p>
    <w:p w14:paraId="090EB43C" w14:textId="77777777" w:rsidR="00695AE2" w:rsidRPr="00F760BD" w:rsidRDefault="00695AE2" w:rsidP="00695AE2">
      <w:pPr>
        <w:spacing w:line="240" w:lineRule="auto"/>
        <w:jc w:val="both"/>
        <w:rPr>
          <w:rFonts w:cstheme="minorHAnsi"/>
          <w:sz w:val="28"/>
          <w:szCs w:val="28"/>
        </w:rPr>
      </w:pPr>
    </w:p>
    <w:p w14:paraId="14250A56" w14:textId="77777777" w:rsidR="00695AE2" w:rsidRPr="00503014" w:rsidRDefault="00695AE2" w:rsidP="00695AE2">
      <w:pPr>
        <w:spacing w:line="240" w:lineRule="auto"/>
        <w:jc w:val="both"/>
        <w:rPr>
          <w:rFonts w:cstheme="minorHAnsi"/>
        </w:rPr>
      </w:pPr>
      <w:r w:rsidRPr="00503014">
        <w:rPr>
          <w:rFonts w:cstheme="minorHAnsi"/>
        </w:rPr>
        <w:t>Državno odvetništvo RS je kot zakoniti zastopnik države v postopkih pred sodišči pomemben organ pravosodja, izvorno pa je bila njegova vloga zaščita »javne blagajne«.</w:t>
      </w:r>
    </w:p>
    <w:p w14:paraId="6C0A42FB" w14:textId="77777777" w:rsidR="00695AE2" w:rsidRPr="00503014" w:rsidRDefault="00695AE2" w:rsidP="00695AE2">
      <w:pPr>
        <w:spacing w:line="240" w:lineRule="auto"/>
        <w:jc w:val="both"/>
        <w:rPr>
          <w:rFonts w:cstheme="minorHAnsi"/>
        </w:rPr>
      </w:pPr>
    </w:p>
    <w:p w14:paraId="60B88ACC" w14:textId="77777777" w:rsidR="00695AE2" w:rsidRPr="00503014" w:rsidRDefault="00695AE2" w:rsidP="00695AE2">
      <w:pPr>
        <w:spacing w:line="240" w:lineRule="auto"/>
        <w:jc w:val="both"/>
        <w:rPr>
          <w:rFonts w:cstheme="minorHAnsi"/>
        </w:rPr>
      </w:pPr>
      <w:r w:rsidRPr="00503014">
        <w:rPr>
          <w:rFonts w:cstheme="minorHAnsi"/>
        </w:rPr>
        <w:t>Institucija varuha interesov države oziroma javne blagajne naj bi sicer v takšni ali drugačni obliki na Slovenskem obstajala že vse od 15. stoletja. Pravna zgodovina Slovencev ugotavlja, da naj bi v tistem času na ozemlju Republike Slovenije obstajala tako imenovana prokuratura. Potreba po zastopanju finančnih interesov države in vladarja je narekovala ustanovitev posebnega organa, ki se je imenoval »fiskal«. Ta je bil aktivno in pasivno pooblaščen zastopati deželnega vladarja v vseh njegovih finančnih zadevah.</w:t>
      </w:r>
      <w:r w:rsidRPr="00503014">
        <w:rPr>
          <w:rFonts w:cstheme="minorHAnsi"/>
          <w:vertAlign w:val="superscript"/>
        </w:rPr>
        <w:footnoteReference w:id="1"/>
      </w:r>
    </w:p>
    <w:p w14:paraId="1231E2D9" w14:textId="77777777" w:rsidR="00695AE2" w:rsidRPr="00503014" w:rsidRDefault="00695AE2" w:rsidP="00695AE2">
      <w:pPr>
        <w:spacing w:line="240" w:lineRule="auto"/>
        <w:jc w:val="both"/>
        <w:rPr>
          <w:rFonts w:cstheme="minorHAnsi"/>
        </w:rPr>
      </w:pPr>
      <w:r w:rsidRPr="00503014">
        <w:rPr>
          <w:rFonts w:cstheme="minorHAnsi"/>
        </w:rPr>
        <w:lastRenderedPageBreak/>
        <w:t>Korenine državnega pravobranilstva oziroma državnega odvetništva, kot ga poznamo danes, naj bi segale daleč nazaj v 19. stoletje. V Kraljevini Jugoslaviji je delovalo na podlagi Zakona o državnem pravobranilstvu iz leta 1934 (Službene novine Kraljevine Jugoslavije, št. 164/1934, oziroma Službeni list Kraljevske banske uprave Dravske banovine, št. 68/1934). Takratno pravobranilstvo je bilo organ ministra za finance, njegova naloga pa je bila varovati lastninske koristi države (1. člen).</w:t>
      </w:r>
    </w:p>
    <w:p w14:paraId="1ED8505D" w14:textId="77777777" w:rsidR="00695AE2" w:rsidRPr="00503014" w:rsidRDefault="00695AE2" w:rsidP="00695AE2">
      <w:pPr>
        <w:spacing w:line="240" w:lineRule="auto"/>
        <w:jc w:val="both"/>
        <w:rPr>
          <w:rFonts w:cstheme="minorHAnsi"/>
        </w:rPr>
      </w:pPr>
    </w:p>
    <w:p w14:paraId="6B8FB5BB" w14:textId="77777777" w:rsidR="00695AE2" w:rsidRPr="00503014" w:rsidRDefault="00695AE2" w:rsidP="00695AE2">
      <w:pPr>
        <w:spacing w:line="240" w:lineRule="auto"/>
        <w:jc w:val="both"/>
        <w:rPr>
          <w:rFonts w:cstheme="minorHAnsi"/>
        </w:rPr>
      </w:pPr>
      <w:r w:rsidRPr="00503014">
        <w:rPr>
          <w:rFonts w:cstheme="minorHAnsi"/>
        </w:rPr>
        <w:t>V prvi Jugoslaviji ustanovljeno državno pravobranilstvo je prenehalo delovati med drugo svetovno vojno, ukinjeno pa je bilo leta 1945 z Zakonom o odpravi vrhovnega državnega pravobranilstva, državnih pravobranilstev, vrhovnega državnega tožilstva, višjih državnih tožilstev in državnih tožilstev (Uradni list Demokratične federativne Jugoslavije, št. 27/1945). Njegova opravila so delno nadaljevali člani vlade oziroma predstavniki ljudskih odborov ter vodilne osebe ali zastopniki ustanov. Njihovo dejavnost je urejal zvezni zakon o zastopanju države in javnih organizacij pred sodišči in upravnimi organi iz leta 1946.</w:t>
      </w:r>
    </w:p>
    <w:p w14:paraId="033BBEBF" w14:textId="77777777" w:rsidR="00695AE2" w:rsidRPr="00503014" w:rsidRDefault="00695AE2" w:rsidP="00695AE2">
      <w:pPr>
        <w:spacing w:line="240" w:lineRule="auto"/>
        <w:jc w:val="both"/>
        <w:rPr>
          <w:rFonts w:cstheme="minorHAnsi"/>
        </w:rPr>
      </w:pPr>
    </w:p>
    <w:p w14:paraId="261169F3" w14:textId="77777777" w:rsidR="00695AE2" w:rsidRPr="00503014" w:rsidRDefault="00695AE2" w:rsidP="00695AE2">
      <w:pPr>
        <w:spacing w:line="240" w:lineRule="auto"/>
        <w:jc w:val="both"/>
        <w:rPr>
          <w:rFonts w:cstheme="minorHAnsi"/>
        </w:rPr>
      </w:pPr>
      <w:r w:rsidRPr="00503014">
        <w:rPr>
          <w:rFonts w:cstheme="minorHAnsi"/>
        </w:rPr>
        <w:t>Leta 1952 je bil z zveznim zakonom ustanovljen nov organ, javno pravobranilstvo. Zakon o javnem pravobranilstvu (Uradni list FLRJ, št. 24/1952) je določal, da je to organ, ki v premoženjskopravnih zadevah zastopa Federativno ljudsko republiko Jugoslavijo, posamezne republike in avtonomne enote, okraje, mesta in občine ter njihove zavode, ki jim je priznana lastnost pravne osebe. Drugi zakon, tj. Zakon o javnem pravobranilstvu (Uradni list FLRJ, št. 51/1955), je bil sprejet čez tri leta.</w:t>
      </w:r>
    </w:p>
    <w:p w14:paraId="051A4A7A" w14:textId="77777777" w:rsidR="00695AE2" w:rsidRPr="00503014" w:rsidRDefault="00695AE2" w:rsidP="00695AE2">
      <w:pPr>
        <w:spacing w:line="240" w:lineRule="auto"/>
        <w:jc w:val="both"/>
        <w:rPr>
          <w:rFonts w:cstheme="minorHAnsi"/>
        </w:rPr>
      </w:pPr>
    </w:p>
    <w:p w14:paraId="5CA7E177" w14:textId="77777777" w:rsidR="00695AE2" w:rsidRPr="00503014" w:rsidRDefault="00695AE2" w:rsidP="00695AE2">
      <w:pPr>
        <w:spacing w:line="240" w:lineRule="auto"/>
        <w:jc w:val="both"/>
        <w:rPr>
          <w:rFonts w:cstheme="minorHAnsi"/>
        </w:rPr>
      </w:pPr>
      <w:r w:rsidRPr="00503014">
        <w:rPr>
          <w:rFonts w:cstheme="minorHAnsi"/>
        </w:rPr>
        <w:t>Prvi slovenski pravobranilski zakon je bil sprejet šele leta 1976. Zakon o javnem pravobranilstvu (Uradni list SRS, št. 19/1976) je določal funkcijo in položaj javnega pravobranilca ter organizacijo Javnega pravobranilstva Socialistične republike Slovenije. Ta zakon je z nekaj spremembami veljal vse do uveljavitve Zakona o državnem pravobranilstvu iz leta 1997 (Uradni list RS, št. 20/97 z dne 10. 4. 1997; v nadaljevanju: ZDPra).</w:t>
      </w:r>
      <w:r w:rsidRPr="00503014">
        <w:rPr>
          <w:rFonts w:cstheme="minorHAnsi"/>
          <w:vertAlign w:val="superscript"/>
        </w:rPr>
        <w:footnoteReference w:id="2"/>
      </w:r>
      <w:r w:rsidRPr="00503014">
        <w:rPr>
          <w:rFonts w:cstheme="minorHAnsi"/>
        </w:rPr>
        <w:t xml:space="preserve"> </w:t>
      </w:r>
    </w:p>
    <w:p w14:paraId="2F818672" w14:textId="77777777" w:rsidR="00695AE2" w:rsidRPr="00503014" w:rsidRDefault="00695AE2" w:rsidP="00695AE2">
      <w:pPr>
        <w:spacing w:line="240" w:lineRule="auto"/>
        <w:jc w:val="both"/>
        <w:rPr>
          <w:rFonts w:eastAsia="Times New Roman" w:cstheme="minorHAnsi"/>
          <w:lang w:eastAsia="sl-SI"/>
        </w:rPr>
      </w:pPr>
    </w:p>
    <w:p w14:paraId="170F92B1" w14:textId="77777777" w:rsidR="00695AE2" w:rsidRPr="00503014" w:rsidRDefault="00695AE2" w:rsidP="00695AE2">
      <w:pPr>
        <w:spacing w:line="240" w:lineRule="auto"/>
        <w:jc w:val="both"/>
        <w:rPr>
          <w:rFonts w:eastAsia="Times New Roman" w:cstheme="minorHAnsi"/>
          <w:lang w:eastAsia="sl-SI"/>
        </w:rPr>
      </w:pPr>
      <w:r w:rsidRPr="00503014">
        <w:rPr>
          <w:rFonts w:eastAsia="Times New Roman" w:cstheme="minorHAnsi"/>
          <w:lang w:eastAsia="sl-SI"/>
        </w:rPr>
        <w:t>Državno pravobranilstvo RS je kot samostojni državni organ na podlagi usmeritvenih navodil zastopanega pred sodišči zastopalo državo, njene organe in upravne organizacije v sestavi, ki so pravne osebe,</w:t>
      </w:r>
      <w:r w:rsidRPr="00503014">
        <w:rPr>
          <w:rFonts w:eastAsia="Times New Roman" w:cstheme="minorHAnsi"/>
          <w:lang w:val="x-none" w:eastAsia="sl-SI"/>
        </w:rPr>
        <w:t xml:space="preserve"> </w:t>
      </w:r>
      <w:r w:rsidRPr="00503014">
        <w:rPr>
          <w:rFonts w:eastAsia="Times New Roman" w:cstheme="minorHAnsi"/>
          <w:lang w:eastAsia="sl-SI"/>
        </w:rPr>
        <w:t>v primeru pooblastila pa je prevzelo tudi zastopanje subjekta pred upravnimi organi. Državno pravobranilstvo RS je državi, njenim organom in upravnim organizacijam v sestavi na njihovo zahtevo poročalo o zadevah, v katerih jih je zastopalo, ter pravno svetovalo pri sklepanju pogodb, s katerimi so za te subjekte nastale premoženjske pravice in obveznosti, pri sklepanju pogodb, s katerimi so se ustanavljale ali ukinjale stvarne pravice na nepremičninah, ter pri reševanju drugih premoženjskih vprašanj.</w:t>
      </w:r>
      <w:r w:rsidRPr="00503014">
        <w:rPr>
          <w:rFonts w:eastAsia="Times New Roman" w:cstheme="minorHAnsi"/>
          <w:lang w:val="x-none" w:eastAsia="sl-SI"/>
        </w:rPr>
        <w:t xml:space="preserve"> </w:t>
      </w:r>
      <w:r w:rsidRPr="00503014">
        <w:rPr>
          <w:rFonts w:eastAsia="Times New Roman" w:cstheme="minorHAnsi"/>
          <w:lang w:eastAsia="sl-SI"/>
        </w:rPr>
        <w:t>Opravljalo pa je</w:t>
      </w:r>
      <w:r w:rsidRPr="00503014">
        <w:rPr>
          <w:rFonts w:eastAsia="Times New Roman" w:cstheme="minorHAnsi"/>
          <w:lang w:val="x-none" w:eastAsia="sl-SI"/>
        </w:rPr>
        <w:t xml:space="preserve"> tudi druge naloge, določene z zakono</w:t>
      </w:r>
      <w:r w:rsidRPr="00503014">
        <w:rPr>
          <w:rFonts w:eastAsia="Times New Roman" w:cstheme="minorHAnsi"/>
          <w:lang w:eastAsia="sl-SI"/>
        </w:rPr>
        <w:t>m.</w:t>
      </w:r>
    </w:p>
    <w:p w14:paraId="4B7B4A85" w14:textId="77777777" w:rsidR="00695AE2" w:rsidRPr="00503014" w:rsidRDefault="00695AE2" w:rsidP="00695AE2">
      <w:pPr>
        <w:spacing w:line="240" w:lineRule="auto"/>
        <w:jc w:val="both"/>
        <w:rPr>
          <w:rFonts w:eastAsia="Times New Roman" w:cstheme="minorHAnsi"/>
          <w:sz w:val="28"/>
          <w:szCs w:val="28"/>
          <w:lang w:eastAsia="sl-SI"/>
        </w:rPr>
      </w:pPr>
    </w:p>
    <w:p w14:paraId="53E6AF53" w14:textId="77777777" w:rsidR="00695AE2" w:rsidRPr="00503014" w:rsidRDefault="00695AE2" w:rsidP="00695AE2">
      <w:pPr>
        <w:pStyle w:val="Naslov3"/>
      </w:pPr>
      <w:bookmarkStart w:id="22" w:name="_Toc223093698"/>
      <w:r w:rsidRPr="00503014">
        <w:t>Državno odvetništvo RS kot ustavnopravna kategorija</w:t>
      </w:r>
      <w:bookmarkEnd w:id="21"/>
      <w:bookmarkEnd w:id="22"/>
    </w:p>
    <w:p w14:paraId="53E0E947" w14:textId="77777777" w:rsidR="00695AE2" w:rsidRPr="00F760BD" w:rsidRDefault="00695AE2" w:rsidP="00695AE2">
      <w:pPr>
        <w:autoSpaceDE w:val="0"/>
        <w:autoSpaceDN w:val="0"/>
        <w:adjustRightInd w:val="0"/>
        <w:spacing w:line="240" w:lineRule="auto"/>
        <w:jc w:val="both"/>
        <w:rPr>
          <w:rFonts w:eastAsia="Calibri"/>
          <w:sz w:val="28"/>
          <w:szCs w:val="28"/>
        </w:rPr>
      </w:pPr>
    </w:p>
    <w:p w14:paraId="766238BC" w14:textId="77777777" w:rsidR="00695AE2" w:rsidRPr="00503014" w:rsidRDefault="00695AE2" w:rsidP="00695AE2">
      <w:pPr>
        <w:spacing w:line="240" w:lineRule="auto"/>
        <w:jc w:val="both"/>
        <w:rPr>
          <w:rFonts w:eastAsia="Calibri"/>
        </w:rPr>
      </w:pPr>
      <w:r w:rsidRPr="00503014">
        <w:rPr>
          <w:rFonts w:eastAsia="Calibri"/>
        </w:rPr>
        <w:t xml:space="preserve">Ustava Republike Slovenije (v nadaljevanju: Ustava RS) poleg položaja in pristojnosti temeljnih organov zakonodajne, izvršilne in sodne veje oblasti ureja tudi nekatere druge organe in institucije z veliko stopnjo samostojnosti in neodvisnosti v razmerju do drugih vej oblasti. Na </w:t>
      </w:r>
      <w:r w:rsidRPr="00503014">
        <w:rPr>
          <w:rFonts w:eastAsia="Calibri"/>
        </w:rPr>
        <w:lastRenderedPageBreak/>
        <w:t xml:space="preserve">področju pravosodja so to državno tožilstvo, (zasebno) odvetništvo in notariat. Glede na svoje naloge oziroma funkcije, ki imajo svoj temelj v skrbi za spoštovanje slovenskega ustavnega reda in temeljnih postulatov pravne države, v ta sklop nedvomno sodi tudi Državno odvetništvo RS. Tako kot ostali pravosodni organi mora namreč tudi Državno odvetništvo RS. </w:t>
      </w:r>
    </w:p>
    <w:p w14:paraId="31276C60" w14:textId="77777777" w:rsidR="00695AE2" w:rsidRPr="00503014" w:rsidRDefault="00695AE2" w:rsidP="00695AE2">
      <w:pPr>
        <w:autoSpaceDE w:val="0"/>
        <w:autoSpaceDN w:val="0"/>
        <w:adjustRightInd w:val="0"/>
        <w:spacing w:line="240" w:lineRule="auto"/>
        <w:jc w:val="both"/>
        <w:rPr>
          <w:rFonts w:eastAsia="Calibri"/>
        </w:rPr>
      </w:pPr>
    </w:p>
    <w:p w14:paraId="50755DE4" w14:textId="77777777" w:rsidR="00695AE2" w:rsidRPr="00503014" w:rsidRDefault="00695AE2" w:rsidP="00695AE2">
      <w:pPr>
        <w:spacing w:line="240" w:lineRule="auto"/>
        <w:jc w:val="both"/>
        <w:rPr>
          <w:rFonts w:eastAsia="Calibri"/>
        </w:rPr>
      </w:pPr>
      <w:bookmarkStart w:id="23" w:name="_Hlk129002825"/>
      <w:r w:rsidRPr="00503014">
        <w:rPr>
          <w:rFonts w:eastAsia="Calibri"/>
        </w:rPr>
        <w:t>Poleg zastopniške, svetovalne, posredniške oziroma pogajalske in institucionalne funkcije ima Državno odvetništvo RS kot pravobranilski organ tudi splošne cilje, in sicer uresničevanje ustavnih pristojnosti države in družbenih vrednot ustave.</w:t>
      </w:r>
      <w:r w:rsidRPr="00503014">
        <w:rPr>
          <w:rFonts w:eastAsia="Calibri"/>
          <w:vertAlign w:val="superscript"/>
        </w:rPr>
        <w:footnoteReference w:id="3"/>
      </w:r>
      <w:r w:rsidRPr="00503014">
        <w:rPr>
          <w:rFonts w:eastAsia="Calibri"/>
        </w:rPr>
        <w:t xml:space="preserve"> Državno odvetništvo RS je pravosodni državni organ, katerega pristojnost je uresničevanje določenega dela izvršilne državne funkcije, in sicer t. i. pravobranilske funkcije, katere imanentni del je uresničevanje splošnih ciljev varstva pravnega reda, načela zakonitosti in spoštovanja človekovih pravic, torej pravne države oziroma vladavine prava.</w:t>
      </w:r>
      <w:r w:rsidRPr="00503014">
        <w:rPr>
          <w:rFonts w:eastAsia="Calibri"/>
          <w:vertAlign w:val="superscript"/>
        </w:rPr>
        <w:footnoteReference w:id="4"/>
      </w:r>
      <w:r w:rsidRPr="00503014">
        <w:rPr>
          <w:rFonts w:eastAsia="Calibri"/>
        </w:rPr>
        <w:t xml:space="preserve"> </w:t>
      </w:r>
    </w:p>
    <w:p w14:paraId="419FC474" w14:textId="77777777" w:rsidR="00695AE2" w:rsidRPr="00503014" w:rsidRDefault="00695AE2" w:rsidP="00695AE2">
      <w:pPr>
        <w:spacing w:line="240" w:lineRule="auto"/>
        <w:jc w:val="both"/>
        <w:rPr>
          <w:rFonts w:eastAsia="Calibri"/>
        </w:rPr>
      </w:pPr>
    </w:p>
    <w:bookmarkEnd w:id="23"/>
    <w:p w14:paraId="29405AB4" w14:textId="77777777" w:rsidR="00695AE2" w:rsidRPr="00503014" w:rsidRDefault="00695AE2" w:rsidP="00695AE2">
      <w:pPr>
        <w:spacing w:line="240" w:lineRule="auto"/>
        <w:jc w:val="both"/>
        <w:rPr>
          <w:rFonts w:eastAsia="Calibri"/>
        </w:rPr>
      </w:pPr>
      <w:r w:rsidRPr="00503014">
        <w:rPr>
          <w:rFonts w:eastAsia="Calibri"/>
        </w:rPr>
        <w:t xml:space="preserve">Glede na to, kako številne in za državo pomembne izvirne oblastne pristojnosti na področju pravosodja izvaja Državno odvetništvo RS oziroma so jih pred tem zgodovinsko gledano že ves čas izvajali njegovi pravni predniki, je ustavnopravna struktura pravosodja, ki v poglavju Ustave RS o državni ureditvi med določili o pravosodju med pravosodnimi subjekti Državnega odvetništva RS oziroma katerega od njegovih pravnih prednikov sploh ne omenja, nenavadna, pri čemer razlog te vrzeli z vidika stroke ni pojasnjen. </w:t>
      </w:r>
    </w:p>
    <w:p w14:paraId="24E46696" w14:textId="77777777" w:rsidR="00695AE2" w:rsidRPr="00503014" w:rsidRDefault="00695AE2" w:rsidP="00695AE2">
      <w:pPr>
        <w:spacing w:line="240" w:lineRule="auto"/>
        <w:jc w:val="both"/>
        <w:rPr>
          <w:rFonts w:eastAsia="Calibri"/>
        </w:rPr>
      </w:pPr>
    </w:p>
    <w:p w14:paraId="69404EFF" w14:textId="77777777" w:rsidR="00695AE2" w:rsidRPr="00503014" w:rsidRDefault="00695AE2" w:rsidP="00695AE2">
      <w:pPr>
        <w:spacing w:line="240" w:lineRule="auto"/>
        <w:jc w:val="both"/>
        <w:rPr>
          <w:rFonts w:eastAsia="Calibri"/>
        </w:rPr>
      </w:pPr>
      <w:r w:rsidRPr="00503014">
        <w:rPr>
          <w:rFonts w:eastAsia="Calibri"/>
        </w:rPr>
        <w:t>Posledica ne umeščenosti tega organa v Ustavo RS je dejstvo, da del pomembnih oblastnih pristojnosti na področju pravosodja, ki jih ne izvršuje noben drug pravosodni organ, izvršuje organ, katerega obstoj (ali neobstoj) je odvisen (zgolj) od volje vsakokratnega zakonodajalca. To se je pokazalo tudi ob zadnji spremembi zakona. Takrat je oceno stanja in razloge za sprejem predloga zakona Ministrstvo za pravosodje v izhodišču oprlo na enostavčno poved: »</w:t>
      </w:r>
      <w:r w:rsidRPr="00503014">
        <w:rPr>
          <w:rFonts w:eastAsia="Calibri"/>
          <w:i/>
          <w:iCs/>
        </w:rPr>
        <w:t>Državno pravobranilstvo v Republiki Sloveniji ni ustavna kategorija</w:t>
      </w:r>
      <w:r w:rsidRPr="00503014">
        <w:rPr>
          <w:rFonts w:eastAsia="Calibri"/>
        </w:rPr>
        <w:t>.«</w:t>
      </w:r>
      <w:r w:rsidRPr="00503014">
        <w:rPr>
          <w:rFonts w:eastAsia="Calibri"/>
          <w:vertAlign w:val="superscript"/>
        </w:rPr>
        <w:footnoteReference w:id="5"/>
      </w:r>
      <w:r w:rsidRPr="00503014">
        <w:rPr>
          <w:rFonts w:eastAsia="Calibri"/>
        </w:rPr>
        <w:t>. Ministrstvo za pravosodje je pri tem izhajalo iz jezikovne razlage Ustave RS, ki izrecno ne vsebuje posebnih določb glede organa, ki Republiko Slovenijo in njene organe zastopa pred domačimi in mednarodnimi sodišči ter drugimi organi. Pomemben je sporočilni namen povedi tedanjega ministrstva, in sicer, da je (le) zakonodajalcu prepuščena odločitev, kako bo področje uredil, kako bo organ poimenoval in kakšne bodo njegove pristojnosti.</w:t>
      </w:r>
      <w:r w:rsidRPr="00503014">
        <w:rPr>
          <w:rFonts w:eastAsia="Calibri"/>
          <w:vertAlign w:val="superscript"/>
        </w:rPr>
        <w:footnoteReference w:id="6"/>
      </w:r>
      <w:r w:rsidRPr="00503014">
        <w:rPr>
          <w:rFonts w:eastAsia="Calibri"/>
        </w:rPr>
        <w:t xml:space="preserve"> </w:t>
      </w:r>
    </w:p>
    <w:p w14:paraId="632389EA" w14:textId="77777777" w:rsidR="00695AE2" w:rsidRPr="00503014" w:rsidRDefault="00695AE2" w:rsidP="00695AE2">
      <w:pPr>
        <w:spacing w:line="240" w:lineRule="auto"/>
        <w:jc w:val="both"/>
        <w:rPr>
          <w:rFonts w:eastAsia="Calibri"/>
        </w:rPr>
      </w:pPr>
    </w:p>
    <w:p w14:paraId="656ECAD2" w14:textId="77777777" w:rsidR="00695AE2" w:rsidRPr="00503014" w:rsidRDefault="00695AE2" w:rsidP="00695AE2">
      <w:pPr>
        <w:spacing w:line="240" w:lineRule="auto"/>
        <w:jc w:val="both"/>
        <w:rPr>
          <w:rFonts w:eastAsia="Calibri"/>
        </w:rPr>
      </w:pPr>
      <w:r w:rsidRPr="00503014">
        <w:rPr>
          <w:rFonts w:eastAsia="Calibri"/>
        </w:rPr>
        <w:t xml:space="preserve">Načelo pravne varnosti, katere del sta tudi pravna doslednost in predvidljivost, zahteva primerljivo urejenost primerljivih položajev. Veljavna ureditev pomeni tveganje za pravno državo, ki bi bilo zlahka odpravljivo z umestitvijo Državnega odvetništva RS v Ustavo RS, kar bi zagotovilo njegovo dolgoročno stabilnost. </w:t>
      </w:r>
    </w:p>
    <w:p w14:paraId="6667BAF2" w14:textId="77777777" w:rsidR="00695AE2" w:rsidRPr="00503014" w:rsidRDefault="00695AE2" w:rsidP="00695AE2">
      <w:pPr>
        <w:spacing w:line="240" w:lineRule="auto"/>
        <w:jc w:val="both"/>
        <w:rPr>
          <w:rFonts w:eastAsia="Calibri"/>
          <w:highlight w:val="yellow"/>
        </w:rPr>
      </w:pPr>
    </w:p>
    <w:p w14:paraId="347BBBE4" w14:textId="77777777" w:rsidR="00695AE2" w:rsidRPr="00503014" w:rsidRDefault="00695AE2" w:rsidP="00695AE2">
      <w:pPr>
        <w:spacing w:line="240" w:lineRule="auto"/>
        <w:jc w:val="both"/>
        <w:rPr>
          <w:rFonts w:eastAsia="Calibri"/>
        </w:rPr>
      </w:pPr>
      <w:r w:rsidRPr="00503014">
        <w:rPr>
          <w:rFonts w:eastAsia="Calibri"/>
        </w:rPr>
        <w:t xml:space="preserve">Navsezadnje je bilo Državno odvetništvo RS na posvetu z naslovom Spreminjanje ustave, ki ga je 22. 2. 2023 organiziral Inštitut za ustavno pravo na Pravni fakulteti Univerze v Ljubljani, in na javnem strokovnem posvetu z naslovom »Kakšnega odvetnika potrebuje država?«, ki ga je 21. 3. 2023 organiziralo Državno odvetništvo RS v sodelovanju z Državnim svetom Republike Slovenije in na katerem so sodelovali predstavniki vseh treh vej oblasti, vseh pravosodnih </w:t>
      </w:r>
      <w:r w:rsidRPr="00503014">
        <w:rPr>
          <w:rFonts w:eastAsia="Calibri"/>
        </w:rPr>
        <w:lastRenderedPageBreak/>
        <w:t>organov ter ugledni predavatelji</w:t>
      </w:r>
      <w:r w:rsidRPr="00503014">
        <w:rPr>
          <w:rFonts w:eastAsia="Calibri"/>
          <w:vertAlign w:val="superscript"/>
        </w:rPr>
        <w:footnoteReference w:id="7"/>
      </w:r>
      <w:r w:rsidRPr="00503014">
        <w:rPr>
          <w:rFonts w:eastAsia="Calibri"/>
        </w:rPr>
        <w:t xml:space="preserve">, deležno izjemno široke podpore politike in stroke v stališču, da bi Državno odvetništvo RS pravzaprav tudi moralo biti ustavna kategorija, kakor so vsi preostali pravosodni deležniki (sodstvo, državno tožilstvo, zasebno odvetništvo in notariat). </w:t>
      </w:r>
    </w:p>
    <w:p w14:paraId="09E3FBD7" w14:textId="77777777" w:rsidR="00695AE2" w:rsidRPr="00503014" w:rsidRDefault="00695AE2" w:rsidP="00695AE2">
      <w:pPr>
        <w:spacing w:line="240" w:lineRule="auto"/>
        <w:jc w:val="both"/>
        <w:rPr>
          <w:rFonts w:eastAsia="Calibri"/>
        </w:rPr>
      </w:pPr>
    </w:p>
    <w:p w14:paraId="0A410AB3" w14:textId="42DD1FA3" w:rsidR="00695AE2" w:rsidRPr="00503014" w:rsidRDefault="00695AE2" w:rsidP="00695AE2">
      <w:pPr>
        <w:spacing w:line="240" w:lineRule="auto"/>
        <w:jc w:val="both"/>
        <w:rPr>
          <w:rFonts w:eastAsia="Calibri"/>
        </w:rPr>
      </w:pPr>
      <w:r w:rsidRPr="00503014">
        <w:rPr>
          <w:rFonts w:eastAsia="Calibri"/>
        </w:rPr>
        <w:t>Na podlagi široke strokovne podpore je Državno odvetništvo RS Ministrstvu za pravosodje predlagalo začetek postopkov za spremembo Ustave RS, ki bi omogočila vključitev Državnega odvetništva RS v ustavno ureditev. Predlog je predvideval tudi vrnitev prejšnjega imena organa, tj. Državno pravobranilstvo Republike Slovenije. Ministrstvo za pravosodje je predlog podprlo in skupaj z Državnim odvetništvom RS pripravi</w:t>
      </w:r>
      <w:r w:rsidR="00666601">
        <w:rPr>
          <w:rFonts w:eastAsia="Calibri"/>
        </w:rPr>
        <w:t>lo</w:t>
      </w:r>
      <w:r w:rsidRPr="00503014">
        <w:rPr>
          <w:rFonts w:eastAsia="Calibri"/>
        </w:rPr>
        <w:t xml:space="preserve"> osnutek ustavnega zakona. </w:t>
      </w:r>
    </w:p>
    <w:p w14:paraId="25D84D11" w14:textId="77777777" w:rsidR="00666601" w:rsidRDefault="00666601" w:rsidP="00666601">
      <w:pPr>
        <w:pStyle w:val="Naslov3"/>
        <w:numPr>
          <w:ilvl w:val="0"/>
          <w:numId w:val="0"/>
        </w:numPr>
      </w:pPr>
      <w:bookmarkStart w:id="24" w:name="_Toc191561724"/>
    </w:p>
    <w:p w14:paraId="491D7AFC" w14:textId="49142B92" w:rsidR="00695AE2" w:rsidRPr="005C04C3" w:rsidRDefault="00695AE2" w:rsidP="00695AE2">
      <w:pPr>
        <w:pStyle w:val="Naslov3"/>
        <w:ind w:left="0" w:firstLine="0"/>
      </w:pPr>
      <w:bookmarkStart w:id="25" w:name="_Toc223093699"/>
      <w:r w:rsidRPr="005C04C3">
        <w:t>Vloga Državnega odvetništva RS pri varovanju človekovih pravic in utrjevanju vladavine prava</w:t>
      </w:r>
      <w:bookmarkStart w:id="26" w:name="_Toc160097117"/>
      <w:bookmarkEnd w:id="24"/>
      <w:bookmarkEnd w:id="25"/>
    </w:p>
    <w:p w14:paraId="0B03FEAD" w14:textId="77777777" w:rsidR="00695AE2" w:rsidRPr="00F760BD" w:rsidRDefault="00695AE2" w:rsidP="00695AE2">
      <w:pPr>
        <w:spacing w:line="240" w:lineRule="auto"/>
        <w:ind w:right="54"/>
        <w:jc w:val="both"/>
        <w:rPr>
          <w:rFonts w:eastAsia="Calibri"/>
          <w:sz w:val="28"/>
          <w:szCs w:val="28"/>
        </w:rPr>
      </w:pPr>
    </w:p>
    <w:p w14:paraId="334DE041" w14:textId="77777777" w:rsidR="00695AE2" w:rsidRPr="00503014" w:rsidRDefault="00695AE2" w:rsidP="00695AE2">
      <w:pPr>
        <w:spacing w:line="240" w:lineRule="auto"/>
        <w:ind w:right="54"/>
        <w:jc w:val="both"/>
        <w:rPr>
          <w:rFonts w:eastAsia="Calibri"/>
        </w:rPr>
      </w:pPr>
      <w:r w:rsidRPr="00503014">
        <w:rPr>
          <w:rFonts w:eastAsia="Calibri"/>
        </w:rPr>
        <w:t>Državnemu odvetništvu RS je z zakonom naloženo izvajanje odgovornih pravosodnih nalog, s katerimi neposredno uresničuje ali varuje druge ustavno varovane kategorije. Krepitev pravne države, ki je sama po sebi ustavna kategorija, je na primer ena temeljnih zakonskih nalog Državnega odvetništva RS.</w:t>
      </w:r>
      <w:bookmarkStart w:id="27" w:name="_Hlk115965503"/>
      <w:r w:rsidRPr="00503014">
        <w:rPr>
          <w:rFonts w:eastAsia="Calibri"/>
        </w:rPr>
        <w:t xml:space="preserve"> Državno odvetništvo RS ima tudi vlogo varuha javnega interesa v dobrobit celotne skupnosti, javna korist pa je ustavna kategorija</w:t>
      </w:r>
      <w:bookmarkEnd w:id="27"/>
      <w:r w:rsidRPr="00503014">
        <w:rPr>
          <w:rFonts w:eastAsia="Calibri"/>
        </w:rPr>
        <w:t xml:space="preserve">. </w:t>
      </w:r>
      <w:bookmarkStart w:id="28" w:name="_Hlk115965528"/>
      <w:r w:rsidRPr="00503014">
        <w:rPr>
          <w:rFonts w:eastAsia="Calibri"/>
        </w:rPr>
        <w:t>Državno odvetništvo RS poleg tega ščiti premoženjske interese države, torej proračun, ki je prav tako ustavna kategorija.</w:t>
      </w:r>
      <w:bookmarkEnd w:id="28"/>
      <w:r w:rsidRPr="00503014">
        <w:rPr>
          <w:rFonts w:eastAsia="Calibri"/>
        </w:rPr>
        <w:t xml:space="preserve"> </w:t>
      </w:r>
    </w:p>
    <w:p w14:paraId="4DA0FA4D" w14:textId="77777777" w:rsidR="00695AE2" w:rsidRPr="00503014" w:rsidRDefault="00695AE2" w:rsidP="00695AE2">
      <w:pPr>
        <w:spacing w:line="240" w:lineRule="auto"/>
        <w:jc w:val="both"/>
        <w:rPr>
          <w:rFonts w:eastAsia="Calibri"/>
        </w:rPr>
      </w:pPr>
    </w:p>
    <w:p w14:paraId="33AF29E6" w14:textId="77777777" w:rsidR="00695AE2" w:rsidRPr="00503014" w:rsidRDefault="00695AE2" w:rsidP="00695AE2">
      <w:pPr>
        <w:spacing w:line="240" w:lineRule="auto"/>
        <w:jc w:val="both"/>
        <w:rPr>
          <w:rFonts w:eastAsia="Calibri"/>
        </w:rPr>
      </w:pPr>
      <w:r w:rsidRPr="00503014">
        <w:rPr>
          <w:rFonts w:eastAsia="Calibri"/>
        </w:rPr>
        <w:t>Država je na Državno odvetništvo RS prenesla svojo izvorno pristojnost zastopanja države na enem od področij, in sicer v sodnih in upravnih postopkih oziroma pred najrazličnejšimi sodišči in z njimi primerljivimi forumi ter pred upravnimi organi, torej prav tam, kjer se (lahko) odpirajo tudi zahtevna ustavnopravna vprašanja in kjer leži (v sodstvu) končna presoja pravnih koristi, pravnih interesov, obveznosti in pravic, navsezadnje tudi človekovih pravic in drugih ustavnih kategorij. Naloga Državnega odvetništva RS kot zastopnika države pred sodišči ni avtomatizirano zagovarjanje dejanj države, pač pa s svojim delovanjem uresničuje načelo pravne države in preprečuje morebitne očitne zlorabe pravic, kar krepi ne le verodostojnost države kot zastopanega subjekta in njen ugled, pač pa tudi in predvsem vladavino prava ter zaupanje v pravosodje. D</w:t>
      </w:r>
      <w:r w:rsidRPr="00503014">
        <w:rPr>
          <w:rFonts w:eastAsia="Calibri"/>
          <w:lang w:eastAsia="sl-SI"/>
        </w:rPr>
        <w:t>ržavni odvetnik ni zgolj goli zagovornik interesov stranke, pač pa je z načelnim delovanjem v smeri krepitve pravne države predvsem in izhodiščno tudi varuh ustavnosti in zakonitosti v zadevah, ki jih obravnava, v razmerju do svoje stranke – države in državnih organov, kadar pri izvajanju svojih pristojnosti zasledi morebitno ravnanje in delovanje, ki ni skladno z ustavo in zakoni. Domet varstva premoženjskih pravic in interesov države, ki ga izvaja Državno odvetništvo RS, torej presega (zgolj) mandatno razmerje, saj je državni odvetnik dolžan ravnati v mejah javnega interesa po najvišjih etičnih standardih in v polju zakonitosti, ob tem pa varovati tudi načelo enakega obravnavanja nasprotnih strank v enakih oziroma primerljivih dejanskih okoliščinah, ob upoštevanju javnofinančnih predpisov, namenjenih varovanju proračunskih sredstev, v katera prispevajo vsi davčni zavezanci in ki so namenjena najširšemu krogu upravičencev skozi različne politike države, ki je ustavno deklarirana pravna in demokratična država.</w:t>
      </w:r>
      <w:r w:rsidRPr="00503014">
        <w:rPr>
          <w:rFonts w:eastAsia="Calibri"/>
        </w:rPr>
        <w:t xml:space="preserve"> </w:t>
      </w:r>
    </w:p>
    <w:p w14:paraId="61E732CC" w14:textId="77777777" w:rsidR="00695AE2" w:rsidRPr="00503014" w:rsidRDefault="00695AE2" w:rsidP="00695AE2">
      <w:pPr>
        <w:spacing w:line="240" w:lineRule="auto"/>
        <w:jc w:val="both"/>
        <w:rPr>
          <w:rFonts w:eastAsia="Calibri"/>
        </w:rPr>
      </w:pPr>
    </w:p>
    <w:p w14:paraId="7D949891" w14:textId="77777777" w:rsidR="00695AE2" w:rsidRPr="00503014" w:rsidRDefault="00695AE2" w:rsidP="00695AE2">
      <w:pPr>
        <w:spacing w:line="240" w:lineRule="auto"/>
        <w:jc w:val="both"/>
        <w:rPr>
          <w:rFonts w:eastAsia="Calibri"/>
          <w:lang w:eastAsia="sl-SI"/>
        </w:rPr>
      </w:pPr>
      <w:r w:rsidRPr="00503014">
        <w:rPr>
          <w:rFonts w:eastAsia="Calibri"/>
        </w:rPr>
        <w:lastRenderedPageBreak/>
        <w:t>Državno odvetništvo RS ima poleg vloge zastopnika države in državnih organov v sodnih in upravnih postopkih še druge pristojnosti, v okviru katerih je nanj preneseno neposredno izvajanje oblastnih pristojnosti na področjih, ki so za ustavno in zakonito delovanje države ključnega pomena. Skozi svojo vlogo pravnega svetovanja in oblikovanja pravnih mnenj Državno odvetništvo RS pove državi oziroma državnim organom, kaj je pravno dopustno in kaj ne, kar je še zlasti ključno, kadar gre za dejanja države, ki lahko imajo vpliv na (spoštovanje) človekovih pravic in temeljnih svoboščin.</w:t>
      </w:r>
      <w:r w:rsidRPr="00503014">
        <w:rPr>
          <w:rFonts w:eastAsia="Calibri"/>
          <w:lang w:eastAsia="sl-SI"/>
        </w:rPr>
        <w:t xml:space="preserve"> </w:t>
      </w:r>
    </w:p>
    <w:p w14:paraId="48ADF86C" w14:textId="77777777" w:rsidR="00695AE2" w:rsidRPr="00503014" w:rsidRDefault="00695AE2" w:rsidP="00695AE2">
      <w:pPr>
        <w:spacing w:line="240" w:lineRule="auto"/>
        <w:ind w:right="54"/>
        <w:jc w:val="both"/>
        <w:rPr>
          <w:rFonts w:eastAsia="Calibri"/>
        </w:rPr>
      </w:pPr>
    </w:p>
    <w:p w14:paraId="552029EA" w14:textId="77777777" w:rsidR="00695AE2" w:rsidRPr="00503014" w:rsidRDefault="00695AE2" w:rsidP="00695AE2">
      <w:pPr>
        <w:spacing w:line="240" w:lineRule="auto"/>
        <w:jc w:val="both"/>
        <w:rPr>
          <w:rFonts w:eastAsia="Calibri"/>
          <w:lang w:eastAsia="sl-SI"/>
        </w:rPr>
      </w:pPr>
      <w:r w:rsidRPr="00503014">
        <w:rPr>
          <w:rFonts w:eastAsia="Calibri"/>
        </w:rPr>
        <w:t xml:space="preserve">Ena od bistvenih nalog Državnega odvetništva RS je tako prav neodvisna pravna obravnava vprašanj, ki se odprejo v okviru izvajanja njegovih zakonsko določenih pristojnosti oziroma nalog. Te naloge Državno odvetništvo RS opravlja samostojno in avtonomno, s čimer krepi in zagotavlja varstvo pravne države ter skrbi za varstvo ustavnih kategorij, med drugim človekovih pravic in javnih koristi, kar mu daje pomemben status pri delovanju širšega pravosodnega sistema ter ga uvršča neposredno ob bok drugih ustavnih kategorij na pravosodnem področju, kot so sodstvo, državno tožilstvo, zasebno odvetništvo in notariat. </w:t>
      </w:r>
    </w:p>
    <w:p w14:paraId="4DF4D850" w14:textId="77777777" w:rsidR="00695AE2" w:rsidRPr="00503014" w:rsidRDefault="00695AE2" w:rsidP="00695AE2">
      <w:pPr>
        <w:spacing w:line="240" w:lineRule="auto"/>
        <w:jc w:val="both"/>
        <w:rPr>
          <w:rFonts w:eastAsia="Calibri"/>
        </w:rPr>
      </w:pPr>
    </w:p>
    <w:p w14:paraId="451B5AE4" w14:textId="77777777" w:rsidR="00695AE2" w:rsidRPr="00503014" w:rsidRDefault="00695AE2" w:rsidP="00695AE2">
      <w:pPr>
        <w:spacing w:line="240" w:lineRule="auto"/>
        <w:jc w:val="both"/>
        <w:rPr>
          <w:rFonts w:eastAsia="Calibri"/>
        </w:rPr>
      </w:pPr>
      <w:r w:rsidRPr="00503014">
        <w:rPr>
          <w:rFonts w:eastAsia="Calibri"/>
        </w:rPr>
        <w:t>Državno odvetništvo RS lahko s svojo z zakonom podeljeno vlogo v pravnem sistemu ponudi ustavnopravne argumente na najširšem področju prava in jih z namenom zagotavljanja najvišjih standardov vladavine prava oziroma varstva ustavnosti ter človekovih pravic in temeljnih svoboščin glede na svoje strokovne podlage v okviru izvajanja svojih pristojnosti v posameznih pravnih postopkih (sodnih in upravnih), v katerih pristojni organi odločajo o pravicah, obveznostih, pravnih koristih ali o odgovornosti za ravnanje, tudi zagovarja. Zaradi svojih pristojnosti oziroma vloge v državnem sistemu ima Državno odvetništvo RS namreč neprimerljivo možnost najti oziroma videti najpomembnejša vprašanja z vidika varstva ustavnosti.</w:t>
      </w:r>
    </w:p>
    <w:p w14:paraId="457AB0E6" w14:textId="77777777" w:rsidR="00695AE2" w:rsidRPr="00503014" w:rsidRDefault="00695AE2" w:rsidP="00695AE2">
      <w:pPr>
        <w:spacing w:line="240" w:lineRule="auto"/>
        <w:jc w:val="both"/>
        <w:rPr>
          <w:rFonts w:eastAsia="Calibri"/>
        </w:rPr>
      </w:pPr>
    </w:p>
    <w:p w14:paraId="0EE139C1" w14:textId="77777777" w:rsidR="00695AE2" w:rsidRPr="00503014" w:rsidRDefault="00695AE2" w:rsidP="00695AE2">
      <w:pPr>
        <w:spacing w:line="240" w:lineRule="auto"/>
        <w:jc w:val="both"/>
        <w:rPr>
          <w:rFonts w:eastAsia="Calibri"/>
        </w:rPr>
      </w:pPr>
      <w:r w:rsidRPr="00503014">
        <w:rPr>
          <w:rFonts w:eastAsia="Calibri"/>
          <w:lang w:eastAsia="sl-SI"/>
        </w:rPr>
        <w:t>Državno odvetništvo RS tako deluje v širšem družbenem interesu, ki presega zgolj interese države kot stranke postopka. Navsezadnje je tudi varuh javnega interesa v upravnem sporu in v drugih primerih, ki jih določa zakon (11. člen ZDOdv). Javni interes namreč ni (vedno) (le) državni interes.</w:t>
      </w:r>
      <w:r w:rsidRPr="00503014">
        <w:rPr>
          <w:rFonts w:eastAsia="Calibri"/>
        </w:rPr>
        <w:t xml:space="preserve"> </w:t>
      </w:r>
      <w:r w:rsidRPr="00503014">
        <w:rPr>
          <w:rFonts w:eastAsia="Calibri"/>
          <w:lang w:eastAsia="sl-SI"/>
        </w:rPr>
        <w:t>Javni interes je dobrobit širše javnosti, širše skupnosti. Državno odvetništvo RS kot pravobranilski organ zastopa veliko več kot le stranko; varuje in krepi pravno državo ter udejanja in varuje druge ustavne vrednote, med katerimi imajo človekove pravice in svoboščine najvišji položaj v demokratični državi. Tem vrednotam je Državno odvetništvo RS zavezano ne glede na zastopanje državnih subjektov.</w:t>
      </w:r>
    </w:p>
    <w:p w14:paraId="71715E8D" w14:textId="77777777" w:rsidR="00695AE2" w:rsidRPr="00503014" w:rsidRDefault="00695AE2" w:rsidP="00695AE2">
      <w:pPr>
        <w:spacing w:line="240" w:lineRule="auto"/>
        <w:jc w:val="both"/>
        <w:rPr>
          <w:rFonts w:eastAsia="Calibri"/>
        </w:rPr>
      </w:pPr>
    </w:p>
    <w:p w14:paraId="25454554" w14:textId="77777777" w:rsidR="00695AE2" w:rsidRPr="00503014" w:rsidRDefault="00695AE2" w:rsidP="00695AE2">
      <w:pPr>
        <w:spacing w:line="240" w:lineRule="auto"/>
        <w:ind w:right="54"/>
        <w:jc w:val="both"/>
        <w:rPr>
          <w:rFonts w:eastAsia="Calibri"/>
        </w:rPr>
      </w:pPr>
      <w:r w:rsidRPr="00503014">
        <w:rPr>
          <w:rFonts w:eastAsia="Calibri"/>
        </w:rPr>
        <w:t>Nobenega dvoma ni, da mora Državno odvetništvo RS skrbeti za uresničevanje svojega poslanstva, ciljev in načel delovanja na način, ki mora ob uresničevanju premoženjskih in drugih interesov države primarno spoštovati in krepiti temeljne postulate pravne države. Državno odvetništvo RS je zavezano izpolnjevanju najvišjih strokovnih meril na področju krepitve vladavine prava, kar ne nazadnje izhaja tudi iz zaprisege, ki jo ob nastopu dela izrečejo državni odvetniki in višji državni odvetniki ter se glasi: »</w:t>
      </w:r>
      <w:r w:rsidRPr="00503014">
        <w:rPr>
          <w:rFonts w:eastAsia="Calibri"/>
          <w:i/>
          <w:iCs/>
        </w:rPr>
        <w:t>Prisegam, da bom svoje delo opravljal/-a vestno, pošteno in odgovorno, v skladu z ustavo in zakoni ter pri tem varoval/-a premoženjske in ustavne interese Republike Slovenije, javni interes ter ugled države in državnega odvetništva</w:t>
      </w:r>
      <w:r w:rsidRPr="00503014">
        <w:rPr>
          <w:rFonts w:eastAsia="Calibri"/>
        </w:rPr>
        <w:t xml:space="preserve">.« Tudi skozi prisego tako Državno odvetništvo RS kot tudi posamezen državni odvetnik, ki opravlja naloge Državnega odvetništva RS, kaže svojo zavezanost ohranjanju in utrjevanju pravne države oziroma varovanju človekovih pravic in vladavine prava. Zaradi tega je nujno, da se Državnemu odvetništvu RS tudi sistemsko zagotovi položaj, </w:t>
      </w:r>
      <w:r w:rsidRPr="00503014">
        <w:rPr>
          <w:rFonts w:eastAsia="Calibri"/>
        </w:rPr>
        <w:lastRenderedPageBreak/>
        <w:t xml:space="preserve">v katerem bo svoje poslanstvo na strokovni ravni, ki se od njega upravičeno zahteva, lahko tudi učinkovito izvajalo. </w:t>
      </w:r>
    </w:p>
    <w:bookmarkEnd w:id="26"/>
    <w:p w14:paraId="6D8175F7" w14:textId="77777777" w:rsidR="00695AE2" w:rsidRPr="00503014" w:rsidRDefault="00695AE2" w:rsidP="00695AE2">
      <w:pPr>
        <w:spacing w:line="240" w:lineRule="auto"/>
        <w:rPr>
          <w:rFonts w:eastAsia="Calibri"/>
          <w:sz w:val="36"/>
          <w:szCs w:val="36"/>
        </w:rPr>
      </w:pPr>
    </w:p>
    <w:p w14:paraId="1A976564" w14:textId="77777777" w:rsidR="00695AE2" w:rsidRPr="00503014" w:rsidRDefault="00695AE2" w:rsidP="00695AE2">
      <w:pPr>
        <w:pStyle w:val="Naslov1"/>
        <w:rPr>
          <w:rFonts w:eastAsia="Times New Roman"/>
        </w:rPr>
      </w:pPr>
      <w:bookmarkStart w:id="29" w:name="_Toc160097120"/>
      <w:bookmarkStart w:id="30" w:name="_Toc191561725"/>
      <w:bookmarkStart w:id="31" w:name="_Toc223093700"/>
      <w:r w:rsidRPr="00503014">
        <w:rPr>
          <w:rFonts w:eastAsia="Times New Roman"/>
        </w:rPr>
        <w:t>KADROVSKO STANJE DRŽAVNEGA ODVETNIŠTVA RS</w:t>
      </w:r>
      <w:bookmarkEnd w:id="29"/>
      <w:bookmarkEnd w:id="30"/>
      <w:bookmarkEnd w:id="31"/>
    </w:p>
    <w:p w14:paraId="3D196D18" w14:textId="77777777" w:rsidR="00695AE2" w:rsidRPr="00503014" w:rsidRDefault="00695AE2" w:rsidP="00695AE2">
      <w:pPr>
        <w:autoSpaceDE w:val="0"/>
        <w:autoSpaceDN w:val="0"/>
        <w:adjustRightInd w:val="0"/>
        <w:spacing w:line="240" w:lineRule="auto"/>
        <w:jc w:val="both"/>
        <w:rPr>
          <w:rFonts w:asciiTheme="minorHAnsi" w:hAnsiTheme="minorHAnsi" w:cstheme="minorHAnsi"/>
          <w:b/>
          <w:color w:val="007466"/>
          <w:sz w:val="36"/>
          <w:szCs w:val="36"/>
        </w:rPr>
      </w:pPr>
      <w:bookmarkStart w:id="32" w:name="_Toc160097121"/>
      <w:bookmarkStart w:id="33" w:name="_Toc191561726"/>
    </w:p>
    <w:p w14:paraId="137AFB4D" w14:textId="77777777" w:rsidR="00695AE2" w:rsidRPr="00503014" w:rsidRDefault="00695AE2" w:rsidP="00695AE2">
      <w:pPr>
        <w:autoSpaceDE w:val="0"/>
        <w:autoSpaceDN w:val="0"/>
        <w:adjustRightInd w:val="0"/>
        <w:spacing w:line="240" w:lineRule="auto"/>
        <w:jc w:val="both"/>
        <w:rPr>
          <w:rFonts w:asciiTheme="minorHAnsi" w:hAnsiTheme="minorHAnsi" w:cstheme="minorHAnsi"/>
          <w:b/>
          <w:color w:val="007466"/>
          <w:sz w:val="20"/>
          <w:szCs w:val="20"/>
        </w:rPr>
      </w:pPr>
      <w:bookmarkStart w:id="34" w:name="_Hlk188880302"/>
      <w:r w:rsidRPr="00503014">
        <w:rPr>
          <w:rFonts w:asciiTheme="minorHAnsi" w:hAnsiTheme="minorHAnsi" w:cstheme="minorHAnsi"/>
          <w:b/>
          <w:color w:val="007466"/>
          <w:sz w:val="20"/>
          <w:szCs w:val="20"/>
        </w:rPr>
        <w:t>Tabela 1: Prikaz načrtovanih in zasedenih delovnih mest ter povprečne prisotnosti višjih državnih odvetnikov, državnih odvetnikov in kandidatov za državne odvetnike na dan 31. 12. preteklega leta</w:t>
      </w:r>
    </w:p>
    <w:p w14:paraId="70077AAF" w14:textId="77777777" w:rsidR="00695AE2" w:rsidRPr="00503014" w:rsidRDefault="00695AE2" w:rsidP="00695AE2">
      <w:pPr>
        <w:spacing w:line="240" w:lineRule="auto"/>
        <w:jc w:val="both"/>
        <w:rPr>
          <w:rFonts w:cstheme="minorHAnsi"/>
          <w:b/>
          <w:color w:val="007466"/>
          <w:sz w:val="20"/>
          <w:szCs w:val="20"/>
        </w:rPr>
      </w:pPr>
    </w:p>
    <w:tbl>
      <w:tblPr>
        <w:tblStyle w:val="Tabelamrea"/>
        <w:tblW w:w="9493" w:type="dxa"/>
        <w:tblInd w:w="-5" w:type="dxa"/>
        <w:tblLook w:val="04A0" w:firstRow="1" w:lastRow="0" w:firstColumn="1" w:lastColumn="0" w:noHBand="0" w:noVBand="1"/>
      </w:tblPr>
      <w:tblGrid>
        <w:gridCol w:w="1311"/>
        <w:gridCol w:w="805"/>
        <w:gridCol w:w="873"/>
        <w:gridCol w:w="1051"/>
        <w:gridCol w:w="806"/>
        <w:gridCol w:w="869"/>
        <w:gridCol w:w="1051"/>
        <w:gridCol w:w="806"/>
        <w:gridCol w:w="870"/>
        <w:gridCol w:w="1051"/>
      </w:tblGrid>
      <w:tr w:rsidR="00695AE2" w:rsidRPr="00503014" w14:paraId="2CEF77B2" w14:textId="77777777" w:rsidTr="00980493">
        <w:tc>
          <w:tcPr>
            <w:tcW w:w="1394" w:type="dxa"/>
          </w:tcPr>
          <w:p w14:paraId="69FA70E0" w14:textId="77777777" w:rsidR="00695AE2" w:rsidRPr="00503014" w:rsidRDefault="00695AE2" w:rsidP="00980493">
            <w:pPr>
              <w:jc w:val="center"/>
              <w:rPr>
                <w:rFonts w:cstheme="minorHAnsi"/>
                <w:sz w:val="18"/>
                <w:szCs w:val="18"/>
              </w:rPr>
            </w:pPr>
            <w:r w:rsidRPr="00503014">
              <w:rPr>
                <w:rFonts w:cstheme="minorHAnsi"/>
                <w:sz w:val="18"/>
                <w:szCs w:val="18"/>
              </w:rPr>
              <w:t>Državno odvetništvo</w:t>
            </w:r>
          </w:p>
        </w:tc>
        <w:tc>
          <w:tcPr>
            <w:tcW w:w="2702" w:type="dxa"/>
            <w:gridSpan w:val="3"/>
          </w:tcPr>
          <w:p w14:paraId="47C93165" w14:textId="77777777" w:rsidR="00695AE2" w:rsidRPr="00503014" w:rsidRDefault="00695AE2" w:rsidP="00980493">
            <w:pPr>
              <w:jc w:val="center"/>
              <w:rPr>
                <w:rFonts w:cstheme="minorHAnsi"/>
                <w:sz w:val="18"/>
                <w:szCs w:val="18"/>
              </w:rPr>
            </w:pPr>
            <w:r w:rsidRPr="00503014">
              <w:rPr>
                <w:rFonts w:cstheme="minorHAnsi"/>
                <w:sz w:val="18"/>
                <w:szCs w:val="18"/>
              </w:rPr>
              <w:t>višji državni odvetniki</w:t>
            </w:r>
          </w:p>
        </w:tc>
        <w:tc>
          <w:tcPr>
            <w:tcW w:w="2698" w:type="dxa"/>
            <w:gridSpan w:val="3"/>
          </w:tcPr>
          <w:p w14:paraId="0C78B860" w14:textId="77777777" w:rsidR="00695AE2" w:rsidRPr="00503014" w:rsidRDefault="00695AE2" w:rsidP="00980493">
            <w:pPr>
              <w:jc w:val="center"/>
              <w:rPr>
                <w:rFonts w:cstheme="minorHAnsi"/>
                <w:sz w:val="18"/>
                <w:szCs w:val="18"/>
              </w:rPr>
            </w:pPr>
            <w:r w:rsidRPr="00503014">
              <w:rPr>
                <w:rFonts w:cstheme="minorHAnsi"/>
                <w:sz w:val="18"/>
                <w:szCs w:val="18"/>
              </w:rPr>
              <w:t>državni odvetniki</w:t>
            </w:r>
          </w:p>
        </w:tc>
        <w:tc>
          <w:tcPr>
            <w:tcW w:w="2699" w:type="dxa"/>
            <w:gridSpan w:val="3"/>
          </w:tcPr>
          <w:p w14:paraId="0E45F5B2" w14:textId="77777777" w:rsidR="00695AE2" w:rsidRPr="00503014" w:rsidRDefault="00695AE2" w:rsidP="00980493">
            <w:pPr>
              <w:jc w:val="center"/>
              <w:rPr>
                <w:rFonts w:cstheme="minorHAnsi"/>
                <w:sz w:val="18"/>
                <w:szCs w:val="18"/>
              </w:rPr>
            </w:pPr>
            <w:r w:rsidRPr="00503014">
              <w:rPr>
                <w:rFonts w:cstheme="minorHAnsi"/>
                <w:sz w:val="18"/>
                <w:szCs w:val="18"/>
              </w:rPr>
              <w:t>kandidati za državne odvetnike</w:t>
            </w:r>
          </w:p>
        </w:tc>
      </w:tr>
      <w:tr w:rsidR="00695AE2" w:rsidRPr="00503014" w14:paraId="069DA91B" w14:textId="77777777" w:rsidTr="00980493">
        <w:tc>
          <w:tcPr>
            <w:tcW w:w="1394" w:type="dxa"/>
          </w:tcPr>
          <w:p w14:paraId="79CFACD2" w14:textId="77777777" w:rsidR="00695AE2" w:rsidRPr="00503014" w:rsidRDefault="00695AE2" w:rsidP="00980493">
            <w:pPr>
              <w:jc w:val="center"/>
              <w:rPr>
                <w:rFonts w:cstheme="minorHAnsi"/>
                <w:sz w:val="18"/>
                <w:szCs w:val="18"/>
              </w:rPr>
            </w:pPr>
          </w:p>
        </w:tc>
        <w:tc>
          <w:tcPr>
            <w:tcW w:w="879" w:type="dxa"/>
          </w:tcPr>
          <w:p w14:paraId="2F25E73B" w14:textId="77777777" w:rsidR="00695AE2" w:rsidRPr="00503014" w:rsidRDefault="00695AE2" w:rsidP="00980493">
            <w:pPr>
              <w:jc w:val="center"/>
              <w:rPr>
                <w:rFonts w:cstheme="minorHAnsi"/>
                <w:sz w:val="18"/>
                <w:szCs w:val="18"/>
              </w:rPr>
            </w:pPr>
            <w:r w:rsidRPr="00503014">
              <w:rPr>
                <w:rFonts w:cstheme="minorHAnsi"/>
                <w:sz w:val="18"/>
                <w:szCs w:val="18"/>
              </w:rPr>
              <w:t>načrt</w:t>
            </w:r>
          </w:p>
        </w:tc>
        <w:tc>
          <w:tcPr>
            <w:tcW w:w="895" w:type="dxa"/>
          </w:tcPr>
          <w:p w14:paraId="5C248E7C" w14:textId="77777777" w:rsidR="00695AE2" w:rsidRPr="00503014" w:rsidRDefault="00695AE2" w:rsidP="00980493">
            <w:pPr>
              <w:jc w:val="center"/>
              <w:rPr>
                <w:rFonts w:cstheme="minorHAnsi"/>
                <w:sz w:val="18"/>
                <w:szCs w:val="18"/>
              </w:rPr>
            </w:pPr>
            <w:r w:rsidRPr="00503014">
              <w:rPr>
                <w:rFonts w:cstheme="minorHAnsi"/>
                <w:sz w:val="18"/>
                <w:szCs w:val="18"/>
              </w:rPr>
              <w:t>zasedba</w:t>
            </w:r>
          </w:p>
        </w:tc>
        <w:tc>
          <w:tcPr>
            <w:tcW w:w="928" w:type="dxa"/>
          </w:tcPr>
          <w:p w14:paraId="017B12E7" w14:textId="77777777" w:rsidR="00695AE2" w:rsidRPr="00503014" w:rsidRDefault="00695AE2" w:rsidP="00980493">
            <w:pPr>
              <w:jc w:val="center"/>
              <w:rPr>
                <w:rFonts w:cstheme="minorHAnsi"/>
                <w:sz w:val="18"/>
                <w:szCs w:val="18"/>
              </w:rPr>
            </w:pPr>
            <w:r w:rsidRPr="00503014">
              <w:rPr>
                <w:rFonts w:cstheme="minorHAnsi"/>
                <w:sz w:val="18"/>
                <w:szCs w:val="18"/>
              </w:rPr>
              <w:t>povprečna prisotnost*</w:t>
            </w:r>
          </w:p>
        </w:tc>
        <w:tc>
          <w:tcPr>
            <w:tcW w:w="880" w:type="dxa"/>
          </w:tcPr>
          <w:p w14:paraId="6990D1F3" w14:textId="77777777" w:rsidR="00695AE2" w:rsidRPr="00503014" w:rsidRDefault="00695AE2" w:rsidP="00980493">
            <w:pPr>
              <w:jc w:val="center"/>
              <w:rPr>
                <w:rFonts w:cstheme="minorHAnsi"/>
                <w:sz w:val="18"/>
                <w:szCs w:val="18"/>
              </w:rPr>
            </w:pPr>
            <w:r w:rsidRPr="00503014">
              <w:rPr>
                <w:rFonts w:cstheme="minorHAnsi"/>
                <w:sz w:val="18"/>
                <w:szCs w:val="18"/>
              </w:rPr>
              <w:t>načrt</w:t>
            </w:r>
          </w:p>
        </w:tc>
        <w:tc>
          <w:tcPr>
            <w:tcW w:w="890" w:type="dxa"/>
          </w:tcPr>
          <w:p w14:paraId="73D353A8" w14:textId="77777777" w:rsidR="00695AE2" w:rsidRPr="00503014" w:rsidRDefault="00695AE2" w:rsidP="00980493">
            <w:pPr>
              <w:jc w:val="center"/>
              <w:rPr>
                <w:rFonts w:cstheme="minorHAnsi"/>
                <w:sz w:val="18"/>
                <w:szCs w:val="18"/>
              </w:rPr>
            </w:pPr>
            <w:r w:rsidRPr="00503014">
              <w:rPr>
                <w:rFonts w:cstheme="minorHAnsi"/>
                <w:sz w:val="18"/>
                <w:szCs w:val="18"/>
              </w:rPr>
              <w:t>zasedba</w:t>
            </w:r>
          </w:p>
        </w:tc>
        <w:tc>
          <w:tcPr>
            <w:tcW w:w="928" w:type="dxa"/>
          </w:tcPr>
          <w:p w14:paraId="0D3D4D6B" w14:textId="77777777" w:rsidR="00695AE2" w:rsidRPr="00503014" w:rsidRDefault="00695AE2" w:rsidP="00980493">
            <w:pPr>
              <w:jc w:val="center"/>
              <w:rPr>
                <w:rFonts w:cstheme="minorHAnsi"/>
                <w:sz w:val="18"/>
                <w:szCs w:val="18"/>
              </w:rPr>
            </w:pPr>
            <w:r w:rsidRPr="00503014">
              <w:rPr>
                <w:rFonts w:cstheme="minorHAnsi"/>
                <w:sz w:val="18"/>
                <w:szCs w:val="18"/>
              </w:rPr>
              <w:t>povprečna prisotnost*</w:t>
            </w:r>
          </w:p>
        </w:tc>
        <w:tc>
          <w:tcPr>
            <w:tcW w:w="880" w:type="dxa"/>
          </w:tcPr>
          <w:p w14:paraId="03CFBF3E" w14:textId="77777777" w:rsidR="00695AE2" w:rsidRPr="00503014" w:rsidRDefault="00695AE2" w:rsidP="00980493">
            <w:pPr>
              <w:jc w:val="center"/>
              <w:rPr>
                <w:rFonts w:cstheme="minorHAnsi"/>
                <w:sz w:val="18"/>
                <w:szCs w:val="18"/>
              </w:rPr>
            </w:pPr>
            <w:r w:rsidRPr="00503014">
              <w:rPr>
                <w:rFonts w:cstheme="minorHAnsi"/>
                <w:sz w:val="18"/>
                <w:szCs w:val="18"/>
              </w:rPr>
              <w:t>načrt</w:t>
            </w:r>
          </w:p>
        </w:tc>
        <w:tc>
          <w:tcPr>
            <w:tcW w:w="891" w:type="dxa"/>
          </w:tcPr>
          <w:p w14:paraId="53E857EF" w14:textId="77777777" w:rsidR="00695AE2" w:rsidRPr="00503014" w:rsidRDefault="00695AE2" w:rsidP="00980493">
            <w:pPr>
              <w:jc w:val="center"/>
              <w:rPr>
                <w:rFonts w:cstheme="minorHAnsi"/>
                <w:sz w:val="18"/>
                <w:szCs w:val="18"/>
              </w:rPr>
            </w:pPr>
            <w:r w:rsidRPr="00503014">
              <w:rPr>
                <w:rFonts w:cstheme="minorHAnsi"/>
                <w:sz w:val="18"/>
                <w:szCs w:val="18"/>
              </w:rPr>
              <w:t>zasedba</w:t>
            </w:r>
          </w:p>
        </w:tc>
        <w:tc>
          <w:tcPr>
            <w:tcW w:w="928" w:type="dxa"/>
          </w:tcPr>
          <w:p w14:paraId="13823E53" w14:textId="77777777" w:rsidR="00695AE2" w:rsidRPr="00503014" w:rsidRDefault="00695AE2" w:rsidP="00980493">
            <w:pPr>
              <w:jc w:val="center"/>
              <w:rPr>
                <w:rFonts w:cstheme="minorHAnsi"/>
                <w:sz w:val="18"/>
                <w:szCs w:val="18"/>
              </w:rPr>
            </w:pPr>
            <w:r w:rsidRPr="00503014">
              <w:rPr>
                <w:rFonts w:cstheme="minorHAnsi"/>
                <w:sz w:val="18"/>
                <w:szCs w:val="18"/>
              </w:rPr>
              <w:t>povprečna prisotnost*</w:t>
            </w:r>
          </w:p>
        </w:tc>
      </w:tr>
      <w:tr w:rsidR="00695AE2" w:rsidRPr="00503014" w14:paraId="6BB80014" w14:textId="77777777" w:rsidTr="00980493">
        <w:trPr>
          <w:trHeight w:val="376"/>
        </w:trPr>
        <w:tc>
          <w:tcPr>
            <w:tcW w:w="1394" w:type="dxa"/>
          </w:tcPr>
          <w:p w14:paraId="696D3810" w14:textId="77777777" w:rsidR="00695AE2" w:rsidRPr="00503014" w:rsidRDefault="00695AE2" w:rsidP="00980493">
            <w:pPr>
              <w:jc w:val="center"/>
              <w:rPr>
                <w:rFonts w:cstheme="minorHAnsi"/>
                <w:sz w:val="18"/>
                <w:szCs w:val="18"/>
              </w:rPr>
            </w:pPr>
            <w:r w:rsidRPr="00503014">
              <w:rPr>
                <w:rFonts w:cstheme="minorHAnsi"/>
                <w:sz w:val="18"/>
                <w:szCs w:val="18"/>
              </w:rPr>
              <w:t>sedež v Ljubljani</w:t>
            </w:r>
          </w:p>
        </w:tc>
        <w:tc>
          <w:tcPr>
            <w:tcW w:w="879" w:type="dxa"/>
            <w:vAlign w:val="center"/>
          </w:tcPr>
          <w:p w14:paraId="1E0CB40D" w14:textId="77777777" w:rsidR="00695AE2" w:rsidRPr="00503014" w:rsidRDefault="00695AE2" w:rsidP="00980493">
            <w:pPr>
              <w:jc w:val="center"/>
              <w:rPr>
                <w:rFonts w:cstheme="minorHAnsi"/>
                <w:sz w:val="18"/>
                <w:szCs w:val="18"/>
              </w:rPr>
            </w:pPr>
            <w:r w:rsidRPr="00503014">
              <w:rPr>
                <w:rFonts w:cstheme="minorHAnsi"/>
                <w:sz w:val="18"/>
                <w:szCs w:val="18"/>
              </w:rPr>
              <w:t>40</w:t>
            </w:r>
          </w:p>
        </w:tc>
        <w:tc>
          <w:tcPr>
            <w:tcW w:w="895" w:type="dxa"/>
            <w:vAlign w:val="center"/>
          </w:tcPr>
          <w:p w14:paraId="68642253" w14:textId="77777777" w:rsidR="00695AE2" w:rsidRPr="00503014" w:rsidRDefault="00695AE2" w:rsidP="00980493">
            <w:pPr>
              <w:jc w:val="center"/>
              <w:rPr>
                <w:rFonts w:cstheme="minorHAnsi"/>
                <w:sz w:val="18"/>
                <w:szCs w:val="18"/>
              </w:rPr>
            </w:pPr>
            <w:r w:rsidRPr="00503014">
              <w:rPr>
                <w:rFonts w:cstheme="minorHAnsi"/>
                <w:sz w:val="18"/>
                <w:szCs w:val="18"/>
              </w:rPr>
              <w:t>39</w:t>
            </w:r>
          </w:p>
        </w:tc>
        <w:tc>
          <w:tcPr>
            <w:tcW w:w="928" w:type="dxa"/>
            <w:vAlign w:val="center"/>
          </w:tcPr>
          <w:p w14:paraId="6485AE8E" w14:textId="77777777" w:rsidR="00695AE2" w:rsidRPr="00503014" w:rsidRDefault="00695AE2" w:rsidP="00980493">
            <w:pPr>
              <w:jc w:val="center"/>
              <w:rPr>
                <w:rFonts w:cstheme="minorHAnsi"/>
                <w:sz w:val="18"/>
                <w:szCs w:val="18"/>
              </w:rPr>
            </w:pPr>
            <w:r w:rsidRPr="00503014">
              <w:rPr>
                <w:rFonts w:cstheme="minorHAnsi"/>
                <w:sz w:val="18"/>
                <w:szCs w:val="18"/>
              </w:rPr>
              <w:t>194,05</w:t>
            </w:r>
          </w:p>
        </w:tc>
        <w:tc>
          <w:tcPr>
            <w:tcW w:w="880" w:type="dxa"/>
            <w:vAlign w:val="center"/>
          </w:tcPr>
          <w:p w14:paraId="778666B5" w14:textId="77777777" w:rsidR="00695AE2" w:rsidRPr="00503014" w:rsidRDefault="00695AE2" w:rsidP="00980493">
            <w:pPr>
              <w:jc w:val="center"/>
              <w:rPr>
                <w:rFonts w:cstheme="minorHAnsi"/>
                <w:sz w:val="18"/>
                <w:szCs w:val="18"/>
              </w:rPr>
            </w:pPr>
            <w:r w:rsidRPr="00503014">
              <w:rPr>
                <w:rFonts w:cstheme="minorHAnsi"/>
                <w:sz w:val="18"/>
                <w:szCs w:val="18"/>
              </w:rPr>
              <w:t>19</w:t>
            </w:r>
          </w:p>
        </w:tc>
        <w:tc>
          <w:tcPr>
            <w:tcW w:w="890" w:type="dxa"/>
            <w:vAlign w:val="center"/>
          </w:tcPr>
          <w:p w14:paraId="7A1F27E2" w14:textId="77777777" w:rsidR="00695AE2" w:rsidRPr="00503014" w:rsidRDefault="00695AE2" w:rsidP="00980493">
            <w:pPr>
              <w:jc w:val="center"/>
              <w:rPr>
                <w:rFonts w:cstheme="minorHAnsi"/>
                <w:sz w:val="18"/>
                <w:szCs w:val="18"/>
              </w:rPr>
            </w:pPr>
            <w:r w:rsidRPr="00503014">
              <w:rPr>
                <w:rFonts w:cstheme="minorHAnsi"/>
                <w:sz w:val="18"/>
                <w:szCs w:val="18"/>
              </w:rPr>
              <w:t>17</w:t>
            </w:r>
          </w:p>
        </w:tc>
        <w:tc>
          <w:tcPr>
            <w:tcW w:w="928" w:type="dxa"/>
            <w:vAlign w:val="center"/>
          </w:tcPr>
          <w:p w14:paraId="184A0C4E" w14:textId="77777777" w:rsidR="00695AE2" w:rsidRPr="00503014" w:rsidRDefault="00695AE2" w:rsidP="00980493">
            <w:pPr>
              <w:jc w:val="center"/>
              <w:rPr>
                <w:rFonts w:cstheme="minorHAnsi"/>
                <w:sz w:val="18"/>
                <w:szCs w:val="18"/>
              </w:rPr>
            </w:pPr>
            <w:r w:rsidRPr="00503014">
              <w:rPr>
                <w:rFonts w:cstheme="minorHAnsi"/>
                <w:sz w:val="18"/>
                <w:szCs w:val="18"/>
              </w:rPr>
              <w:t>190,80</w:t>
            </w:r>
          </w:p>
        </w:tc>
        <w:tc>
          <w:tcPr>
            <w:tcW w:w="880" w:type="dxa"/>
            <w:vAlign w:val="center"/>
          </w:tcPr>
          <w:p w14:paraId="6BC6C1E8" w14:textId="77777777" w:rsidR="00695AE2" w:rsidRPr="00503014" w:rsidRDefault="00695AE2" w:rsidP="00980493">
            <w:pPr>
              <w:jc w:val="center"/>
              <w:rPr>
                <w:rFonts w:cstheme="minorHAnsi"/>
                <w:sz w:val="18"/>
                <w:szCs w:val="18"/>
              </w:rPr>
            </w:pPr>
            <w:r w:rsidRPr="00503014">
              <w:rPr>
                <w:rFonts w:cstheme="minorHAnsi"/>
                <w:sz w:val="18"/>
                <w:szCs w:val="18"/>
              </w:rPr>
              <w:t>15</w:t>
            </w:r>
          </w:p>
        </w:tc>
        <w:tc>
          <w:tcPr>
            <w:tcW w:w="891" w:type="dxa"/>
            <w:vAlign w:val="center"/>
          </w:tcPr>
          <w:p w14:paraId="4309DC9D" w14:textId="77777777" w:rsidR="00695AE2" w:rsidRPr="00503014" w:rsidRDefault="00695AE2" w:rsidP="00980493">
            <w:pPr>
              <w:jc w:val="center"/>
              <w:rPr>
                <w:rFonts w:cstheme="minorHAnsi"/>
                <w:sz w:val="18"/>
                <w:szCs w:val="18"/>
              </w:rPr>
            </w:pPr>
            <w:r w:rsidRPr="00503014">
              <w:rPr>
                <w:rFonts w:cstheme="minorHAnsi"/>
                <w:sz w:val="18"/>
                <w:szCs w:val="18"/>
              </w:rPr>
              <w:t>8</w:t>
            </w:r>
          </w:p>
        </w:tc>
        <w:tc>
          <w:tcPr>
            <w:tcW w:w="928" w:type="dxa"/>
            <w:vAlign w:val="center"/>
          </w:tcPr>
          <w:p w14:paraId="6C614C46" w14:textId="77777777" w:rsidR="00695AE2" w:rsidRPr="00503014" w:rsidRDefault="00695AE2" w:rsidP="00980493">
            <w:pPr>
              <w:jc w:val="center"/>
              <w:rPr>
                <w:rFonts w:cstheme="minorHAnsi"/>
                <w:sz w:val="18"/>
                <w:szCs w:val="18"/>
              </w:rPr>
            </w:pPr>
            <w:r w:rsidRPr="00503014">
              <w:rPr>
                <w:rFonts w:cstheme="minorHAnsi"/>
                <w:sz w:val="18"/>
                <w:szCs w:val="18"/>
              </w:rPr>
              <w:t>135,45</w:t>
            </w:r>
          </w:p>
        </w:tc>
      </w:tr>
      <w:tr w:rsidR="00695AE2" w:rsidRPr="00503014" w14:paraId="2143357F" w14:textId="77777777" w:rsidTr="00980493">
        <w:tc>
          <w:tcPr>
            <w:tcW w:w="1394" w:type="dxa"/>
          </w:tcPr>
          <w:p w14:paraId="0CE7F9C7" w14:textId="77777777" w:rsidR="00695AE2" w:rsidRPr="00503014" w:rsidRDefault="00695AE2" w:rsidP="00980493">
            <w:pPr>
              <w:jc w:val="center"/>
              <w:rPr>
                <w:rFonts w:cstheme="minorHAnsi"/>
                <w:sz w:val="18"/>
                <w:szCs w:val="18"/>
              </w:rPr>
            </w:pPr>
            <w:r w:rsidRPr="00503014">
              <w:rPr>
                <w:rFonts w:cstheme="minorHAnsi"/>
                <w:sz w:val="18"/>
                <w:szCs w:val="18"/>
              </w:rPr>
              <w:t>Zunanji oddelek v Mariboru</w:t>
            </w:r>
          </w:p>
        </w:tc>
        <w:tc>
          <w:tcPr>
            <w:tcW w:w="879" w:type="dxa"/>
            <w:vAlign w:val="center"/>
          </w:tcPr>
          <w:p w14:paraId="3A65FA2C"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895" w:type="dxa"/>
            <w:vAlign w:val="center"/>
          </w:tcPr>
          <w:p w14:paraId="753B2A45"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928" w:type="dxa"/>
            <w:vAlign w:val="center"/>
          </w:tcPr>
          <w:p w14:paraId="79D1936C" w14:textId="77777777" w:rsidR="00695AE2" w:rsidRPr="00503014" w:rsidRDefault="00695AE2" w:rsidP="00980493">
            <w:pPr>
              <w:jc w:val="center"/>
              <w:rPr>
                <w:rFonts w:cstheme="minorHAnsi"/>
                <w:sz w:val="18"/>
                <w:szCs w:val="18"/>
              </w:rPr>
            </w:pPr>
            <w:r w:rsidRPr="00503014">
              <w:rPr>
                <w:rFonts w:cstheme="minorHAnsi"/>
                <w:sz w:val="18"/>
                <w:szCs w:val="18"/>
              </w:rPr>
              <w:t>215,25</w:t>
            </w:r>
          </w:p>
        </w:tc>
        <w:tc>
          <w:tcPr>
            <w:tcW w:w="880" w:type="dxa"/>
            <w:vAlign w:val="center"/>
          </w:tcPr>
          <w:p w14:paraId="781187E6"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890" w:type="dxa"/>
            <w:vAlign w:val="center"/>
          </w:tcPr>
          <w:p w14:paraId="53977186"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928" w:type="dxa"/>
            <w:vAlign w:val="center"/>
          </w:tcPr>
          <w:p w14:paraId="73EAFBF7" w14:textId="77777777" w:rsidR="00695AE2" w:rsidRPr="00503014" w:rsidRDefault="00695AE2" w:rsidP="00980493">
            <w:pPr>
              <w:jc w:val="center"/>
              <w:rPr>
                <w:rFonts w:cstheme="minorHAnsi"/>
                <w:sz w:val="18"/>
                <w:szCs w:val="18"/>
              </w:rPr>
            </w:pPr>
            <w:r w:rsidRPr="00503014">
              <w:rPr>
                <w:rFonts w:cstheme="minorHAnsi"/>
                <w:sz w:val="18"/>
                <w:szCs w:val="18"/>
              </w:rPr>
              <w:t>216,25</w:t>
            </w:r>
          </w:p>
        </w:tc>
        <w:tc>
          <w:tcPr>
            <w:tcW w:w="880" w:type="dxa"/>
            <w:vAlign w:val="center"/>
          </w:tcPr>
          <w:p w14:paraId="18D12E37" w14:textId="77777777" w:rsidR="00695AE2" w:rsidRPr="00503014" w:rsidRDefault="00695AE2" w:rsidP="00980493">
            <w:pPr>
              <w:jc w:val="center"/>
              <w:rPr>
                <w:rFonts w:cstheme="minorHAnsi"/>
                <w:sz w:val="18"/>
                <w:szCs w:val="18"/>
              </w:rPr>
            </w:pPr>
            <w:r w:rsidRPr="00503014">
              <w:rPr>
                <w:rFonts w:cstheme="minorHAnsi"/>
                <w:sz w:val="18"/>
                <w:szCs w:val="18"/>
              </w:rPr>
              <w:t>4</w:t>
            </w:r>
          </w:p>
        </w:tc>
        <w:tc>
          <w:tcPr>
            <w:tcW w:w="891" w:type="dxa"/>
            <w:vAlign w:val="center"/>
          </w:tcPr>
          <w:p w14:paraId="2BE6B4A5"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928" w:type="dxa"/>
            <w:vAlign w:val="center"/>
          </w:tcPr>
          <w:p w14:paraId="4CACEE6A" w14:textId="77777777" w:rsidR="00695AE2" w:rsidRPr="00503014" w:rsidRDefault="00695AE2" w:rsidP="00980493">
            <w:pPr>
              <w:jc w:val="center"/>
              <w:rPr>
                <w:rFonts w:cstheme="minorHAnsi"/>
                <w:sz w:val="18"/>
                <w:szCs w:val="18"/>
              </w:rPr>
            </w:pPr>
            <w:r w:rsidRPr="00503014">
              <w:rPr>
                <w:rFonts w:cstheme="minorHAnsi"/>
                <w:sz w:val="18"/>
                <w:szCs w:val="18"/>
              </w:rPr>
              <w:t>169,58</w:t>
            </w:r>
          </w:p>
        </w:tc>
      </w:tr>
      <w:tr w:rsidR="00695AE2" w:rsidRPr="00503014" w14:paraId="62235663" w14:textId="77777777" w:rsidTr="00980493">
        <w:tc>
          <w:tcPr>
            <w:tcW w:w="1394" w:type="dxa"/>
          </w:tcPr>
          <w:p w14:paraId="2A680C93" w14:textId="77777777" w:rsidR="00695AE2" w:rsidRPr="00503014" w:rsidRDefault="00695AE2" w:rsidP="00980493">
            <w:pPr>
              <w:jc w:val="center"/>
              <w:rPr>
                <w:rFonts w:cstheme="minorHAnsi"/>
                <w:sz w:val="18"/>
                <w:szCs w:val="18"/>
              </w:rPr>
            </w:pPr>
            <w:r w:rsidRPr="00503014">
              <w:rPr>
                <w:rFonts w:cstheme="minorHAnsi"/>
                <w:sz w:val="18"/>
                <w:szCs w:val="18"/>
              </w:rPr>
              <w:t>Zunanji oddelek v Celju</w:t>
            </w:r>
          </w:p>
        </w:tc>
        <w:tc>
          <w:tcPr>
            <w:tcW w:w="879" w:type="dxa"/>
            <w:vAlign w:val="center"/>
          </w:tcPr>
          <w:p w14:paraId="74B72928"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31B2E7DB"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37758E02" w14:textId="77777777" w:rsidR="00695AE2" w:rsidRPr="00503014" w:rsidRDefault="00695AE2" w:rsidP="00980493">
            <w:pPr>
              <w:jc w:val="center"/>
              <w:rPr>
                <w:rFonts w:cstheme="minorHAnsi"/>
                <w:sz w:val="18"/>
                <w:szCs w:val="18"/>
              </w:rPr>
            </w:pPr>
            <w:r w:rsidRPr="00503014">
              <w:rPr>
                <w:rFonts w:cstheme="minorHAnsi"/>
                <w:sz w:val="18"/>
                <w:szCs w:val="18"/>
              </w:rPr>
              <w:t>217,44</w:t>
            </w:r>
          </w:p>
        </w:tc>
        <w:tc>
          <w:tcPr>
            <w:tcW w:w="880" w:type="dxa"/>
            <w:vAlign w:val="center"/>
          </w:tcPr>
          <w:p w14:paraId="33D5A736"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0" w:type="dxa"/>
            <w:vAlign w:val="center"/>
          </w:tcPr>
          <w:p w14:paraId="267C9D35"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928" w:type="dxa"/>
            <w:vAlign w:val="center"/>
          </w:tcPr>
          <w:p w14:paraId="15A7C4E3" w14:textId="77777777" w:rsidR="00695AE2" w:rsidRPr="00503014" w:rsidRDefault="00695AE2" w:rsidP="00980493">
            <w:pPr>
              <w:jc w:val="center"/>
              <w:rPr>
                <w:rFonts w:cstheme="minorHAnsi"/>
                <w:sz w:val="18"/>
                <w:szCs w:val="18"/>
              </w:rPr>
            </w:pPr>
            <w:r w:rsidRPr="00503014">
              <w:rPr>
                <w:rFonts w:cstheme="minorHAnsi"/>
                <w:sz w:val="18"/>
                <w:szCs w:val="18"/>
              </w:rPr>
              <w:t>204,00</w:t>
            </w:r>
          </w:p>
        </w:tc>
        <w:tc>
          <w:tcPr>
            <w:tcW w:w="880" w:type="dxa"/>
            <w:vAlign w:val="center"/>
          </w:tcPr>
          <w:p w14:paraId="6038E8A4" w14:textId="77777777" w:rsidR="00695AE2" w:rsidRPr="00503014" w:rsidRDefault="00695AE2" w:rsidP="00980493">
            <w:pPr>
              <w:jc w:val="center"/>
              <w:rPr>
                <w:rFonts w:cstheme="minorHAnsi"/>
                <w:sz w:val="18"/>
                <w:szCs w:val="18"/>
              </w:rPr>
            </w:pPr>
            <w:r w:rsidRPr="00503014">
              <w:rPr>
                <w:rFonts w:cstheme="minorHAnsi"/>
                <w:sz w:val="18"/>
                <w:szCs w:val="18"/>
              </w:rPr>
              <w:t>4</w:t>
            </w:r>
          </w:p>
        </w:tc>
        <w:tc>
          <w:tcPr>
            <w:tcW w:w="891" w:type="dxa"/>
            <w:vAlign w:val="center"/>
          </w:tcPr>
          <w:p w14:paraId="0241D3EB"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928" w:type="dxa"/>
            <w:vAlign w:val="center"/>
          </w:tcPr>
          <w:p w14:paraId="326B86E9" w14:textId="77777777" w:rsidR="00695AE2" w:rsidRPr="00503014" w:rsidRDefault="00695AE2" w:rsidP="00980493">
            <w:pPr>
              <w:jc w:val="center"/>
              <w:rPr>
                <w:rFonts w:cstheme="minorHAnsi"/>
                <w:sz w:val="18"/>
                <w:szCs w:val="18"/>
              </w:rPr>
            </w:pPr>
            <w:r w:rsidRPr="00503014">
              <w:rPr>
                <w:rFonts w:cstheme="minorHAnsi"/>
                <w:sz w:val="18"/>
                <w:szCs w:val="18"/>
              </w:rPr>
              <w:t>169,13</w:t>
            </w:r>
          </w:p>
        </w:tc>
      </w:tr>
      <w:tr w:rsidR="00695AE2" w:rsidRPr="00503014" w14:paraId="409325B1" w14:textId="77777777" w:rsidTr="00980493">
        <w:tc>
          <w:tcPr>
            <w:tcW w:w="1394" w:type="dxa"/>
          </w:tcPr>
          <w:p w14:paraId="00B5F839" w14:textId="77777777" w:rsidR="00695AE2" w:rsidRPr="00503014" w:rsidRDefault="00695AE2" w:rsidP="00980493">
            <w:pPr>
              <w:jc w:val="center"/>
              <w:rPr>
                <w:rFonts w:cstheme="minorHAnsi"/>
                <w:sz w:val="18"/>
                <w:szCs w:val="18"/>
              </w:rPr>
            </w:pPr>
            <w:r w:rsidRPr="00503014">
              <w:rPr>
                <w:rFonts w:cstheme="minorHAnsi"/>
                <w:sz w:val="18"/>
                <w:szCs w:val="18"/>
              </w:rPr>
              <w:t>Zunanji oddelek v Kopru</w:t>
            </w:r>
          </w:p>
        </w:tc>
        <w:tc>
          <w:tcPr>
            <w:tcW w:w="879" w:type="dxa"/>
            <w:vAlign w:val="center"/>
          </w:tcPr>
          <w:p w14:paraId="60005788"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082AD86C"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6EBD6845" w14:textId="77777777" w:rsidR="00695AE2" w:rsidRPr="00503014" w:rsidRDefault="00695AE2" w:rsidP="00980493">
            <w:pPr>
              <w:jc w:val="center"/>
              <w:rPr>
                <w:rFonts w:cstheme="minorHAnsi"/>
                <w:sz w:val="18"/>
                <w:szCs w:val="18"/>
              </w:rPr>
            </w:pPr>
            <w:r w:rsidRPr="00503014">
              <w:rPr>
                <w:rFonts w:cstheme="minorHAnsi"/>
                <w:sz w:val="18"/>
                <w:szCs w:val="18"/>
              </w:rPr>
              <w:t>205,00</w:t>
            </w:r>
          </w:p>
        </w:tc>
        <w:tc>
          <w:tcPr>
            <w:tcW w:w="880" w:type="dxa"/>
            <w:vAlign w:val="center"/>
          </w:tcPr>
          <w:p w14:paraId="73561261"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0" w:type="dxa"/>
            <w:vAlign w:val="center"/>
          </w:tcPr>
          <w:p w14:paraId="480C020F"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0FB7C5CE" w14:textId="77777777" w:rsidR="00695AE2" w:rsidRPr="00503014" w:rsidRDefault="00695AE2" w:rsidP="00980493">
            <w:pPr>
              <w:jc w:val="center"/>
              <w:rPr>
                <w:rFonts w:cstheme="minorHAnsi"/>
                <w:sz w:val="18"/>
                <w:szCs w:val="18"/>
              </w:rPr>
            </w:pPr>
            <w:r w:rsidRPr="00503014">
              <w:rPr>
                <w:rFonts w:cstheme="minorHAnsi"/>
                <w:sz w:val="18"/>
                <w:szCs w:val="18"/>
              </w:rPr>
              <w:t>214,25</w:t>
            </w:r>
          </w:p>
        </w:tc>
        <w:tc>
          <w:tcPr>
            <w:tcW w:w="880" w:type="dxa"/>
            <w:vAlign w:val="center"/>
          </w:tcPr>
          <w:p w14:paraId="182C26D6"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1" w:type="dxa"/>
            <w:vAlign w:val="center"/>
          </w:tcPr>
          <w:p w14:paraId="70DA9FA7"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928" w:type="dxa"/>
            <w:vAlign w:val="center"/>
          </w:tcPr>
          <w:p w14:paraId="0E2BC78D" w14:textId="77777777" w:rsidR="00695AE2" w:rsidRPr="00503014" w:rsidRDefault="00695AE2" w:rsidP="00980493">
            <w:pPr>
              <w:jc w:val="center"/>
              <w:rPr>
                <w:rFonts w:cstheme="minorHAnsi"/>
                <w:sz w:val="18"/>
                <w:szCs w:val="18"/>
              </w:rPr>
            </w:pPr>
            <w:r w:rsidRPr="00503014">
              <w:rPr>
                <w:rFonts w:cstheme="minorHAnsi"/>
                <w:sz w:val="18"/>
                <w:szCs w:val="18"/>
              </w:rPr>
              <w:t>213,00</w:t>
            </w:r>
          </w:p>
        </w:tc>
      </w:tr>
      <w:tr w:rsidR="00695AE2" w:rsidRPr="00503014" w14:paraId="6FD6AA58" w14:textId="77777777" w:rsidTr="00980493">
        <w:tc>
          <w:tcPr>
            <w:tcW w:w="1394" w:type="dxa"/>
          </w:tcPr>
          <w:p w14:paraId="6819DD5A" w14:textId="77777777" w:rsidR="00695AE2" w:rsidRPr="00503014" w:rsidRDefault="00695AE2" w:rsidP="00980493">
            <w:pPr>
              <w:jc w:val="center"/>
              <w:rPr>
                <w:rFonts w:cstheme="minorHAnsi"/>
                <w:sz w:val="18"/>
                <w:szCs w:val="18"/>
              </w:rPr>
            </w:pPr>
            <w:r w:rsidRPr="00503014">
              <w:rPr>
                <w:rFonts w:cstheme="minorHAnsi"/>
                <w:sz w:val="18"/>
                <w:szCs w:val="18"/>
              </w:rPr>
              <w:t>Zunanji oddelek v Kranju</w:t>
            </w:r>
          </w:p>
        </w:tc>
        <w:tc>
          <w:tcPr>
            <w:tcW w:w="879" w:type="dxa"/>
            <w:vAlign w:val="center"/>
          </w:tcPr>
          <w:p w14:paraId="434DAEAC"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1632C252"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3455825B" w14:textId="77777777" w:rsidR="00695AE2" w:rsidRPr="00503014" w:rsidRDefault="00695AE2" w:rsidP="00980493">
            <w:pPr>
              <w:jc w:val="center"/>
              <w:rPr>
                <w:rFonts w:cstheme="minorHAnsi"/>
                <w:sz w:val="18"/>
                <w:szCs w:val="18"/>
              </w:rPr>
            </w:pPr>
            <w:r w:rsidRPr="00503014">
              <w:rPr>
                <w:rFonts w:cstheme="minorHAnsi"/>
                <w:sz w:val="18"/>
                <w:szCs w:val="18"/>
              </w:rPr>
              <w:t>209,38</w:t>
            </w:r>
          </w:p>
        </w:tc>
        <w:tc>
          <w:tcPr>
            <w:tcW w:w="880" w:type="dxa"/>
            <w:vAlign w:val="center"/>
          </w:tcPr>
          <w:p w14:paraId="4F76AA3C"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0" w:type="dxa"/>
            <w:vAlign w:val="center"/>
          </w:tcPr>
          <w:p w14:paraId="166D9D16"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928" w:type="dxa"/>
            <w:vAlign w:val="center"/>
          </w:tcPr>
          <w:p w14:paraId="06300DF1" w14:textId="77777777" w:rsidR="00695AE2" w:rsidRPr="00503014" w:rsidRDefault="00695AE2" w:rsidP="00980493">
            <w:pPr>
              <w:jc w:val="center"/>
              <w:rPr>
                <w:rFonts w:cstheme="minorHAnsi"/>
                <w:sz w:val="18"/>
                <w:szCs w:val="18"/>
              </w:rPr>
            </w:pPr>
            <w:r w:rsidRPr="00503014">
              <w:rPr>
                <w:rFonts w:cstheme="minorHAnsi"/>
                <w:sz w:val="18"/>
                <w:szCs w:val="18"/>
              </w:rPr>
              <w:t>213,25</w:t>
            </w:r>
          </w:p>
        </w:tc>
        <w:tc>
          <w:tcPr>
            <w:tcW w:w="880" w:type="dxa"/>
            <w:vAlign w:val="center"/>
          </w:tcPr>
          <w:p w14:paraId="7C938BD2"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1" w:type="dxa"/>
            <w:vAlign w:val="center"/>
          </w:tcPr>
          <w:p w14:paraId="4367FD1C"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928" w:type="dxa"/>
            <w:vAlign w:val="center"/>
          </w:tcPr>
          <w:p w14:paraId="076604E6" w14:textId="77777777" w:rsidR="00695AE2" w:rsidRPr="00503014" w:rsidRDefault="00695AE2" w:rsidP="00980493">
            <w:pPr>
              <w:jc w:val="center"/>
              <w:rPr>
                <w:rFonts w:cstheme="minorHAnsi"/>
                <w:sz w:val="18"/>
                <w:szCs w:val="18"/>
              </w:rPr>
            </w:pPr>
            <w:r w:rsidRPr="00503014">
              <w:rPr>
                <w:rFonts w:cstheme="minorHAnsi"/>
                <w:sz w:val="18"/>
                <w:szCs w:val="18"/>
              </w:rPr>
              <w:t>122,50</w:t>
            </w:r>
          </w:p>
        </w:tc>
      </w:tr>
      <w:tr w:rsidR="00695AE2" w:rsidRPr="00503014" w14:paraId="5B7F2AA1" w14:textId="77777777" w:rsidTr="00980493">
        <w:tc>
          <w:tcPr>
            <w:tcW w:w="1394" w:type="dxa"/>
          </w:tcPr>
          <w:p w14:paraId="1951D40D" w14:textId="77777777" w:rsidR="00695AE2" w:rsidRPr="00503014" w:rsidRDefault="00695AE2" w:rsidP="00980493">
            <w:pPr>
              <w:jc w:val="center"/>
              <w:rPr>
                <w:rFonts w:cstheme="minorHAnsi"/>
                <w:sz w:val="18"/>
                <w:szCs w:val="18"/>
              </w:rPr>
            </w:pPr>
            <w:r w:rsidRPr="00503014">
              <w:rPr>
                <w:rFonts w:cstheme="minorHAnsi"/>
                <w:sz w:val="18"/>
                <w:szCs w:val="18"/>
              </w:rPr>
              <w:t>Zunanji oddelek v Murski Soboti</w:t>
            </w:r>
          </w:p>
        </w:tc>
        <w:tc>
          <w:tcPr>
            <w:tcW w:w="879" w:type="dxa"/>
            <w:vAlign w:val="center"/>
          </w:tcPr>
          <w:p w14:paraId="7340C7B8"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173AC53F"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44ADCED7" w14:textId="77777777" w:rsidR="00695AE2" w:rsidRPr="00503014" w:rsidRDefault="00695AE2" w:rsidP="00980493">
            <w:pPr>
              <w:jc w:val="center"/>
              <w:rPr>
                <w:rFonts w:cstheme="minorHAnsi"/>
                <w:sz w:val="18"/>
                <w:szCs w:val="18"/>
              </w:rPr>
            </w:pPr>
            <w:r w:rsidRPr="00503014">
              <w:rPr>
                <w:rFonts w:cstheme="minorHAnsi"/>
                <w:sz w:val="18"/>
                <w:szCs w:val="18"/>
              </w:rPr>
              <w:t>209,81</w:t>
            </w:r>
          </w:p>
        </w:tc>
        <w:tc>
          <w:tcPr>
            <w:tcW w:w="880" w:type="dxa"/>
            <w:vAlign w:val="center"/>
          </w:tcPr>
          <w:p w14:paraId="5AE4D67C" w14:textId="77777777" w:rsidR="00695AE2" w:rsidRPr="00503014" w:rsidRDefault="00695AE2" w:rsidP="00980493">
            <w:pPr>
              <w:jc w:val="center"/>
              <w:rPr>
                <w:rFonts w:cstheme="minorHAnsi"/>
                <w:sz w:val="18"/>
                <w:szCs w:val="18"/>
              </w:rPr>
            </w:pPr>
            <w:r w:rsidRPr="00503014">
              <w:rPr>
                <w:rFonts w:cstheme="minorHAnsi"/>
                <w:sz w:val="18"/>
                <w:szCs w:val="18"/>
              </w:rPr>
              <w:t>0</w:t>
            </w:r>
          </w:p>
        </w:tc>
        <w:tc>
          <w:tcPr>
            <w:tcW w:w="890" w:type="dxa"/>
            <w:vAlign w:val="center"/>
          </w:tcPr>
          <w:p w14:paraId="18053EB9" w14:textId="77777777" w:rsidR="00695AE2" w:rsidRPr="00503014" w:rsidRDefault="00695AE2" w:rsidP="00980493">
            <w:pPr>
              <w:jc w:val="center"/>
              <w:rPr>
                <w:rFonts w:cstheme="minorHAnsi"/>
                <w:sz w:val="18"/>
                <w:szCs w:val="18"/>
              </w:rPr>
            </w:pPr>
            <w:r w:rsidRPr="00503014">
              <w:rPr>
                <w:rFonts w:cstheme="minorHAnsi"/>
                <w:sz w:val="18"/>
                <w:szCs w:val="18"/>
              </w:rPr>
              <w:t>0</w:t>
            </w:r>
          </w:p>
        </w:tc>
        <w:tc>
          <w:tcPr>
            <w:tcW w:w="928" w:type="dxa"/>
            <w:vAlign w:val="center"/>
          </w:tcPr>
          <w:p w14:paraId="1C43F35C" w14:textId="77777777" w:rsidR="00695AE2" w:rsidRPr="00503014" w:rsidRDefault="00695AE2" w:rsidP="00980493">
            <w:pPr>
              <w:jc w:val="center"/>
              <w:rPr>
                <w:rFonts w:cstheme="minorHAnsi"/>
                <w:sz w:val="18"/>
                <w:szCs w:val="18"/>
              </w:rPr>
            </w:pPr>
            <w:r w:rsidRPr="00503014">
              <w:rPr>
                <w:rFonts w:cstheme="minorHAnsi"/>
                <w:sz w:val="18"/>
                <w:szCs w:val="18"/>
              </w:rPr>
              <w:t>0,00</w:t>
            </w:r>
          </w:p>
        </w:tc>
        <w:tc>
          <w:tcPr>
            <w:tcW w:w="880" w:type="dxa"/>
            <w:vAlign w:val="center"/>
          </w:tcPr>
          <w:p w14:paraId="75DBD414"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891" w:type="dxa"/>
            <w:vAlign w:val="center"/>
          </w:tcPr>
          <w:p w14:paraId="0D64044C" w14:textId="77777777" w:rsidR="00695AE2" w:rsidRPr="00503014" w:rsidRDefault="00695AE2" w:rsidP="00980493">
            <w:pPr>
              <w:jc w:val="center"/>
              <w:rPr>
                <w:rFonts w:cstheme="minorHAnsi"/>
                <w:sz w:val="18"/>
                <w:szCs w:val="18"/>
              </w:rPr>
            </w:pPr>
            <w:r w:rsidRPr="00503014">
              <w:rPr>
                <w:rFonts w:cstheme="minorHAnsi"/>
                <w:sz w:val="18"/>
                <w:szCs w:val="18"/>
              </w:rPr>
              <w:t>3</w:t>
            </w:r>
          </w:p>
        </w:tc>
        <w:tc>
          <w:tcPr>
            <w:tcW w:w="928" w:type="dxa"/>
            <w:vAlign w:val="center"/>
          </w:tcPr>
          <w:p w14:paraId="510582FE" w14:textId="77777777" w:rsidR="00695AE2" w:rsidRPr="00503014" w:rsidRDefault="00695AE2" w:rsidP="00980493">
            <w:pPr>
              <w:jc w:val="center"/>
              <w:rPr>
                <w:rFonts w:cstheme="minorHAnsi"/>
                <w:sz w:val="18"/>
                <w:szCs w:val="18"/>
              </w:rPr>
            </w:pPr>
            <w:r w:rsidRPr="00503014">
              <w:rPr>
                <w:rFonts w:cstheme="minorHAnsi"/>
                <w:sz w:val="18"/>
                <w:szCs w:val="18"/>
              </w:rPr>
              <w:t>220,00</w:t>
            </w:r>
          </w:p>
        </w:tc>
      </w:tr>
      <w:tr w:rsidR="00695AE2" w:rsidRPr="00503014" w14:paraId="6FBDC524" w14:textId="77777777" w:rsidTr="00980493">
        <w:tc>
          <w:tcPr>
            <w:tcW w:w="1394" w:type="dxa"/>
          </w:tcPr>
          <w:p w14:paraId="389352F5" w14:textId="77777777" w:rsidR="00695AE2" w:rsidRPr="00503014" w:rsidRDefault="00695AE2" w:rsidP="00980493">
            <w:pPr>
              <w:jc w:val="center"/>
              <w:rPr>
                <w:rFonts w:cstheme="minorHAnsi"/>
                <w:sz w:val="18"/>
                <w:szCs w:val="18"/>
              </w:rPr>
            </w:pPr>
            <w:r w:rsidRPr="00503014">
              <w:rPr>
                <w:rFonts w:cstheme="minorHAnsi"/>
                <w:sz w:val="18"/>
                <w:szCs w:val="18"/>
              </w:rPr>
              <w:t>Zunanji oddelek v Novi Gorici</w:t>
            </w:r>
          </w:p>
        </w:tc>
        <w:tc>
          <w:tcPr>
            <w:tcW w:w="879" w:type="dxa"/>
            <w:vAlign w:val="center"/>
          </w:tcPr>
          <w:p w14:paraId="06E24D23"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32B5D9CF"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0571A67B" w14:textId="77777777" w:rsidR="00695AE2" w:rsidRPr="00503014" w:rsidRDefault="00695AE2" w:rsidP="00980493">
            <w:pPr>
              <w:jc w:val="center"/>
              <w:rPr>
                <w:rFonts w:cstheme="minorHAnsi"/>
                <w:sz w:val="18"/>
                <w:szCs w:val="18"/>
              </w:rPr>
            </w:pPr>
            <w:r w:rsidRPr="00503014">
              <w:rPr>
                <w:rFonts w:cstheme="minorHAnsi"/>
                <w:sz w:val="18"/>
                <w:szCs w:val="18"/>
              </w:rPr>
              <w:t>192,19</w:t>
            </w:r>
          </w:p>
        </w:tc>
        <w:tc>
          <w:tcPr>
            <w:tcW w:w="880" w:type="dxa"/>
            <w:vAlign w:val="center"/>
          </w:tcPr>
          <w:p w14:paraId="740C6CB6"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890" w:type="dxa"/>
            <w:vAlign w:val="center"/>
          </w:tcPr>
          <w:p w14:paraId="1BB36C85"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928" w:type="dxa"/>
            <w:vAlign w:val="center"/>
          </w:tcPr>
          <w:p w14:paraId="4D56DB18" w14:textId="77777777" w:rsidR="00695AE2" w:rsidRPr="00503014" w:rsidRDefault="00695AE2" w:rsidP="00980493">
            <w:pPr>
              <w:jc w:val="center"/>
              <w:rPr>
                <w:rFonts w:cstheme="minorHAnsi"/>
                <w:sz w:val="18"/>
                <w:szCs w:val="18"/>
              </w:rPr>
            </w:pPr>
            <w:r w:rsidRPr="00503014">
              <w:rPr>
                <w:rFonts w:cstheme="minorHAnsi"/>
                <w:sz w:val="18"/>
                <w:szCs w:val="18"/>
              </w:rPr>
              <w:t>203,00</w:t>
            </w:r>
          </w:p>
        </w:tc>
        <w:tc>
          <w:tcPr>
            <w:tcW w:w="880" w:type="dxa"/>
            <w:vAlign w:val="center"/>
          </w:tcPr>
          <w:p w14:paraId="18200B14"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891" w:type="dxa"/>
            <w:vAlign w:val="center"/>
          </w:tcPr>
          <w:p w14:paraId="2055AC33" w14:textId="77777777" w:rsidR="00695AE2" w:rsidRPr="00503014" w:rsidRDefault="00695AE2" w:rsidP="00980493">
            <w:pPr>
              <w:jc w:val="center"/>
              <w:rPr>
                <w:rFonts w:cstheme="minorHAnsi"/>
                <w:sz w:val="18"/>
                <w:szCs w:val="18"/>
              </w:rPr>
            </w:pPr>
            <w:r w:rsidRPr="00503014">
              <w:rPr>
                <w:rFonts w:cstheme="minorHAnsi"/>
                <w:sz w:val="18"/>
                <w:szCs w:val="18"/>
              </w:rPr>
              <w:t>0</w:t>
            </w:r>
          </w:p>
        </w:tc>
        <w:tc>
          <w:tcPr>
            <w:tcW w:w="928" w:type="dxa"/>
            <w:vAlign w:val="center"/>
          </w:tcPr>
          <w:p w14:paraId="11BBE145" w14:textId="77777777" w:rsidR="00695AE2" w:rsidRPr="00503014" w:rsidRDefault="00695AE2" w:rsidP="00980493">
            <w:pPr>
              <w:jc w:val="center"/>
              <w:rPr>
                <w:rFonts w:cstheme="minorHAnsi"/>
                <w:sz w:val="18"/>
                <w:szCs w:val="18"/>
              </w:rPr>
            </w:pPr>
            <w:r w:rsidRPr="00503014">
              <w:rPr>
                <w:rFonts w:cstheme="minorHAnsi"/>
                <w:sz w:val="18"/>
                <w:szCs w:val="18"/>
              </w:rPr>
              <w:t>0,00</w:t>
            </w:r>
          </w:p>
        </w:tc>
      </w:tr>
      <w:tr w:rsidR="00695AE2" w:rsidRPr="00503014" w14:paraId="52D699E6" w14:textId="77777777" w:rsidTr="00980493">
        <w:tc>
          <w:tcPr>
            <w:tcW w:w="1394" w:type="dxa"/>
          </w:tcPr>
          <w:p w14:paraId="5E40F54E" w14:textId="77777777" w:rsidR="00695AE2" w:rsidRPr="00503014" w:rsidRDefault="00695AE2" w:rsidP="00980493">
            <w:pPr>
              <w:jc w:val="center"/>
              <w:rPr>
                <w:rFonts w:cstheme="minorHAnsi"/>
                <w:sz w:val="18"/>
                <w:szCs w:val="18"/>
              </w:rPr>
            </w:pPr>
            <w:r w:rsidRPr="00503014">
              <w:rPr>
                <w:rFonts w:cstheme="minorHAnsi"/>
                <w:sz w:val="18"/>
                <w:szCs w:val="18"/>
              </w:rPr>
              <w:t>Zunanji oddelek v Novem mestu</w:t>
            </w:r>
          </w:p>
        </w:tc>
        <w:tc>
          <w:tcPr>
            <w:tcW w:w="879" w:type="dxa"/>
            <w:vAlign w:val="center"/>
          </w:tcPr>
          <w:p w14:paraId="7D0F9BA8"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5AD37291"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7CDF0C4C" w14:textId="77777777" w:rsidR="00695AE2" w:rsidRPr="00503014" w:rsidRDefault="00695AE2" w:rsidP="00980493">
            <w:pPr>
              <w:jc w:val="center"/>
              <w:rPr>
                <w:rFonts w:cstheme="minorHAnsi"/>
                <w:sz w:val="18"/>
                <w:szCs w:val="18"/>
              </w:rPr>
            </w:pPr>
            <w:r w:rsidRPr="00503014">
              <w:rPr>
                <w:rFonts w:cstheme="minorHAnsi"/>
                <w:sz w:val="18"/>
                <w:szCs w:val="18"/>
              </w:rPr>
              <w:t>206,38</w:t>
            </w:r>
          </w:p>
        </w:tc>
        <w:tc>
          <w:tcPr>
            <w:tcW w:w="880" w:type="dxa"/>
            <w:vAlign w:val="center"/>
          </w:tcPr>
          <w:p w14:paraId="13E7C7D5"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0" w:type="dxa"/>
            <w:vAlign w:val="center"/>
          </w:tcPr>
          <w:p w14:paraId="3DE9F28C"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530AB93A" w14:textId="77777777" w:rsidR="00695AE2" w:rsidRPr="00503014" w:rsidRDefault="00695AE2" w:rsidP="00980493">
            <w:pPr>
              <w:jc w:val="center"/>
              <w:rPr>
                <w:rFonts w:cstheme="minorHAnsi"/>
                <w:sz w:val="18"/>
                <w:szCs w:val="18"/>
              </w:rPr>
            </w:pPr>
            <w:r w:rsidRPr="00503014">
              <w:rPr>
                <w:rFonts w:cstheme="minorHAnsi"/>
                <w:sz w:val="18"/>
                <w:szCs w:val="18"/>
              </w:rPr>
              <w:t>175,13</w:t>
            </w:r>
          </w:p>
        </w:tc>
        <w:tc>
          <w:tcPr>
            <w:tcW w:w="880" w:type="dxa"/>
            <w:vAlign w:val="center"/>
          </w:tcPr>
          <w:p w14:paraId="5D70D423"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891" w:type="dxa"/>
            <w:vAlign w:val="center"/>
          </w:tcPr>
          <w:p w14:paraId="4C873C66" w14:textId="77777777" w:rsidR="00695AE2" w:rsidRPr="00503014" w:rsidRDefault="00695AE2" w:rsidP="00980493">
            <w:pPr>
              <w:jc w:val="center"/>
              <w:rPr>
                <w:rFonts w:cstheme="minorHAnsi"/>
                <w:sz w:val="18"/>
                <w:szCs w:val="18"/>
              </w:rPr>
            </w:pPr>
            <w:r w:rsidRPr="00503014">
              <w:rPr>
                <w:rFonts w:cstheme="minorHAnsi"/>
                <w:sz w:val="18"/>
                <w:szCs w:val="18"/>
              </w:rPr>
              <w:t>0</w:t>
            </w:r>
          </w:p>
        </w:tc>
        <w:tc>
          <w:tcPr>
            <w:tcW w:w="928" w:type="dxa"/>
            <w:vAlign w:val="center"/>
          </w:tcPr>
          <w:p w14:paraId="7B24EE4A" w14:textId="77777777" w:rsidR="00695AE2" w:rsidRPr="00503014" w:rsidRDefault="00695AE2" w:rsidP="00980493">
            <w:pPr>
              <w:jc w:val="center"/>
              <w:rPr>
                <w:rFonts w:cstheme="minorHAnsi"/>
                <w:sz w:val="18"/>
                <w:szCs w:val="18"/>
              </w:rPr>
            </w:pPr>
            <w:r w:rsidRPr="00503014">
              <w:rPr>
                <w:rFonts w:cstheme="minorHAnsi"/>
                <w:sz w:val="18"/>
                <w:szCs w:val="18"/>
              </w:rPr>
              <w:t>0,00</w:t>
            </w:r>
          </w:p>
        </w:tc>
      </w:tr>
      <w:tr w:rsidR="00695AE2" w:rsidRPr="00503014" w14:paraId="245B6B1F" w14:textId="77777777" w:rsidTr="00980493">
        <w:tc>
          <w:tcPr>
            <w:tcW w:w="1394" w:type="dxa"/>
          </w:tcPr>
          <w:p w14:paraId="0DDAE0B4" w14:textId="77777777" w:rsidR="00695AE2" w:rsidRPr="00503014" w:rsidRDefault="00695AE2" w:rsidP="00980493">
            <w:pPr>
              <w:jc w:val="center"/>
              <w:rPr>
                <w:rFonts w:cstheme="minorHAnsi"/>
                <w:sz w:val="18"/>
                <w:szCs w:val="18"/>
              </w:rPr>
            </w:pPr>
            <w:r w:rsidRPr="00503014">
              <w:rPr>
                <w:rFonts w:cstheme="minorHAnsi"/>
                <w:sz w:val="18"/>
                <w:szCs w:val="18"/>
              </w:rPr>
              <w:t>Zunanji oddelek na Ptuju</w:t>
            </w:r>
          </w:p>
        </w:tc>
        <w:tc>
          <w:tcPr>
            <w:tcW w:w="879" w:type="dxa"/>
            <w:vAlign w:val="center"/>
          </w:tcPr>
          <w:p w14:paraId="20EB0C32"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895" w:type="dxa"/>
            <w:vAlign w:val="center"/>
          </w:tcPr>
          <w:p w14:paraId="743F937B" w14:textId="77777777" w:rsidR="00695AE2" w:rsidRPr="00503014" w:rsidRDefault="00695AE2" w:rsidP="00980493">
            <w:pPr>
              <w:jc w:val="center"/>
              <w:rPr>
                <w:rFonts w:cstheme="minorHAnsi"/>
                <w:sz w:val="18"/>
                <w:szCs w:val="18"/>
              </w:rPr>
            </w:pPr>
            <w:r w:rsidRPr="00503014">
              <w:rPr>
                <w:rFonts w:cstheme="minorHAnsi"/>
                <w:sz w:val="18"/>
                <w:szCs w:val="18"/>
              </w:rPr>
              <w:t>2</w:t>
            </w:r>
          </w:p>
        </w:tc>
        <w:tc>
          <w:tcPr>
            <w:tcW w:w="928" w:type="dxa"/>
            <w:vAlign w:val="center"/>
          </w:tcPr>
          <w:p w14:paraId="4609D42A" w14:textId="77777777" w:rsidR="00695AE2" w:rsidRPr="00503014" w:rsidRDefault="00695AE2" w:rsidP="00980493">
            <w:pPr>
              <w:jc w:val="center"/>
              <w:rPr>
                <w:rFonts w:cstheme="minorHAnsi"/>
                <w:sz w:val="18"/>
                <w:szCs w:val="18"/>
              </w:rPr>
            </w:pPr>
            <w:r w:rsidRPr="00503014">
              <w:rPr>
                <w:rFonts w:cstheme="minorHAnsi"/>
                <w:sz w:val="18"/>
                <w:szCs w:val="18"/>
              </w:rPr>
              <w:t>205,38</w:t>
            </w:r>
          </w:p>
        </w:tc>
        <w:tc>
          <w:tcPr>
            <w:tcW w:w="880" w:type="dxa"/>
            <w:vAlign w:val="center"/>
          </w:tcPr>
          <w:p w14:paraId="021D1A1E" w14:textId="77777777" w:rsidR="00695AE2" w:rsidRPr="00503014" w:rsidRDefault="00695AE2" w:rsidP="00980493">
            <w:pPr>
              <w:jc w:val="center"/>
              <w:rPr>
                <w:rFonts w:cstheme="minorHAnsi"/>
                <w:sz w:val="18"/>
                <w:szCs w:val="18"/>
              </w:rPr>
            </w:pPr>
            <w:r w:rsidRPr="00503014">
              <w:rPr>
                <w:rFonts w:cstheme="minorHAnsi"/>
                <w:sz w:val="18"/>
                <w:szCs w:val="18"/>
              </w:rPr>
              <w:t>0</w:t>
            </w:r>
          </w:p>
        </w:tc>
        <w:tc>
          <w:tcPr>
            <w:tcW w:w="890" w:type="dxa"/>
            <w:vAlign w:val="center"/>
          </w:tcPr>
          <w:p w14:paraId="317F8F9F" w14:textId="77777777" w:rsidR="00695AE2" w:rsidRPr="00503014" w:rsidRDefault="00695AE2" w:rsidP="00980493">
            <w:pPr>
              <w:jc w:val="center"/>
              <w:rPr>
                <w:rFonts w:cstheme="minorHAnsi"/>
                <w:sz w:val="18"/>
                <w:szCs w:val="18"/>
              </w:rPr>
            </w:pPr>
            <w:r w:rsidRPr="00503014">
              <w:rPr>
                <w:rFonts w:cstheme="minorHAnsi"/>
                <w:sz w:val="18"/>
                <w:szCs w:val="18"/>
              </w:rPr>
              <w:t>0</w:t>
            </w:r>
          </w:p>
        </w:tc>
        <w:tc>
          <w:tcPr>
            <w:tcW w:w="928" w:type="dxa"/>
            <w:vAlign w:val="center"/>
          </w:tcPr>
          <w:p w14:paraId="05B58C60" w14:textId="77777777" w:rsidR="00695AE2" w:rsidRPr="00503014" w:rsidRDefault="00695AE2" w:rsidP="00980493">
            <w:pPr>
              <w:jc w:val="center"/>
              <w:rPr>
                <w:rFonts w:cstheme="minorHAnsi"/>
                <w:sz w:val="18"/>
                <w:szCs w:val="18"/>
              </w:rPr>
            </w:pPr>
            <w:r w:rsidRPr="00503014">
              <w:rPr>
                <w:rFonts w:cstheme="minorHAnsi"/>
                <w:sz w:val="18"/>
                <w:szCs w:val="18"/>
              </w:rPr>
              <w:t>0,00</w:t>
            </w:r>
          </w:p>
        </w:tc>
        <w:tc>
          <w:tcPr>
            <w:tcW w:w="880" w:type="dxa"/>
            <w:vAlign w:val="center"/>
          </w:tcPr>
          <w:p w14:paraId="20D6FF8A"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891" w:type="dxa"/>
            <w:vAlign w:val="center"/>
          </w:tcPr>
          <w:p w14:paraId="7316219A" w14:textId="77777777" w:rsidR="00695AE2" w:rsidRPr="00503014" w:rsidRDefault="00695AE2" w:rsidP="00980493">
            <w:pPr>
              <w:jc w:val="center"/>
              <w:rPr>
                <w:rFonts w:cstheme="minorHAnsi"/>
                <w:sz w:val="18"/>
                <w:szCs w:val="18"/>
              </w:rPr>
            </w:pPr>
            <w:r w:rsidRPr="00503014">
              <w:rPr>
                <w:rFonts w:cstheme="minorHAnsi"/>
                <w:sz w:val="18"/>
                <w:szCs w:val="18"/>
              </w:rPr>
              <w:t>1</w:t>
            </w:r>
          </w:p>
        </w:tc>
        <w:tc>
          <w:tcPr>
            <w:tcW w:w="928" w:type="dxa"/>
            <w:vAlign w:val="center"/>
          </w:tcPr>
          <w:p w14:paraId="3314144C" w14:textId="77777777" w:rsidR="00695AE2" w:rsidRPr="00503014" w:rsidRDefault="00695AE2" w:rsidP="00980493">
            <w:pPr>
              <w:jc w:val="center"/>
              <w:rPr>
                <w:rFonts w:cstheme="minorHAnsi"/>
                <w:sz w:val="18"/>
                <w:szCs w:val="18"/>
              </w:rPr>
            </w:pPr>
            <w:r w:rsidRPr="00503014">
              <w:rPr>
                <w:rFonts w:cstheme="minorHAnsi"/>
                <w:sz w:val="18"/>
                <w:szCs w:val="18"/>
              </w:rPr>
              <w:t>207,50</w:t>
            </w:r>
          </w:p>
        </w:tc>
      </w:tr>
      <w:tr w:rsidR="00695AE2" w:rsidRPr="00503014" w14:paraId="0D43B96E" w14:textId="77777777" w:rsidTr="00980493">
        <w:trPr>
          <w:trHeight w:val="454"/>
        </w:trPr>
        <w:tc>
          <w:tcPr>
            <w:tcW w:w="1394" w:type="dxa"/>
            <w:vAlign w:val="center"/>
          </w:tcPr>
          <w:p w14:paraId="622950FD" w14:textId="77777777" w:rsidR="00695AE2" w:rsidRPr="00503014" w:rsidRDefault="00695AE2" w:rsidP="00980493">
            <w:pPr>
              <w:jc w:val="center"/>
              <w:rPr>
                <w:rFonts w:cstheme="minorHAnsi"/>
                <w:b/>
                <w:sz w:val="18"/>
                <w:szCs w:val="18"/>
              </w:rPr>
            </w:pPr>
            <w:r w:rsidRPr="00503014">
              <w:rPr>
                <w:rFonts w:cstheme="minorHAnsi"/>
                <w:b/>
                <w:sz w:val="18"/>
                <w:szCs w:val="18"/>
              </w:rPr>
              <w:t>SKUPAJ</w:t>
            </w:r>
          </w:p>
        </w:tc>
        <w:tc>
          <w:tcPr>
            <w:tcW w:w="879" w:type="dxa"/>
            <w:vAlign w:val="center"/>
          </w:tcPr>
          <w:p w14:paraId="6614D3BF" w14:textId="77777777" w:rsidR="00695AE2" w:rsidRPr="00503014" w:rsidRDefault="00695AE2" w:rsidP="00980493">
            <w:pPr>
              <w:jc w:val="center"/>
              <w:rPr>
                <w:rFonts w:cstheme="minorHAnsi"/>
                <w:b/>
                <w:sz w:val="18"/>
                <w:szCs w:val="18"/>
              </w:rPr>
            </w:pPr>
            <w:r w:rsidRPr="00503014">
              <w:rPr>
                <w:rFonts w:cstheme="minorHAnsi"/>
                <w:b/>
                <w:sz w:val="18"/>
                <w:szCs w:val="18"/>
              </w:rPr>
              <w:t>57</w:t>
            </w:r>
          </w:p>
        </w:tc>
        <w:tc>
          <w:tcPr>
            <w:tcW w:w="895" w:type="dxa"/>
            <w:vAlign w:val="center"/>
          </w:tcPr>
          <w:p w14:paraId="480C3E6C" w14:textId="77777777" w:rsidR="00695AE2" w:rsidRPr="00503014" w:rsidRDefault="00695AE2" w:rsidP="00980493">
            <w:pPr>
              <w:jc w:val="center"/>
              <w:rPr>
                <w:rFonts w:cstheme="minorHAnsi"/>
                <w:b/>
                <w:sz w:val="18"/>
                <w:szCs w:val="18"/>
              </w:rPr>
            </w:pPr>
            <w:r w:rsidRPr="00503014">
              <w:rPr>
                <w:rFonts w:cstheme="minorHAnsi"/>
                <w:b/>
                <w:sz w:val="18"/>
                <w:szCs w:val="18"/>
              </w:rPr>
              <w:t>56</w:t>
            </w:r>
          </w:p>
        </w:tc>
        <w:tc>
          <w:tcPr>
            <w:tcW w:w="928" w:type="dxa"/>
            <w:vAlign w:val="center"/>
          </w:tcPr>
          <w:p w14:paraId="18C38EA0" w14:textId="77777777" w:rsidR="00695AE2" w:rsidRPr="00503014" w:rsidRDefault="00695AE2" w:rsidP="00980493">
            <w:pPr>
              <w:jc w:val="center"/>
              <w:rPr>
                <w:rFonts w:cstheme="minorHAnsi"/>
                <w:b/>
                <w:sz w:val="18"/>
                <w:szCs w:val="18"/>
              </w:rPr>
            </w:pPr>
            <w:r w:rsidRPr="00503014">
              <w:rPr>
                <w:rFonts w:cstheme="minorHAnsi"/>
                <w:b/>
                <w:sz w:val="18"/>
                <w:szCs w:val="18"/>
              </w:rPr>
              <w:t>206,10</w:t>
            </w:r>
          </w:p>
        </w:tc>
        <w:tc>
          <w:tcPr>
            <w:tcW w:w="880" w:type="dxa"/>
            <w:vAlign w:val="center"/>
          </w:tcPr>
          <w:p w14:paraId="21435E5A" w14:textId="77777777" w:rsidR="00695AE2" w:rsidRPr="00503014" w:rsidRDefault="00695AE2" w:rsidP="00980493">
            <w:pPr>
              <w:jc w:val="center"/>
              <w:rPr>
                <w:rFonts w:cstheme="minorHAnsi"/>
                <w:b/>
                <w:sz w:val="18"/>
                <w:szCs w:val="18"/>
              </w:rPr>
            </w:pPr>
            <w:r w:rsidRPr="00503014">
              <w:rPr>
                <w:rFonts w:cstheme="minorHAnsi"/>
                <w:b/>
                <w:sz w:val="18"/>
                <w:szCs w:val="18"/>
              </w:rPr>
              <w:t>31</w:t>
            </w:r>
          </w:p>
        </w:tc>
        <w:tc>
          <w:tcPr>
            <w:tcW w:w="890" w:type="dxa"/>
            <w:vAlign w:val="center"/>
          </w:tcPr>
          <w:p w14:paraId="30876E73" w14:textId="77777777" w:rsidR="00695AE2" w:rsidRPr="00503014" w:rsidRDefault="00695AE2" w:rsidP="00980493">
            <w:pPr>
              <w:jc w:val="center"/>
              <w:rPr>
                <w:rFonts w:cstheme="minorHAnsi"/>
                <w:b/>
                <w:sz w:val="18"/>
                <w:szCs w:val="18"/>
              </w:rPr>
            </w:pPr>
            <w:r w:rsidRPr="00503014">
              <w:rPr>
                <w:rFonts w:cstheme="minorHAnsi"/>
                <w:b/>
                <w:sz w:val="18"/>
                <w:szCs w:val="18"/>
              </w:rPr>
              <w:t>27</w:t>
            </w:r>
          </w:p>
        </w:tc>
        <w:tc>
          <w:tcPr>
            <w:tcW w:w="928" w:type="dxa"/>
            <w:vAlign w:val="center"/>
          </w:tcPr>
          <w:p w14:paraId="56A4FDC1" w14:textId="77777777" w:rsidR="00695AE2" w:rsidRPr="00503014" w:rsidRDefault="00695AE2" w:rsidP="00980493">
            <w:pPr>
              <w:jc w:val="center"/>
              <w:rPr>
                <w:rFonts w:cstheme="minorHAnsi"/>
                <w:b/>
                <w:sz w:val="18"/>
                <w:szCs w:val="18"/>
              </w:rPr>
            </w:pPr>
            <w:r w:rsidRPr="00503014">
              <w:rPr>
                <w:rFonts w:cstheme="minorHAnsi"/>
                <w:b/>
                <w:sz w:val="18"/>
                <w:szCs w:val="18"/>
              </w:rPr>
              <w:t>202,38</w:t>
            </w:r>
          </w:p>
        </w:tc>
        <w:tc>
          <w:tcPr>
            <w:tcW w:w="880" w:type="dxa"/>
            <w:vAlign w:val="center"/>
          </w:tcPr>
          <w:p w14:paraId="12A7B600" w14:textId="77777777" w:rsidR="00695AE2" w:rsidRPr="00503014" w:rsidRDefault="00695AE2" w:rsidP="00980493">
            <w:pPr>
              <w:jc w:val="center"/>
              <w:rPr>
                <w:rFonts w:cstheme="minorHAnsi"/>
                <w:b/>
                <w:sz w:val="18"/>
                <w:szCs w:val="18"/>
              </w:rPr>
            </w:pPr>
            <w:r w:rsidRPr="00503014">
              <w:rPr>
                <w:rFonts w:cstheme="minorHAnsi"/>
                <w:b/>
                <w:sz w:val="18"/>
                <w:szCs w:val="18"/>
              </w:rPr>
              <w:t>33</w:t>
            </w:r>
          </w:p>
        </w:tc>
        <w:tc>
          <w:tcPr>
            <w:tcW w:w="891" w:type="dxa"/>
            <w:vAlign w:val="center"/>
          </w:tcPr>
          <w:p w14:paraId="46FDCC28" w14:textId="77777777" w:rsidR="00695AE2" w:rsidRPr="00503014" w:rsidRDefault="00695AE2" w:rsidP="00980493">
            <w:pPr>
              <w:jc w:val="center"/>
              <w:rPr>
                <w:rFonts w:cstheme="minorHAnsi"/>
                <w:b/>
                <w:sz w:val="18"/>
                <w:szCs w:val="18"/>
              </w:rPr>
            </w:pPr>
            <w:r w:rsidRPr="00503014">
              <w:rPr>
                <w:rFonts w:cstheme="minorHAnsi"/>
                <w:b/>
                <w:sz w:val="18"/>
                <w:szCs w:val="18"/>
              </w:rPr>
              <w:t>20</w:t>
            </w:r>
          </w:p>
        </w:tc>
        <w:tc>
          <w:tcPr>
            <w:tcW w:w="928" w:type="dxa"/>
            <w:vAlign w:val="center"/>
          </w:tcPr>
          <w:p w14:paraId="118DF02D" w14:textId="77777777" w:rsidR="00695AE2" w:rsidRPr="00503014" w:rsidRDefault="00695AE2" w:rsidP="00980493">
            <w:pPr>
              <w:jc w:val="center"/>
              <w:rPr>
                <w:rFonts w:cstheme="minorHAnsi"/>
                <w:b/>
                <w:sz w:val="18"/>
                <w:szCs w:val="18"/>
              </w:rPr>
            </w:pPr>
            <w:r w:rsidRPr="00503014">
              <w:rPr>
                <w:rFonts w:cstheme="minorHAnsi"/>
                <w:b/>
                <w:sz w:val="18"/>
                <w:szCs w:val="18"/>
              </w:rPr>
              <w:t>176,74</w:t>
            </w:r>
          </w:p>
        </w:tc>
      </w:tr>
    </w:tbl>
    <w:p w14:paraId="7A2D6495" w14:textId="77777777" w:rsidR="00695AE2" w:rsidRPr="00503014" w:rsidRDefault="00695AE2" w:rsidP="00695AE2">
      <w:pPr>
        <w:spacing w:line="240" w:lineRule="auto"/>
        <w:jc w:val="both"/>
        <w:rPr>
          <w:rFonts w:cstheme="minorHAnsi"/>
          <w:color w:val="000000"/>
          <w:sz w:val="20"/>
          <w:szCs w:val="20"/>
        </w:rPr>
      </w:pPr>
      <w:r w:rsidRPr="00503014">
        <w:rPr>
          <w:rFonts w:cstheme="minorHAnsi"/>
          <w:color w:val="000000"/>
          <w:sz w:val="20"/>
          <w:szCs w:val="20"/>
        </w:rPr>
        <w:t xml:space="preserve">* povprečna prisotnost posameznika glede na število delovnih dni v letu - število delovnih dni je znašalo 251 dni </w:t>
      </w:r>
    </w:p>
    <w:p w14:paraId="3A78AE1A" w14:textId="77777777" w:rsidR="00695AE2" w:rsidRPr="00503014" w:rsidRDefault="00695AE2" w:rsidP="00695AE2">
      <w:pPr>
        <w:spacing w:line="240" w:lineRule="auto"/>
        <w:jc w:val="both"/>
        <w:rPr>
          <w:rFonts w:cstheme="minorHAnsi"/>
          <w:color w:val="000000"/>
          <w:sz w:val="20"/>
          <w:szCs w:val="20"/>
        </w:rPr>
      </w:pPr>
    </w:p>
    <w:p w14:paraId="1410B682" w14:textId="77777777" w:rsidR="00695AE2" w:rsidRPr="00503014" w:rsidRDefault="00695AE2" w:rsidP="00695AE2">
      <w:pPr>
        <w:spacing w:line="240" w:lineRule="auto"/>
        <w:jc w:val="both"/>
        <w:rPr>
          <w:rFonts w:cstheme="minorHAnsi"/>
          <w:b/>
          <w:color w:val="007466"/>
          <w:sz w:val="20"/>
          <w:szCs w:val="20"/>
        </w:rPr>
      </w:pPr>
    </w:p>
    <w:p w14:paraId="6036577E" w14:textId="77777777" w:rsidR="00695AE2" w:rsidRPr="00503014" w:rsidRDefault="00695AE2" w:rsidP="00695AE2">
      <w:pPr>
        <w:spacing w:line="240" w:lineRule="auto"/>
        <w:jc w:val="both"/>
        <w:rPr>
          <w:rFonts w:cstheme="minorHAnsi"/>
          <w:b/>
          <w:color w:val="007466"/>
          <w:sz w:val="20"/>
          <w:szCs w:val="20"/>
        </w:rPr>
      </w:pPr>
      <w:r w:rsidRPr="00503014">
        <w:rPr>
          <w:rFonts w:cstheme="minorHAnsi"/>
          <w:b/>
          <w:color w:val="007466"/>
          <w:sz w:val="20"/>
          <w:szCs w:val="20"/>
        </w:rPr>
        <w:t>Tabela 2: Prikaz načrtovanih in zasedenih delovnih mest drugih javnih uslužbencev državnega odvetništva na dan 31. 12. preteklega leta</w:t>
      </w:r>
    </w:p>
    <w:p w14:paraId="1FC75471" w14:textId="77777777" w:rsidR="00695AE2" w:rsidRPr="00503014" w:rsidRDefault="00695AE2" w:rsidP="00695AE2">
      <w:pPr>
        <w:spacing w:line="240" w:lineRule="auto"/>
        <w:jc w:val="both"/>
        <w:rPr>
          <w:rFonts w:cstheme="minorHAnsi"/>
          <w:b/>
          <w:color w:val="007466"/>
          <w:sz w:val="20"/>
          <w:szCs w:val="20"/>
        </w:rPr>
      </w:pPr>
    </w:p>
    <w:tbl>
      <w:tblPr>
        <w:tblStyle w:val="Tabelamrea"/>
        <w:tblW w:w="0" w:type="auto"/>
        <w:tblLook w:val="04A0" w:firstRow="1" w:lastRow="0" w:firstColumn="1" w:lastColumn="0" w:noHBand="0" w:noVBand="1"/>
      </w:tblPr>
      <w:tblGrid>
        <w:gridCol w:w="2938"/>
        <w:gridCol w:w="2930"/>
        <w:gridCol w:w="2926"/>
      </w:tblGrid>
      <w:tr w:rsidR="00695AE2" w:rsidRPr="00503014" w14:paraId="5FD2CA2C" w14:textId="77777777" w:rsidTr="00980493">
        <w:tc>
          <w:tcPr>
            <w:tcW w:w="2938" w:type="dxa"/>
          </w:tcPr>
          <w:p w14:paraId="3CFF3A75" w14:textId="77777777" w:rsidR="00695AE2" w:rsidRPr="00503014" w:rsidRDefault="00695AE2" w:rsidP="00980493">
            <w:pPr>
              <w:jc w:val="right"/>
              <w:rPr>
                <w:rFonts w:cstheme="minorHAnsi"/>
                <w:sz w:val="18"/>
                <w:szCs w:val="18"/>
              </w:rPr>
            </w:pPr>
            <w:r w:rsidRPr="00503014">
              <w:rPr>
                <w:rFonts w:cstheme="minorHAnsi"/>
                <w:sz w:val="18"/>
                <w:szCs w:val="18"/>
              </w:rPr>
              <w:t>drugi javni uslužbenci</w:t>
            </w:r>
          </w:p>
        </w:tc>
        <w:tc>
          <w:tcPr>
            <w:tcW w:w="2930" w:type="dxa"/>
          </w:tcPr>
          <w:p w14:paraId="26727851" w14:textId="17E61785" w:rsidR="00695AE2" w:rsidRPr="00503014" w:rsidRDefault="004624CD" w:rsidP="00980493">
            <w:pPr>
              <w:jc w:val="center"/>
              <w:rPr>
                <w:rFonts w:cstheme="minorHAnsi"/>
                <w:sz w:val="18"/>
                <w:szCs w:val="18"/>
              </w:rPr>
            </w:pPr>
            <w:r>
              <w:rPr>
                <w:rFonts w:cstheme="minorHAnsi"/>
                <w:sz w:val="18"/>
                <w:szCs w:val="18"/>
              </w:rPr>
              <w:t>zasedba</w:t>
            </w:r>
            <w:r w:rsidR="00695AE2" w:rsidRPr="00503014">
              <w:rPr>
                <w:rFonts w:cstheme="minorHAnsi"/>
                <w:sz w:val="18"/>
                <w:szCs w:val="18"/>
              </w:rPr>
              <w:t xml:space="preserve"> skupaj</w:t>
            </w:r>
          </w:p>
        </w:tc>
        <w:tc>
          <w:tcPr>
            <w:tcW w:w="2926" w:type="dxa"/>
          </w:tcPr>
          <w:p w14:paraId="107E7ECA" w14:textId="2A67DCAA" w:rsidR="00695AE2" w:rsidRPr="00503014" w:rsidRDefault="004624CD" w:rsidP="00980493">
            <w:pPr>
              <w:jc w:val="center"/>
              <w:rPr>
                <w:rFonts w:cstheme="minorHAnsi"/>
                <w:sz w:val="18"/>
                <w:szCs w:val="18"/>
              </w:rPr>
            </w:pPr>
            <w:r>
              <w:rPr>
                <w:rFonts w:cstheme="minorHAnsi"/>
                <w:sz w:val="18"/>
                <w:szCs w:val="18"/>
              </w:rPr>
              <w:t>načrt</w:t>
            </w:r>
            <w:r w:rsidR="00695AE2" w:rsidRPr="00503014">
              <w:rPr>
                <w:rFonts w:cstheme="minorHAnsi"/>
                <w:sz w:val="18"/>
                <w:szCs w:val="18"/>
              </w:rPr>
              <w:t xml:space="preserve"> skupaj</w:t>
            </w:r>
          </w:p>
        </w:tc>
      </w:tr>
      <w:tr w:rsidR="00695AE2" w:rsidRPr="00503014" w14:paraId="788BAD06" w14:textId="77777777" w:rsidTr="00980493">
        <w:tc>
          <w:tcPr>
            <w:tcW w:w="2938" w:type="dxa"/>
          </w:tcPr>
          <w:p w14:paraId="34A2DC11" w14:textId="77777777" w:rsidR="00695AE2" w:rsidRPr="00503014" w:rsidRDefault="00695AE2" w:rsidP="00980493">
            <w:pPr>
              <w:rPr>
                <w:rFonts w:cstheme="minorHAnsi"/>
                <w:sz w:val="18"/>
                <w:szCs w:val="18"/>
              </w:rPr>
            </w:pPr>
            <w:r w:rsidRPr="00503014">
              <w:rPr>
                <w:rFonts w:cstheme="minorHAnsi"/>
                <w:sz w:val="18"/>
                <w:szCs w:val="18"/>
              </w:rPr>
              <w:t>sedež v Ljubljani</w:t>
            </w:r>
          </w:p>
        </w:tc>
        <w:tc>
          <w:tcPr>
            <w:tcW w:w="2930" w:type="dxa"/>
          </w:tcPr>
          <w:p w14:paraId="66E14919" w14:textId="77777777" w:rsidR="00695AE2" w:rsidRPr="00503014" w:rsidRDefault="00695AE2" w:rsidP="00980493">
            <w:pPr>
              <w:jc w:val="center"/>
              <w:rPr>
                <w:rFonts w:cstheme="minorHAnsi"/>
                <w:sz w:val="18"/>
                <w:szCs w:val="18"/>
              </w:rPr>
            </w:pPr>
            <w:r w:rsidRPr="00503014">
              <w:rPr>
                <w:rFonts w:cstheme="minorHAnsi"/>
                <w:sz w:val="18"/>
                <w:szCs w:val="18"/>
              </w:rPr>
              <w:t>66</w:t>
            </w:r>
          </w:p>
        </w:tc>
        <w:tc>
          <w:tcPr>
            <w:tcW w:w="2926" w:type="dxa"/>
          </w:tcPr>
          <w:p w14:paraId="6BBE2483" w14:textId="77777777" w:rsidR="00695AE2" w:rsidRPr="00503014" w:rsidRDefault="00695AE2" w:rsidP="00980493">
            <w:pPr>
              <w:jc w:val="center"/>
              <w:rPr>
                <w:rFonts w:cstheme="minorHAnsi"/>
                <w:sz w:val="18"/>
                <w:szCs w:val="18"/>
              </w:rPr>
            </w:pPr>
            <w:r w:rsidRPr="00503014">
              <w:rPr>
                <w:rFonts w:cstheme="minorHAnsi"/>
                <w:sz w:val="18"/>
                <w:szCs w:val="18"/>
              </w:rPr>
              <w:t>71</w:t>
            </w:r>
          </w:p>
        </w:tc>
      </w:tr>
      <w:tr w:rsidR="00695AE2" w:rsidRPr="00503014" w14:paraId="54C5028D" w14:textId="77777777" w:rsidTr="00980493">
        <w:tc>
          <w:tcPr>
            <w:tcW w:w="2938" w:type="dxa"/>
          </w:tcPr>
          <w:p w14:paraId="2179ADB3" w14:textId="77777777" w:rsidR="00695AE2" w:rsidRPr="00503014" w:rsidRDefault="00695AE2" w:rsidP="00980493">
            <w:pPr>
              <w:rPr>
                <w:rFonts w:cstheme="minorHAnsi"/>
                <w:sz w:val="18"/>
                <w:szCs w:val="18"/>
              </w:rPr>
            </w:pPr>
            <w:r w:rsidRPr="00503014">
              <w:rPr>
                <w:rFonts w:cstheme="minorHAnsi"/>
                <w:sz w:val="18"/>
                <w:szCs w:val="18"/>
              </w:rPr>
              <w:t>Zunanji oddelek v Mariboru</w:t>
            </w:r>
          </w:p>
        </w:tc>
        <w:tc>
          <w:tcPr>
            <w:tcW w:w="2930" w:type="dxa"/>
          </w:tcPr>
          <w:p w14:paraId="540982DE" w14:textId="77777777" w:rsidR="00695AE2" w:rsidRPr="00503014" w:rsidRDefault="00695AE2" w:rsidP="00980493">
            <w:pPr>
              <w:jc w:val="center"/>
              <w:rPr>
                <w:rFonts w:cstheme="minorHAnsi"/>
                <w:sz w:val="18"/>
                <w:szCs w:val="18"/>
              </w:rPr>
            </w:pPr>
            <w:r w:rsidRPr="00503014">
              <w:rPr>
                <w:rFonts w:cstheme="minorHAnsi"/>
                <w:sz w:val="18"/>
                <w:szCs w:val="18"/>
              </w:rPr>
              <w:t>10</w:t>
            </w:r>
          </w:p>
        </w:tc>
        <w:tc>
          <w:tcPr>
            <w:tcW w:w="2926" w:type="dxa"/>
          </w:tcPr>
          <w:p w14:paraId="0BEE6C7F" w14:textId="77777777" w:rsidR="00695AE2" w:rsidRPr="00503014" w:rsidRDefault="00695AE2" w:rsidP="00980493">
            <w:pPr>
              <w:jc w:val="center"/>
              <w:rPr>
                <w:rFonts w:cstheme="minorHAnsi"/>
                <w:sz w:val="18"/>
                <w:szCs w:val="18"/>
              </w:rPr>
            </w:pPr>
            <w:r w:rsidRPr="00503014">
              <w:rPr>
                <w:rFonts w:cstheme="minorHAnsi"/>
                <w:sz w:val="18"/>
                <w:szCs w:val="18"/>
              </w:rPr>
              <w:t>11</w:t>
            </w:r>
          </w:p>
        </w:tc>
      </w:tr>
      <w:tr w:rsidR="00695AE2" w:rsidRPr="00503014" w14:paraId="569D74C0" w14:textId="77777777" w:rsidTr="00980493">
        <w:tc>
          <w:tcPr>
            <w:tcW w:w="2938" w:type="dxa"/>
          </w:tcPr>
          <w:p w14:paraId="24FFC0D4" w14:textId="77777777" w:rsidR="00695AE2" w:rsidRPr="00503014" w:rsidRDefault="00695AE2" w:rsidP="00980493">
            <w:pPr>
              <w:rPr>
                <w:rFonts w:cstheme="minorHAnsi"/>
                <w:sz w:val="18"/>
                <w:szCs w:val="18"/>
              </w:rPr>
            </w:pPr>
            <w:r w:rsidRPr="00503014">
              <w:rPr>
                <w:rFonts w:cstheme="minorHAnsi"/>
                <w:sz w:val="18"/>
                <w:szCs w:val="18"/>
              </w:rPr>
              <w:t>Zunanji oddelek v Celju</w:t>
            </w:r>
          </w:p>
        </w:tc>
        <w:tc>
          <w:tcPr>
            <w:tcW w:w="2930" w:type="dxa"/>
          </w:tcPr>
          <w:p w14:paraId="0295442F" w14:textId="77777777" w:rsidR="00695AE2" w:rsidRPr="00503014" w:rsidRDefault="00695AE2" w:rsidP="00980493">
            <w:pPr>
              <w:jc w:val="center"/>
              <w:rPr>
                <w:rFonts w:cstheme="minorHAnsi"/>
                <w:sz w:val="18"/>
                <w:szCs w:val="18"/>
              </w:rPr>
            </w:pPr>
            <w:r w:rsidRPr="00503014">
              <w:rPr>
                <w:rFonts w:cstheme="minorHAnsi"/>
                <w:sz w:val="18"/>
                <w:szCs w:val="18"/>
              </w:rPr>
              <w:t>7</w:t>
            </w:r>
          </w:p>
        </w:tc>
        <w:tc>
          <w:tcPr>
            <w:tcW w:w="2926" w:type="dxa"/>
          </w:tcPr>
          <w:p w14:paraId="33657746" w14:textId="77777777" w:rsidR="00695AE2" w:rsidRPr="00503014" w:rsidRDefault="00695AE2" w:rsidP="00980493">
            <w:pPr>
              <w:jc w:val="center"/>
              <w:rPr>
                <w:rFonts w:cstheme="minorHAnsi"/>
                <w:sz w:val="18"/>
                <w:szCs w:val="18"/>
              </w:rPr>
            </w:pPr>
            <w:r w:rsidRPr="00503014">
              <w:rPr>
                <w:rFonts w:cstheme="minorHAnsi"/>
                <w:sz w:val="18"/>
                <w:szCs w:val="18"/>
              </w:rPr>
              <w:t>8</w:t>
            </w:r>
          </w:p>
        </w:tc>
      </w:tr>
      <w:tr w:rsidR="00695AE2" w:rsidRPr="00503014" w14:paraId="60F0F2B6" w14:textId="77777777" w:rsidTr="00980493">
        <w:tc>
          <w:tcPr>
            <w:tcW w:w="2938" w:type="dxa"/>
          </w:tcPr>
          <w:p w14:paraId="7194BCB1" w14:textId="77777777" w:rsidR="00695AE2" w:rsidRPr="00503014" w:rsidRDefault="00695AE2" w:rsidP="00980493">
            <w:pPr>
              <w:rPr>
                <w:rFonts w:cstheme="minorHAnsi"/>
                <w:sz w:val="18"/>
                <w:szCs w:val="18"/>
              </w:rPr>
            </w:pPr>
            <w:r w:rsidRPr="00503014">
              <w:rPr>
                <w:rFonts w:cstheme="minorHAnsi"/>
                <w:sz w:val="18"/>
                <w:szCs w:val="18"/>
              </w:rPr>
              <w:t>Zunanji oddelek v Kopru</w:t>
            </w:r>
          </w:p>
        </w:tc>
        <w:tc>
          <w:tcPr>
            <w:tcW w:w="2930" w:type="dxa"/>
          </w:tcPr>
          <w:p w14:paraId="7217D56C" w14:textId="77777777" w:rsidR="00695AE2" w:rsidRPr="00503014" w:rsidRDefault="00695AE2" w:rsidP="00980493">
            <w:pPr>
              <w:jc w:val="center"/>
              <w:rPr>
                <w:rFonts w:cstheme="minorHAnsi"/>
                <w:sz w:val="18"/>
                <w:szCs w:val="18"/>
              </w:rPr>
            </w:pPr>
            <w:r w:rsidRPr="00503014">
              <w:rPr>
                <w:rFonts w:cstheme="minorHAnsi"/>
                <w:sz w:val="18"/>
                <w:szCs w:val="18"/>
              </w:rPr>
              <w:t>6</w:t>
            </w:r>
          </w:p>
        </w:tc>
        <w:tc>
          <w:tcPr>
            <w:tcW w:w="2926" w:type="dxa"/>
          </w:tcPr>
          <w:p w14:paraId="17638BA5" w14:textId="77777777" w:rsidR="00695AE2" w:rsidRPr="00503014" w:rsidRDefault="00695AE2" w:rsidP="00980493">
            <w:pPr>
              <w:jc w:val="center"/>
              <w:rPr>
                <w:rFonts w:cstheme="minorHAnsi"/>
                <w:sz w:val="18"/>
                <w:szCs w:val="18"/>
              </w:rPr>
            </w:pPr>
            <w:r w:rsidRPr="00503014">
              <w:rPr>
                <w:rFonts w:cstheme="minorHAnsi"/>
                <w:sz w:val="18"/>
                <w:szCs w:val="18"/>
              </w:rPr>
              <w:t>6</w:t>
            </w:r>
          </w:p>
        </w:tc>
      </w:tr>
      <w:tr w:rsidR="00695AE2" w:rsidRPr="00503014" w14:paraId="2BCB0A0D" w14:textId="77777777" w:rsidTr="00980493">
        <w:tc>
          <w:tcPr>
            <w:tcW w:w="2938" w:type="dxa"/>
          </w:tcPr>
          <w:p w14:paraId="169C0BAF" w14:textId="77777777" w:rsidR="00695AE2" w:rsidRPr="00503014" w:rsidRDefault="00695AE2" w:rsidP="00980493">
            <w:pPr>
              <w:rPr>
                <w:rFonts w:cstheme="minorHAnsi"/>
                <w:sz w:val="18"/>
                <w:szCs w:val="18"/>
              </w:rPr>
            </w:pPr>
            <w:r w:rsidRPr="00503014">
              <w:rPr>
                <w:rFonts w:cstheme="minorHAnsi"/>
                <w:sz w:val="18"/>
                <w:szCs w:val="18"/>
              </w:rPr>
              <w:t>Zunanji oddelek v Kranju</w:t>
            </w:r>
          </w:p>
        </w:tc>
        <w:tc>
          <w:tcPr>
            <w:tcW w:w="2930" w:type="dxa"/>
          </w:tcPr>
          <w:p w14:paraId="7B78EAB3" w14:textId="77777777" w:rsidR="00695AE2" w:rsidRPr="00503014" w:rsidRDefault="00695AE2" w:rsidP="00980493">
            <w:pPr>
              <w:jc w:val="center"/>
              <w:rPr>
                <w:rFonts w:cstheme="minorHAnsi"/>
                <w:sz w:val="18"/>
                <w:szCs w:val="18"/>
              </w:rPr>
            </w:pPr>
            <w:r w:rsidRPr="00503014">
              <w:rPr>
                <w:rFonts w:cstheme="minorHAnsi"/>
                <w:sz w:val="18"/>
                <w:szCs w:val="18"/>
              </w:rPr>
              <w:t>4</w:t>
            </w:r>
          </w:p>
        </w:tc>
        <w:tc>
          <w:tcPr>
            <w:tcW w:w="2926" w:type="dxa"/>
          </w:tcPr>
          <w:p w14:paraId="68D0C2B8" w14:textId="77777777" w:rsidR="00695AE2" w:rsidRPr="00503014" w:rsidRDefault="00695AE2" w:rsidP="00980493">
            <w:pPr>
              <w:jc w:val="center"/>
              <w:rPr>
                <w:rFonts w:cstheme="minorHAnsi"/>
                <w:sz w:val="18"/>
                <w:szCs w:val="18"/>
              </w:rPr>
            </w:pPr>
            <w:r w:rsidRPr="00503014">
              <w:rPr>
                <w:rFonts w:cstheme="minorHAnsi"/>
                <w:sz w:val="18"/>
                <w:szCs w:val="18"/>
              </w:rPr>
              <w:t>5</w:t>
            </w:r>
          </w:p>
        </w:tc>
      </w:tr>
      <w:tr w:rsidR="00695AE2" w:rsidRPr="00503014" w14:paraId="51B822BC" w14:textId="77777777" w:rsidTr="00980493">
        <w:tc>
          <w:tcPr>
            <w:tcW w:w="2938" w:type="dxa"/>
          </w:tcPr>
          <w:p w14:paraId="274D5C35" w14:textId="77777777" w:rsidR="00695AE2" w:rsidRPr="00503014" w:rsidRDefault="00695AE2" w:rsidP="00980493">
            <w:pPr>
              <w:rPr>
                <w:rFonts w:cstheme="minorHAnsi"/>
                <w:sz w:val="18"/>
                <w:szCs w:val="18"/>
              </w:rPr>
            </w:pPr>
            <w:r w:rsidRPr="00503014">
              <w:rPr>
                <w:rFonts w:cstheme="minorHAnsi"/>
                <w:sz w:val="18"/>
                <w:szCs w:val="18"/>
              </w:rPr>
              <w:t>Zunanji oddelek v Murski Soboti</w:t>
            </w:r>
          </w:p>
        </w:tc>
        <w:tc>
          <w:tcPr>
            <w:tcW w:w="2930" w:type="dxa"/>
          </w:tcPr>
          <w:p w14:paraId="5DD71BAB" w14:textId="77777777" w:rsidR="00695AE2" w:rsidRPr="00503014" w:rsidRDefault="00695AE2" w:rsidP="00980493">
            <w:pPr>
              <w:jc w:val="center"/>
              <w:rPr>
                <w:rFonts w:cstheme="minorHAnsi"/>
                <w:sz w:val="18"/>
                <w:szCs w:val="18"/>
              </w:rPr>
            </w:pPr>
            <w:r w:rsidRPr="00503014">
              <w:rPr>
                <w:rFonts w:cstheme="minorHAnsi"/>
                <w:sz w:val="18"/>
                <w:szCs w:val="18"/>
              </w:rPr>
              <w:t>6</w:t>
            </w:r>
          </w:p>
        </w:tc>
        <w:tc>
          <w:tcPr>
            <w:tcW w:w="2926" w:type="dxa"/>
          </w:tcPr>
          <w:p w14:paraId="204D54BA" w14:textId="77777777" w:rsidR="00695AE2" w:rsidRPr="00503014" w:rsidRDefault="00695AE2" w:rsidP="00980493">
            <w:pPr>
              <w:jc w:val="center"/>
              <w:rPr>
                <w:rFonts w:cstheme="minorHAnsi"/>
                <w:sz w:val="18"/>
                <w:szCs w:val="18"/>
              </w:rPr>
            </w:pPr>
            <w:r w:rsidRPr="00503014">
              <w:rPr>
                <w:rFonts w:cstheme="minorHAnsi"/>
                <w:sz w:val="18"/>
                <w:szCs w:val="18"/>
              </w:rPr>
              <w:t>6</w:t>
            </w:r>
          </w:p>
        </w:tc>
      </w:tr>
      <w:tr w:rsidR="00695AE2" w:rsidRPr="00503014" w14:paraId="7A68310E" w14:textId="77777777" w:rsidTr="00980493">
        <w:tc>
          <w:tcPr>
            <w:tcW w:w="2938" w:type="dxa"/>
          </w:tcPr>
          <w:p w14:paraId="201964DC" w14:textId="77777777" w:rsidR="00695AE2" w:rsidRPr="00503014" w:rsidRDefault="00695AE2" w:rsidP="00980493">
            <w:pPr>
              <w:rPr>
                <w:rFonts w:cstheme="minorHAnsi"/>
                <w:sz w:val="18"/>
                <w:szCs w:val="18"/>
              </w:rPr>
            </w:pPr>
            <w:r w:rsidRPr="00503014">
              <w:rPr>
                <w:rFonts w:cstheme="minorHAnsi"/>
                <w:sz w:val="18"/>
                <w:szCs w:val="18"/>
              </w:rPr>
              <w:t>Zunanji oddelek v Novi Gorici</w:t>
            </w:r>
          </w:p>
        </w:tc>
        <w:tc>
          <w:tcPr>
            <w:tcW w:w="2930" w:type="dxa"/>
          </w:tcPr>
          <w:p w14:paraId="093F083E" w14:textId="77777777" w:rsidR="00695AE2" w:rsidRPr="00503014" w:rsidRDefault="00695AE2" w:rsidP="00980493">
            <w:pPr>
              <w:jc w:val="center"/>
              <w:rPr>
                <w:rFonts w:cstheme="minorHAnsi"/>
                <w:sz w:val="18"/>
                <w:szCs w:val="18"/>
              </w:rPr>
            </w:pPr>
            <w:r w:rsidRPr="00503014">
              <w:rPr>
                <w:rFonts w:cstheme="minorHAnsi"/>
                <w:sz w:val="18"/>
                <w:szCs w:val="18"/>
              </w:rPr>
              <w:t>4</w:t>
            </w:r>
          </w:p>
        </w:tc>
        <w:tc>
          <w:tcPr>
            <w:tcW w:w="2926" w:type="dxa"/>
          </w:tcPr>
          <w:p w14:paraId="522BEE77" w14:textId="77777777" w:rsidR="00695AE2" w:rsidRPr="00503014" w:rsidRDefault="00695AE2" w:rsidP="00980493">
            <w:pPr>
              <w:jc w:val="center"/>
              <w:rPr>
                <w:rFonts w:cstheme="minorHAnsi"/>
                <w:sz w:val="18"/>
                <w:szCs w:val="18"/>
              </w:rPr>
            </w:pPr>
            <w:r w:rsidRPr="00503014">
              <w:rPr>
                <w:rFonts w:cstheme="minorHAnsi"/>
                <w:sz w:val="18"/>
                <w:szCs w:val="18"/>
              </w:rPr>
              <w:t>5</w:t>
            </w:r>
          </w:p>
        </w:tc>
      </w:tr>
      <w:tr w:rsidR="00695AE2" w:rsidRPr="00503014" w14:paraId="52983F37" w14:textId="77777777" w:rsidTr="00980493">
        <w:tc>
          <w:tcPr>
            <w:tcW w:w="2938" w:type="dxa"/>
          </w:tcPr>
          <w:p w14:paraId="0A2EE086" w14:textId="77777777" w:rsidR="00695AE2" w:rsidRPr="00503014" w:rsidRDefault="00695AE2" w:rsidP="00980493">
            <w:pPr>
              <w:rPr>
                <w:rFonts w:cstheme="minorHAnsi"/>
                <w:sz w:val="18"/>
                <w:szCs w:val="18"/>
              </w:rPr>
            </w:pPr>
            <w:r w:rsidRPr="00503014">
              <w:rPr>
                <w:rFonts w:cstheme="minorHAnsi"/>
                <w:sz w:val="18"/>
                <w:szCs w:val="18"/>
              </w:rPr>
              <w:t>Zunanji oddelek v Novem mestu</w:t>
            </w:r>
          </w:p>
        </w:tc>
        <w:tc>
          <w:tcPr>
            <w:tcW w:w="2930" w:type="dxa"/>
          </w:tcPr>
          <w:p w14:paraId="436820AA" w14:textId="77777777" w:rsidR="00695AE2" w:rsidRPr="00503014" w:rsidRDefault="00695AE2" w:rsidP="00980493">
            <w:pPr>
              <w:jc w:val="center"/>
              <w:rPr>
                <w:rFonts w:cstheme="minorHAnsi"/>
                <w:sz w:val="18"/>
                <w:szCs w:val="18"/>
              </w:rPr>
            </w:pPr>
            <w:r w:rsidRPr="00503014">
              <w:rPr>
                <w:rFonts w:cstheme="minorHAnsi"/>
                <w:sz w:val="18"/>
                <w:szCs w:val="18"/>
              </w:rPr>
              <w:t>5</w:t>
            </w:r>
          </w:p>
        </w:tc>
        <w:tc>
          <w:tcPr>
            <w:tcW w:w="2926" w:type="dxa"/>
          </w:tcPr>
          <w:p w14:paraId="0CB9E524" w14:textId="77777777" w:rsidR="00695AE2" w:rsidRPr="00503014" w:rsidRDefault="00695AE2" w:rsidP="00980493">
            <w:pPr>
              <w:jc w:val="center"/>
              <w:rPr>
                <w:rFonts w:cstheme="minorHAnsi"/>
                <w:sz w:val="18"/>
                <w:szCs w:val="18"/>
              </w:rPr>
            </w:pPr>
            <w:r w:rsidRPr="00503014">
              <w:rPr>
                <w:rFonts w:cstheme="minorHAnsi"/>
                <w:sz w:val="18"/>
                <w:szCs w:val="18"/>
              </w:rPr>
              <w:t>6</w:t>
            </w:r>
          </w:p>
        </w:tc>
      </w:tr>
      <w:tr w:rsidR="00695AE2" w:rsidRPr="00503014" w14:paraId="0A4C64B6" w14:textId="77777777" w:rsidTr="00980493">
        <w:tc>
          <w:tcPr>
            <w:tcW w:w="2938" w:type="dxa"/>
          </w:tcPr>
          <w:p w14:paraId="35BDF01B" w14:textId="77777777" w:rsidR="00695AE2" w:rsidRPr="00503014" w:rsidRDefault="00695AE2" w:rsidP="00980493">
            <w:pPr>
              <w:rPr>
                <w:rFonts w:cstheme="minorHAnsi"/>
                <w:sz w:val="18"/>
                <w:szCs w:val="18"/>
              </w:rPr>
            </w:pPr>
            <w:r w:rsidRPr="00503014">
              <w:rPr>
                <w:rFonts w:cstheme="minorHAnsi"/>
                <w:sz w:val="18"/>
                <w:szCs w:val="18"/>
              </w:rPr>
              <w:t>Zunanji oddelek na Ptuju</w:t>
            </w:r>
          </w:p>
        </w:tc>
        <w:tc>
          <w:tcPr>
            <w:tcW w:w="2930" w:type="dxa"/>
          </w:tcPr>
          <w:p w14:paraId="52B10E74" w14:textId="77777777" w:rsidR="00695AE2" w:rsidRPr="00503014" w:rsidRDefault="00695AE2" w:rsidP="00980493">
            <w:pPr>
              <w:jc w:val="center"/>
              <w:rPr>
                <w:rFonts w:cstheme="minorHAnsi"/>
                <w:sz w:val="18"/>
                <w:szCs w:val="18"/>
              </w:rPr>
            </w:pPr>
            <w:r w:rsidRPr="00503014">
              <w:rPr>
                <w:rFonts w:cstheme="minorHAnsi"/>
                <w:sz w:val="18"/>
                <w:szCs w:val="18"/>
              </w:rPr>
              <w:t>5</w:t>
            </w:r>
          </w:p>
        </w:tc>
        <w:tc>
          <w:tcPr>
            <w:tcW w:w="2926" w:type="dxa"/>
          </w:tcPr>
          <w:p w14:paraId="6D845F64" w14:textId="77777777" w:rsidR="00695AE2" w:rsidRPr="00503014" w:rsidRDefault="00695AE2" w:rsidP="00980493">
            <w:pPr>
              <w:jc w:val="center"/>
              <w:rPr>
                <w:rFonts w:cstheme="minorHAnsi"/>
                <w:sz w:val="18"/>
                <w:szCs w:val="18"/>
              </w:rPr>
            </w:pPr>
            <w:r w:rsidRPr="00503014">
              <w:rPr>
                <w:rFonts w:cstheme="minorHAnsi"/>
                <w:sz w:val="18"/>
                <w:szCs w:val="18"/>
              </w:rPr>
              <w:t>5</w:t>
            </w:r>
          </w:p>
        </w:tc>
      </w:tr>
      <w:tr w:rsidR="00695AE2" w:rsidRPr="00503014" w14:paraId="037746E9" w14:textId="77777777" w:rsidTr="00980493">
        <w:tc>
          <w:tcPr>
            <w:tcW w:w="2938" w:type="dxa"/>
          </w:tcPr>
          <w:p w14:paraId="2FC04474" w14:textId="77777777" w:rsidR="00695AE2" w:rsidRPr="00503014" w:rsidRDefault="00695AE2" w:rsidP="00980493">
            <w:pPr>
              <w:rPr>
                <w:rFonts w:cstheme="minorHAnsi"/>
                <w:b/>
                <w:sz w:val="18"/>
                <w:szCs w:val="18"/>
              </w:rPr>
            </w:pPr>
            <w:r w:rsidRPr="00503014">
              <w:rPr>
                <w:rFonts w:cstheme="minorHAnsi"/>
                <w:b/>
                <w:sz w:val="18"/>
                <w:szCs w:val="18"/>
              </w:rPr>
              <w:t>SKUPAJ</w:t>
            </w:r>
          </w:p>
        </w:tc>
        <w:tc>
          <w:tcPr>
            <w:tcW w:w="2930" w:type="dxa"/>
          </w:tcPr>
          <w:p w14:paraId="7E0EE1AA" w14:textId="77777777" w:rsidR="00695AE2" w:rsidRPr="00503014" w:rsidRDefault="00695AE2" w:rsidP="00980493">
            <w:pPr>
              <w:jc w:val="center"/>
              <w:rPr>
                <w:rFonts w:cstheme="minorHAnsi"/>
                <w:b/>
                <w:sz w:val="18"/>
                <w:szCs w:val="18"/>
              </w:rPr>
            </w:pPr>
            <w:r w:rsidRPr="00503014">
              <w:rPr>
                <w:rFonts w:cstheme="minorHAnsi"/>
                <w:b/>
                <w:sz w:val="18"/>
                <w:szCs w:val="18"/>
              </w:rPr>
              <w:t>113</w:t>
            </w:r>
          </w:p>
        </w:tc>
        <w:tc>
          <w:tcPr>
            <w:tcW w:w="2926" w:type="dxa"/>
          </w:tcPr>
          <w:p w14:paraId="1BF43A8F" w14:textId="77777777" w:rsidR="00695AE2" w:rsidRPr="00503014" w:rsidRDefault="00695AE2" w:rsidP="00980493">
            <w:pPr>
              <w:jc w:val="center"/>
              <w:rPr>
                <w:rFonts w:cstheme="minorHAnsi"/>
                <w:b/>
                <w:sz w:val="18"/>
                <w:szCs w:val="18"/>
              </w:rPr>
            </w:pPr>
            <w:r w:rsidRPr="00503014">
              <w:rPr>
                <w:rFonts w:cstheme="minorHAnsi"/>
                <w:b/>
                <w:sz w:val="18"/>
                <w:szCs w:val="18"/>
              </w:rPr>
              <w:t>123</w:t>
            </w:r>
          </w:p>
        </w:tc>
      </w:tr>
    </w:tbl>
    <w:p w14:paraId="0E39F208" w14:textId="77777777" w:rsidR="00695AE2" w:rsidRPr="00503014" w:rsidRDefault="00695AE2" w:rsidP="00695AE2">
      <w:pPr>
        <w:pStyle w:val="Naslov1"/>
        <w:ind w:left="0" w:firstLine="0"/>
        <w:rPr>
          <w:rFonts w:eastAsia="Times New Roman"/>
        </w:rPr>
      </w:pPr>
      <w:bookmarkStart w:id="35" w:name="_Toc223093701"/>
      <w:bookmarkEnd w:id="34"/>
      <w:r w:rsidRPr="00503014">
        <w:rPr>
          <w:rFonts w:eastAsia="Times New Roman"/>
        </w:rPr>
        <w:lastRenderedPageBreak/>
        <w:t>IZOBRAŽEVALNE DEJAVNOSTI DRŽAVNEGA ODVETNIŠTVA RS</w:t>
      </w:r>
      <w:bookmarkEnd w:id="32"/>
      <w:bookmarkEnd w:id="33"/>
      <w:bookmarkEnd w:id="35"/>
    </w:p>
    <w:p w14:paraId="6006D972" w14:textId="77777777" w:rsidR="00695AE2" w:rsidRPr="00F760BD" w:rsidRDefault="00695AE2" w:rsidP="00695AE2">
      <w:pPr>
        <w:spacing w:line="240" w:lineRule="auto"/>
        <w:jc w:val="both"/>
        <w:rPr>
          <w:rFonts w:eastAsia="Calibri"/>
          <w:sz w:val="36"/>
          <w:szCs w:val="36"/>
        </w:rPr>
      </w:pPr>
    </w:p>
    <w:p w14:paraId="01D0E1A1" w14:textId="77777777" w:rsidR="00695AE2" w:rsidRPr="00503014" w:rsidRDefault="00695AE2" w:rsidP="00695AE2">
      <w:pPr>
        <w:pStyle w:val="Naslov2"/>
      </w:pPr>
      <w:bookmarkStart w:id="36" w:name="_Toc160097122"/>
      <w:bookmarkStart w:id="37" w:name="_Toc191561727"/>
      <w:bookmarkStart w:id="38" w:name="_Toc223093702"/>
      <w:r w:rsidRPr="00F760BD">
        <w:t>Izobraževanje</w:t>
      </w:r>
      <w:r w:rsidRPr="00503014">
        <w:t xml:space="preserve"> zaposlenih na Državnem odvetništvu RS</w:t>
      </w:r>
      <w:bookmarkEnd w:id="36"/>
      <w:bookmarkEnd w:id="37"/>
      <w:bookmarkEnd w:id="38"/>
    </w:p>
    <w:p w14:paraId="456C9097" w14:textId="77777777" w:rsidR="00695AE2" w:rsidRPr="00F760BD" w:rsidRDefault="00695AE2" w:rsidP="00695AE2">
      <w:pPr>
        <w:spacing w:line="240" w:lineRule="auto"/>
        <w:jc w:val="both"/>
        <w:rPr>
          <w:rFonts w:eastAsia="Calibri"/>
          <w:sz w:val="32"/>
          <w:szCs w:val="32"/>
        </w:rPr>
      </w:pPr>
    </w:p>
    <w:p w14:paraId="70F3C60C" w14:textId="77777777" w:rsidR="00695AE2" w:rsidRPr="00503014" w:rsidRDefault="00695AE2" w:rsidP="00695AE2">
      <w:pPr>
        <w:pStyle w:val="Naslov3"/>
      </w:pPr>
      <w:bookmarkStart w:id="39" w:name="_Toc160097123"/>
      <w:bookmarkStart w:id="40" w:name="_Toc191561728"/>
      <w:bookmarkStart w:id="41" w:name="_Toc223093703"/>
      <w:r w:rsidRPr="00503014">
        <w:t>Splošno</w:t>
      </w:r>
      <w:bookmarkEnd w:id="39"/>
      <w:bookmarkEnd w:id="40"/>
      <w:bookmarkEnd w:id="41"/>
    </w:p>
    <w:p w14:paraId="5301BF5B" w14:textId="77777777" w:rsidR="00695AE2" w:rsidRPr="00503014" w:rsidRDefault="00695AE2" w:rsidP="00695AE2">
      <w:pPr>
        <w:spacing w:line="240" w:lineRule="auto"/>
        <w:jc w:val="both"/>
        <w:rPr>
          <w:rFonts w:eastAsia="Calibri"/>
          <w:sz w:val="28"/>
          <w:szCs w:val="28"/>
        </w:rPr>
      </w:pPr>
    </w:p>
    <w:p w14:paraId="0516EFC9"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Usposabljanje zaposlenih povečuje njihovo večopravilnost, kar je v sodobnem, digitaliziranem delovnem okolju ključnega pomena. Dostopnost znanja in izkušenj ter učinkovita izvedba nalog sta tesno povezani s sposobnostjo delovanja v digitalnem okolju. Tak pristop prispeva k boljšemu pretoku informacij, ustvarjanju sinergij v delovnih procesih ter k poenotenemu in več nivojskemu izvajanju skupnih nalog, s čimer se dodatno izboljšuje učinkovitost in uspešnost organizacije.</w:t>
      </w:r>
    </w:p>
    <w:p w14:paraId="5BF9B0CF" w14:textId="77777777" w:rsidR="00695AE2" w:rsidRPr="00503014" w:rsidRDefault="00695AE2" w:rsidP="00695AE2">
      <w:pPr>
        <w:spacing w:line="240" w:lineRule="auto"/>
        <w:jc w:val="both"/>
        <w:rPr>
          <w:rFonts w:eastAsia="Times New Roman"/>
          <w:lang w:eastAsia="sl-SI"/>
        </w:rPr>
      </w:pPr>
    </w:p>
    <w:p w14:paraId="1500D749"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Kot pomemben organ pravosodja mora Državno odvetništvo RS ostati vključeno v sistem dolgoročnega usposabljanja in trajnostnega razvoja kadrov. Zato so na Državnem odvetništvu RS aktivnosti, usmerjene v z</w:t>
      </w:r>
      <w:r w:rsidRPr="00503014">
        <w:rPr>
          <w:rFonts w:eastAsia="Calibri"/>
        </w:rPr>
        <w:t>agotavljanje učinkovitega in kakovostnega usposabljanja vseh zaposlenih na vseh ravneh,</w:t>
      </w:r>
      <w:r w:rsidRPr="00503014">
        <w:rPr>
          <w:rFonts w:eastAsia="Times New Roman"/>
          <w:lang w:eastAsia="sl-SI"/>
        </w:rPr>
        <w:t xml:space="preserve"> vključene med strateške usmeritve</w:t>
      </w:r>
      <w:r w:rsidRPr="00503014">
        <w:rPr>
          <w:rFonts w:eastAsia="Calibri"/>
        </w:rPr>
        <w:t xml:space="preserve"> za nadaljnje delo Državnega odvetništva RS</w:t>
      </w:r>
      <w:r w:rsidRPr="00503014">
        <w:rPr>
          <w:rFonts w:eastAsia="Times New Roman"/>
          <w:lang w:eastAsia="sl-SI"/>
        </w:rPr>
        <w:t xml:space="preserve">, saj prispevajo k učinkovitosti dela, spodbujajo inovativnost in ustvarjalnost ter omogočajo stalno preverjanje kompetentnosti vodstvenega kadra. </w:t>
      </w:r>
    </w:p>
    <w:p w14:paraId="5C4FB614" w14:textId="77777777" w:rsidR="00695AE2" w:rsidRPr="00503014" w:rsidRDefault="00695AE2" w:rsidP="00695AE2">
      <w:pPr>
        <w:spacing w:line="240" w:lineRule="auto"/>
        <w:jc w:val="both"/>
        <w:rPr>
          <w:rFonts w:eastAsia="Times New Roman"/>
          <w:lang w:eastAsia="sl-SI"/>
        </w:rPr>
      </w:pPr>
    </w:p>
    <w:p w14:paraId="7908FDB2"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Skrb za zaščito premoženjskih in drugih pravic ter interesov Republike Slovenije, kot tudi krepitev pravne države, ostaja temeljno vodilo državnih odvetnikov pri izvajanju nalog pravnega svetovanja in zastopanja države in državnih organov pred sodišči. Svetovalna in zastopniška vloga državnih odvetnikov zahteva hitro odzivanje na pravne izzive, ki jih prinašajo spreminjajoče se družbene okoliščine</w:t>
      </w:r>
      <w:r w:rsidRPr="00503014">
        <w:rPr>
          <w:rFonts w:eastAsia="Calibri"/>
        </w:rPr>
        <w:t>.</w:t>
      </w:r>
      <w:r w:rsidRPr="00503014">
        <w:rPr>
          <w:rFonts w:eastAsia="Times New Roman"/>
          <w:lang w:eastAsia="sl-SI"/>
        </w:rPr>
        <w:t xml:space="preserve"> </w:t>
      </w:r>
    </w:p>
    <w:p w14:paraId="68F98D19" w14:textId="77777777" w:rsidR="00695AE2" w:rsidRPr="00503014" w:rsidRDefault="00695AE2" w:rsidP="00695AE2">
      <w:pPr>
        <w:spacing w:line="240" w:lineRule="auto"/>
        <w:jc w:val="both"/>
        <w:rPr>
          <w:rFonts w:eastAsia="Times New Roman"/>
          <w:lang w:eastAsia="sl-SI"/>
        </w:rPr>
      </w:pPr>
    </w:p>
    <w:p w14:paraId="48A6E69A"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Vse te okoliščine poudarjajo potrebo po nenehnem strokovnem izpopolnjevanju državnih odvetnikov, krepitvi njihovega delovanja ter ustrezni podpori, da lahko učinkovito in uspešno zastopajo interese države v vedno bolj zahtevnem pravnem okolju. Zato je strokovno izpopolnjevanje in usposabljanje zaposlenih ključno za pridobivanje in nadgradnjo strokovnega znanja, izboljšanje kakovosti dela ter razvijanje sposobnosti, veščin in kompetenc. </w:t>
      </w:r>
    </w:p>
    <w:p w14:paraId="45E978B6" w14:textId="77777777" w:rsidR="00695AE2" w:rsidRPr="00503014" w:rsidRDefault="00695AE2" w:rsidP="00695AE2">
      <w:pPr>
        <w:spacing w:line="240" w:lineRule="auto"/>
        <w:jc w:val="both"/>
        <w:rPr>
          <w:rFonts w:eastAsia="Calibri"/>
        </w:rPr>
      </w:pPr>
    </w:p>
    <w:p w14:paraId="28C8C4FF"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Izobraževanje je nujno tudi na področju tujih jezikov, primarno zaradi rednega zastopanja države pred mednarodnimi sodišči in arbitražami, pa tudi zaradi spremljanja tuje sodne prakse in udeležbe na strokovnih izobraževanjih. </w:t>
      </w:r>
      <w:r w:rsidRPr="00503014">
        <w:rPr>
          <w:rFonts w:eastAsia="Times New Roman"/>
          <w:lang w:eastAsia="sl-SI"/>
        </w:rPr>
        <w:t>Prav tako je vse večja digitalizacija pravosodnega sistema razlog, da vsi zaposleni potrebujejo usposabljanje na področju uporabe informacijske tehnologije.</w:t>
      </w:r>
    </w:p>
    <w:p w14:paraId="393A2D2C" w14:textId="77777777" w:rsidR="00695AE2" w:rsidRPr="00503014" w:rsidRDefault="00695AE2" w:rsidP="00695AE2">
      <w:pPr>
        <w:spacing w:line="240" w:lineRule="auto"/>
        <w:jc w:val="both"/>
        <w:rPr>
          <w:rFonts w:eastAsia="Times New Roman"/>
          <w:lang w:eastAsia="sl-SI"/>
        </w:rPr>
      </w:pPr>
    </w:p>
    <w:p w14:paraId="07E3D637" w14:textId="77777777" w:rsidR="00695AE2" w:rsidRPr="00503014" w:rsidRDefault="00695AE2" w:rsidP="00695AE2">
      <w:pPr>
        <w:spacing w:line="240" w:lineRule="auto"/>
        <w:jc w:val="both"/>
        <w:rPr>
          <w:rFonts w:eastAsia="Calibri"/>
        </w:rPr>
      </w:pPr>
      <w:r w:rsidRPr="00503014">
        <w:rPr>
          <w:rFonts w:eastAsia="Times New Roman"/>
          <w:lang w:eastAsia="sl-SI"/>
        </w:rPr>
        <w:t xml:space="preserve">Izobraževanje državnih odvetnikov in kandidatov za državne odvetnike se izvaja predvsem prek </w:t>
      </w:r>
      <w:r w:rsidRPr="00503014">
        <w:rPr>
          <w:rFonts w:eastAsia="Calibri"/>
        </w:rPr>
        <w:t>izobraževanj in usposabljanj</w:t>
      </w:r>
      <w:r w:rsidRPr="00503014">
        <w:rPr>
          <w:rFonts w:eastAsia="Times New Roman"/>
          <w:lang w:eastAsia="sl-SI"/>
        </w:rPr>
        <w:t xml:space="preserve">, ki jih organizira Center za izobraževanje v pravosodju (v nadaljevanju: CIP). </w:t>
      </w:r>
      <w:r w:rsidRPr="00503014">
        <w:rPr>
          <w:rFonts w:eastAsia="Calibri"/>
        </w:rPr>
        <w:t xml:space="preserve">Državno odvetništvo RS je tudi član Strokovnega sveta CIP, ki dokončno oblikuje in potrdi vsebine letnega programa dela CIP. Prispevek Državnega odvetništva RS k sooblikovanju letnega programa dela CIP je pomemben, saj opozarja zlati na </w:t>
      </w:r>
      <w:r w:rsidRPr="00503014">
        <w:rPr>
          <w:rFonts w:eastAsia="Times New Roman"/>
          <w:lang w:eastAsia="sl-SI"/>
        </w:rPr>
        <w:t>aktualne vsebine, ki so povezane z varovanjem premoženjskih interesov Republike Slovenije</w:t>
      </w:r>
      <w:r w:rsidRPr="00503014">
        <w:rPr>
          <w:rFonts w:eastAsia="Calibri"/>
        </w:rPr>
        <w:t xml:space="preserve">, prav tako pa </w:t>
      </w:r>
      <w:r w:rsidRPr="00503014">
        <w:rPr>
          <w:rFonts w:eastAsia="Calibri"/>
        </w:rPr>
        <w:lastRenderedPageBreak/>
        <w:t xml:space="preserve">izpostavlja področja, ki so zaradi javnega interesa ali oblastnih ravnanj lahko še posebej občutljiva. </w:t>
      </w:r>
      <w:r w:rsidRPr="00503014">
        <w:rPr>
          <w:rFonts w:eastAsia="Times New Roman"/>
          <w:lang w:eastAsia="sl-SI"/>
        </w:rPr>
        <w:t xml:space="preserve">Zaradi izkušenj z zastopanjem države pred mednarodnimi sodišči lahko Državno odvetništvo RS </w:t>
      </w:r>
      <w:r w:rsidRPr="00503014">
        <w:rPr>
          <w:rFonts w:eastAsia="Calibri"/>
        </w:rPr>
        <w:t>pri sooblikovanju programa</w:t>
      </w:r>
      <w:r w:rsidRPr="00503014">
        <w:rPr>
          <w:rFonts w:eastAsia="Times New Roman"/>
          <w:lang w:eastAsia="sl-SI"/>
        </w:rPr>
        <w:t xml:space="preserve"> CIP pomembno pripomore k razumevanju pravnih vprašanj in tehnik odločanja</w:t>
      </w:r>
      <w:r w:rsidRPr="00503014">
        <w:rPr>
          <w:rFonts w:eastAsia="Calibri"/>
        </w:rPr>
        <w:t xml:space="preserve"> pred temi sodišči, saj njihove odločitve odločilno vplivajo na raven varstva človekovih pravic in temeljnih svoboščin pred nacionalnimi sodišči oziroma so del pravnega reda Republike Slovenije.     </w:t>
      </w:r>
    </w:p>
    <w:p w14:paraId="4A9DBEAB" w14:textId="77777777" w:rsidR="00695AE2" w:rsidRPr="00503014" w:rsidRDefault="00695AE2" w:rsidP="00695AE2">
      <w:pPr>
        <w:spacing w:line="240" w:lineRule="auto"/>
        <w:jc w:val="both"/>
        <w:rPr>
          <w:rFonts w:eastAsia="Calibri"/>
        </w:rPr>
      </w:pPr>
    </w:p>
    <w:p w14:paraId="20A872ED"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Učinkovita zaščita interesov države pa seveda ni odvisna samo od </w:t>
      </w:r>
      <w:r w:rsidRPr="00503014">
        <w:rPr>
          <w:rFonts w:eastAsia="Times New Roman"/>
          <w:lang w:eastAsia="sl-SI"/>
        </w:rPr>
        <w:t xml:space="preserve">pravniškega kadra, ki izvaja zakonsko določene </w:t>
      </w:r>
      <w:r w:rsidRPr="00503014">
        <w:rPr>
          <w:rFonts w:eastAsia="Times New Roman"/>
        </w:rPr>
        <w:t>pristojnosti in naloge Državnega odvetništva RS</w:t>
      </w:r>
      <w:r w:rsidRPr="00503014">
        <w:rPr>
          <w:rFonts w:eastAsia="Times New Roman"/>
          <w:lang w:eastAsia="sl-SI"/>
        </w:rPr>
        <w:t>, pač pa tudi od strokovno usposobljenega administrativnega osebja. V prihodnje je treba posebno pozornost nameniti izobraževanju tega podpornega osebja, za katerega je ključno, da ni zgolj izvrševalec odredb in navodil, temveč da razume pomen svojih nalog za uspešno delovanje celotnega organa. Seznanjenost z osnovnimi pravnimi instituti in širši vpogled v kontekst njihovih nalog sta namreč ključna za večjo odgovornost pri opravljanju posameznih zadolžitev. Večja ozaveščenost podpornega osebja prispeva k izboljšanju kakovosti dela ter k večji učinkovitosti in uspešnosti celotne organizacije. Državno odvetništvo RS si zato prizadeva tudi administrativni kader v čim večji meri vključevati v procese izobraževanja in usposabljanja, in sicer od uvajanja novega zaposlenega do stalnega usposabljanja skozi njegovo kariero, ob upoštevanju zahtev delovnega mesta in izobrazbene ravni posameznika. Državno odvetništvo RS se poleg tega zaveda, da administrativno osebje s svojim strokovnim znanjem, izkušnjami in predanostjo pomembno prispeva k učinkovitemu izvajanju pristojnosti organov v pravosodju, kljub temu pa primerljive raznolikosti izobraževanj, kot to velja za strokovni kader znotraj pravosodja, to osebje ni deležno. Državno odvetništvo RS je zato ob upoštevanju, da so številni izzivi in vprašanja, s katerimi se sooča administrativno osebje v različnih organih pravosodja, vendarle skupni ali vsaj primerljivi, v letu 2025 na CIP naslovilo predlog za uvedbo vsakoletne Šole pravosodnega osebja v formatu, ki sicer velja za ostale šole v organizaciji CIP. CIP je pobudo Državnega odvetništva RS sprejelo in šolo uvrstilo v program izobraževanj za leto 2026.</w:t>
      </w:r>
    </w:p>
    <w:p w14:paraId="794DA88A" w14:textId="77777777" w:rsidR="00695AE2" w:rsidRPr="00503014" w:rsidRDefault="00695AE2" w:rsidP="00695AE2">
      <w:pPr>
        <w:spacing w:line="240" w:lineRule="auto"/>
        <w:jc w:val="both"/>
        <w:rPr>
          <w:rFonts w:eastAsia="Times New Roman"/>
          <w:sz w:val="28"/>
          <w:szCs w:val="28"/>
          <w:lang w:eastAsia="sl-SI"/>
        </w:rPr>
      </w:pPr>
    </w:p>
    <w:p w14:paraId="3347AA0C" w14:textId="77777777" w:rsidR="00695AE2" w:rsidRPr="00503014" w:rsidRDefault="00695AE2" w:rsidP="00695AE2">
      <w:pPr>
        <w:pStyle w:val="Naslov3"/>
      </w:pPr>
      <w:bookmarkStart w:id="42" w:name="_Toc160097124"/>
      <w:bookmarkStart w:id="43" w:name="_Toc191561729"/>
      <w:bookmarkStart w:id="44" w:name="_Toc223093704"/>
      <w:r w:rsidRPr="00503014">
        <w:t>Udeležba na izobraževanjih in usposabljanjih v letu 202</w:t>
      </w:r>
      <w:bookmarkEnd w:id="42"/>
      <w:bookmarkEnd w:id="43"/>
      <w:r w:rsidRPr="00503014">
        <w:t>5</w:t>
      </w:r>
      <w:bookmarkEnd w:id="44"/>
    </w:p>
    <w:p w14:paraId="5F536832" w14:textId="77777777" w:rsidR="00695AE2" w:rsidRPr="00503014" w:rsidRDefault="00695AE2" w:rsidP="00695AE2">
      <w:pPr>
        <w:spacing w:line="240" w:lineRule="auto"/>
        <w:jc w:val="both"/>
        <w:rPr>
          <w:rFonts w:eastAsia="Calibri"/>
          <w:sz w:val="28"/>
          <w:szCs w:val="28"/>
        </w:rPr>
      </w:pPr>
    </w:p>
    <w:p w14:paraId="1DD13E34" w14:textId="77777777" w:rsidR="00695AE2" w:rsidRPr="00F760BD" w:rsidRDefault="00695AE2" w:rsidP="00695AE2">
      <w:pPr>
        <w:pStyle w:val="Naslov4"/>
      </w:pPr>
      <w:bookmarkStart w:id="45" w:name="_Toc160097125"/>
      <w:bookmarkStart w:id="46" w:name="_Toc191561730"/>
      <w:bookmarkStart w:id="47" w:name="_Toc223093705"/>
      <w:r w:rsidRPr="00F760BD">
        <w:t>Pregled udeležb</w:t>
      </w:r>
      <w:bookmarkEnd w:id="45"/>
      <w:bookmarkEnd w:id="46"/>
      <w:bookmarkEnd w:id="47"/>
      <w:r w:rsidRPr="00F760BD">
        <w:t xml:space="preserve"> </w:t>
      </w:r>
    </w:p>
    <w:p w14:paraId="7F4C03EA" w14:textId="77777777" w:rsidR="00695AE2" w:rsidRPr="00503014" w:rsidRDefault="00695AE2" w:rsidP="00695AE2">
      <w:pPr>
        <w:spacing w:line="240" w:lineRule="auto"/>
        <w:jc w:val="both"/>
        <w:rPr>
          <w:rFonts w:eastAsia="Calibri"/>
        </w:rPr>
      </w:pPr>
    </w:p>
    <w:p w14:paraId="223F1C99" w14:textId="77777777" w:rsidR="00695AE2" w:rsidRPr="00503014" w:rsidRDefault="00695AE2" w:rsidP="00695AE2">
      <w:pPr>
        <w:spacing w:line="240" w:lineRule="auto"/>
        <w:jc w:val="both"/>
        <w:rPr>
          <w:rFonts w:eastAsia="Calibri"/>
        </w:rPr>
      </w:pPr>
      <w:r w:rsidRPr="00503014">
        <w:rPr>
          <w:rFonts w:eastAsia="Calibri"/>
        </w:rPr>
        <w:t xml:space="preserve">Državni odvetniki in kandidati za državne odvetnike so se v letu 2025 udeleževali različnih oblik izobraževanj in usposabljanj v organizaciji CIP, pa tudi v organizaciji drugih ponudnikov izobraževalnih vsebin, ki so povezane s področji dela Državnega odvetništva RS. </w:t>
      </w:r>
    </w:p>
    <w:p w14:paraId="6A38E555" w14:textId="77777777" w:rsidR="00695AE2" w:rsidRPr="00503014" w:rsidRDefault="00695AE2" w:rsidP="00695AE2">
      <w:pPr>
        <w:spacing w:line="240" w:lineRule="auto"/>
        <w:jc w:val="both"/>
        <w:rPr>
          <w:rFonts w:eastAsia="Calibri"/>
        </w:rPr>
      </w:pPr>
    </w:p>
    <w:p w14:paraId="23C2E039" w14:textId="77777777" w:rsidR="00695AE2" w:rsidRPr="00503014" w:rsidRDefault="00695AE2" w:rsidP="00695AE2">
      <w:pPr>
        <w:spacing w:line="240" w:lineRule="auto"/>
        <w:jc w:val="both"/>
        <w:rPr>
          <w:rFonts w:eastAsia="Calibri"/>
        </w:rPr>
      </w:pPr>
      <w:r w:rsidRPr="00503014">
        <w:rPr>
          <w:rFonts w:eastAsia="Calibri"/>
        </w:rPr>
        <w:t xml:space="preserve">Ob organizacijski podpori CIP Državno odvetništvo RS vsebinsko in programsko oblikuje tradicionalna dogodka, to je Dneve Državnega odvetništva RS in Izobraževalne dneve Državnega odvetništva RS. Na teh dogodkih se obravnavajo vsebine, ki se nanašajo na delovanje Državnega odvetništva RS kot samostojnega organa, ter strokovne teme s specifičnih pravnih področij zastopanja. Več o omenjenih izobraževalnih dogodkih je predstavljeno v nadaljevanju pod tč. 3.1.2.2 in tč. 3.1.2.3. </w:t>
      </w:r>
    </w:p>
    <w:p w14:paraId="0620A53B" w14:textId="77777777" w:rsidR="00695AE2" w:rsidRPr="00503014" w:rsidRDefault="00695AE2" w:rsidP="00695AE2">
      <w:pPr>
        <w:spacing w:line="240" w:lineRule="auto"/>
        <w:jc w:val="both"/>
        <w:rPr>
          <w:rFonts w:eastAsia="Calibri"/>
        </w:rPr>
      </w:pPr>
    </w:p>
    <w:p w14:paraId="2D6F7697" w14:textId="77777777" w:rsidR="00695AE2" w:rsidRPr="00503014" w:rsidRDefault="00695AE2" w:rsidP="00695AE2">
      <w:pPr>
        <w:spacing w:line="240" w:lineRule="auto"/>
        <w:jc w:val="both"/>
        <w:rPr>
          <w:rFonts w:eastAsia="Calibri"/>
        </w:rPr>
      </w:pPr>
      <w:r w:rsidRPr="00503014">
        <w:rPr>
          <w:rFonts w:eastAsia="Calibri"/>
        </w:rPr>
        <w:t xml:space="preserve">Poleg navedenih izobraževanj so se zaposleni na Državnem odvetništvu RS v letu 2025 udeležili še naslednjih izobraževanj v organizaciji CIP: </w:t>
      </w:r>
    </w:p>
    <w:p w14:paraId="28255480" w14:textId="77777777" w:rsidR="00695AE2" w:rsidRPr="00503014" w:rsidRDefault="00695AE2" w:rsidP="00695AE2">
      <w:pPr>
        <w:spacing w:line="240" w:lineRule="auto"/>
        <w:jc w:val="both"/>
        <w:rPr>
          <w:rFonts w:eastAsia="Calibri"/>
        </w:rPr>
      </w:pPr>
    </w:p>
    <w:p w14:paraId="3B277D94"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lastRenderedPageBreak/>
        <w:t>Izvršilna šola,</w:t>
      </w:r>
    </w:p>
    <w:p w14:paraId="750970C0"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Šola insolvenčnega prava,</w:t>
      </w:r>
    </w:p>
    <w:p w14:paraId="06377BBA"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Civilnopravna sodniška šola,</w:t>
      </w:r>
    </w:p>
    <w:p w14:paraId="1992395B"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Delovno in socialnopravna sodniška šola,</w:t>
      </w:r>
    </w:p>
    <w:p w14:paraId="19AF2709"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Družinskopravna šola,</w:t>
      </w:r>
    </w:p>
    <w:p w14:paraId="6F7948FA"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Gospodarskopravna šola,</w:t>
      </w:r>
    </w:p>
    <w:p w14:paraId="1AF18E51"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 xml:space="preserve">Upravnopravna sodniška šola, </w:t>
      </w:r>
    </w:p>
    <w:p w14:paraId="3FED77B1"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Šola nepravdnega prava,</w:t>
      </w:r>
    </w:p>
    <w:p w14:paraId="141598F8"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Šola za vsebine brezplačne pravne pomoči,</w:t>
      </w:r>
    </w:p>
    <w:p w14:paraId="1B9A2981"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Dan ustavnega prava,</w:t>
      </w:r>
    </w:p>
    <w:p w14:paraId="0436F150"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Dnevi duševnega zdravja,</w:t>
      </w:r>
    </w:p>
    <w:p w14:paraId="4AD44D6C"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Zagotavljanje največje koristi otrok v civilnih sodnih postopkih,</w:t>
      </w:r>
    </w:p>
    <w:p w14:paraId="4DAB0D63" w14:textId="77777777" w:rsidR="00695AE2" w:rsidRPr="00503014" w:rsidRDefault="00695AE2" w:rsidP="00695AE2">
      <w:pPr>
        <w:numPr>
          <w:ilvl w:val="0"/>
          <w:numId w:val="33"/>
        </w:numPr>
        <w:spacing w:line="240" w:lineRule="auto"/>
        <w:contextualSpacing/>
        <w:rPr>
          <w:rFonts w:cstheme="minorHAnsi"/>
          <w:color w:val="000000"/>
          <w:lang w:eastAsia="sl-SI"/>
        </w:rPr>
      </w:pPr>
      <w:r w:rsidRPr="00503014">
        <w:rPr>
          <w:rFonts w:cstheme="minorHAnsi"/>
          <w:color w:val="000000"/>
          <w:lang w:eastAsia="sl-SI"/>
        </w:rPr>
        <w:t>Šola za vodje uradov, kadrovsko-pravnih in finančno-računovodskih služb.</w:t>
      </w:r>
    </w:p>
    <w:p w14:paraId="362D710C" w14:textId="77777777" w:rsidR="00695AE2" w:rsidRPr="00503014" w:rsidRDefault="00695AE2" w:rsidP="00695AE2">
      <w:pPr>
        <w:spacing w:line="240" w:lineRule="auto"/>
        <w:rPr>
          <w:rFonts w:eastAsia="Calibri"/>
          <w:color w:val="000000"/>
          <w:lang w:eastAsia="sl-SI"/>
        </w:rPr>
      </w:pPr>
    </w:p>
    <w:p w14:paraId="0856AA49" w14:textId="77777777" w:rsidR="00695AE2" w:rsidRPr="00503014" w:rsidRDefault="00695AE2" w:rsidP="00695AE2">
      <w:pPr>
        <w:autoSpaceDE w:val="0"/>
        <w:autoSpaceDN w:val="0"/>
        <w:spacing w:line="240" w:lineRule="auto"/>
        <w:jc w:val="both"/>
        <w:rPr>
          <w:rFonts w:eastAsia="Calibri"/>
        </w:rPr>
      </w:pPr>
      <w:r w:rsidRPr="00503014">
        <w:rPr>
          <w:rFonts w:eastAsia="Calibri"/>
        </w:rPr>
        <w:t xml:space="preserve">Zaposleni na Državnem odvetništvu RS so se v letu 2025 udeležili naslednjih izobraževanj v organizaciji Lexpera, d. o. o. (IUS INFO): </w:t>
      </w:r>
    </w:p>
    <w:p w14:paraId="7FCF6C96" w14:textId="77777777" w:rsidR="00695AE2" w:rsidRPr="00503014" w:rsidRDefault="00695AE2" w:rsidP="00695AE2">
      <w:pPr>
        <w:autoSpaceDE w:val="0"/>
        <w:autoSpaceDN w:val="0"/>
        <w:spacing w:line="240" w:lineRule="auto"/>
        <w:jc w:val="both"/>
        <w:rPr>
          <w:rFonts w:eastAsia="Calibri"/>
        </w:rPr>
      </w:pPr>
    </w:p>
    <w:p w14:paraId="5385ADED"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8. Mala šola retorike,</w:t>
      </w:r>
    </w:p>
    <w:p w14:paraId="4A6E4B9E"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Novosti pri obračunu plač v javnem sektorju,</w:t>
      </w:r>
    </w:p>
    <w:p w14:paraId="0457C32B"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51. Dnevi slovenskih pravnikov,</w:t>
      </w:r>
    </w:p>
    <w:p w14:paraId="35E70923"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Aktualne novosti delovnopravne ureditve v pravu EU,</w:t>
      </w:r>
    </w:p>
    <w:p w14:paraId="7B56463F"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Neupravičena obogatitev in restitucijski zahtevki zaradi prenehanja pogodb,</w:t>
      </w:r>
    </w:p>
    <w:p w14:paraId="37D1EA7B"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Priprava pogodb s področja civilno gospodarskega prava,</w:t>
      </w:r>
    </w:p>
    <w:p w14:paraId="0B1D3373"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Mala šola delovnega prava,</w:t>
      </w:r>
    </w:p>
    <w:p w14:paraId="7A4B702E"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3. konferenca Umetna inteligenca in pravo,</w:t>
      </w:r>
    </w:p>
    <w:p w14:paraId="3B1B97C3"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Položaj javnih uslužbencev in funkcionarjev,</w:t>
      </w:r>
    </w:p>
    <w:p w14:paraId="2C99E1D7"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Mala šola javnega naročanja,</w:t>
      </w:r>
    </w:p>
    <w:p w14:paraId="2679D251"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4. Konferenca prava varstva osebnih podatkov,</w:t>
      </w:r>
    </w:p>
    <w:p w14:paraId="2A8645C5"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1. Mala šola o davkih,</w:t>
      </w:r>
    </w:p>
    <w:p w14:paraId="7C2F4FF5"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Dnevi stvarnega in zemljiškoknjižnega prava,</w:t>
      </w:r>
    </w:p>
    <w:p w14:paraId="3E1B6F74"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Plače javnih uslužbencev in funkcionarjev,</w:t>
      </w:r>
    </w:p>
    <w:p w14:paraId="3D8F7BF3"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Dnevi delovnega prava in socialne varnosti,</w:t>
      </w:r>
    </w:p>
    <w:p w14:paraId="4492E5B4"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Veliki kongres javnega naročanja,</w:t>
      </w:r>
    </w:p>
    <w:p w14:paraId="52830EB8" w14:textId="77777777" w:rsidR="00695AE2" w:rsidRPr="00503014" w:rsidRDefault="00695AE2" w:rsidP="00695AE2">
      <w:pPr>
        <w:numPr>
          <w:ilvl w:val="0"/>
          <w:numId w:val="32"/>
        </w:numPr>
        <w:autoSpaceDE w:val="0"/>
        <w:autoSpaceDN w:val="0"/>
        <w:spacing w:line="240" w:lineRule="auto"/>
        <w:contextualSpacing/>
        <w:jc w:val="both"/>
        <w:rPr>
          <w:rFonts w:cstheme="minorHAnsi"/>
        </w:rPr>
      </w:pPr>
      <w:r w:rsidRPr="00503014">
        <w:rPr>
          <w:rFonts w:cstheme="minorHAnsi"/>
        </w:rPr>
        <w:t>Položaj in plače javnih uslužbencev in funkcionarjev,</w:t>
      </w:r>
    </w:p>
    <w:p w14:paraId="08D88B01" w14:textId="77777777" w:rsidR="00695AE2" w:rsidRPr="00503014" w:rsidRDefault="00695AE2" w:rsidP="00695AE2">
      <w:pPr>
        <w:numPr>
          <w:ilvl w:val="0"/>
          <w:numId w:val="32"/>
        </w:numPr>
        <w:autoSpaceDE w:val="0"/>
        <w:autoSpaceDN w:val="0"/>
        <w:spacing w:line="240" w:lineRule="auto"/>
        <w:contextualSpacing/>
        <w:jc w:val="both"/>
        <w:rPr>
          <w:rFonts w:eastAsia="Times New Roman"/>
          <w:color w:val="000000"/>
          <w:lang w:eastAsia="sl-SI"/>
        </w:rPr>
      </w:pPr>
      <w:r w:rsidRPr="00503014">
        <w:rPr>
          <w:rFonts w:cstheme="minorHAnsi"/>
        </w:rPr>
        <w:t>Kibernetski incidenti pod pravnim drobnogledom.</w:t>
      </w:r>
      <w:r w:rsidRPr="00503014" w:rsidDel="0072598C">
        <w:rPr>
          <w:rFonts w:eastAsia="Calibri"/>
        </w:rPr>
        <w:t xml:space="preserve"> </w:t>
      </w:r>
    </w:p>
    <w:p w14:paraId="765956E3" w14:textId="77777777" w:rsidR="00695AE2" w:rsidRPr="00503014" w:rsidRDefault="00695AE2" w:rsidP="00695AE2">
      <w:pPr>
        <w:spacing w:line="240" w:lineRule="auto"/>
        <w:rPr>
          <w:rFonts w:eastAsia="Calibri"/>
          <w:color w:val="000000"/>
          <w:lang w:eastAsia="sl-SI"/>
        </w:rPr>
      </w:pPr>
    </w:p>
    <w:p w14:paraId="5C674523" w14:textId="77777777" w:rsidR="00695AE2" w:rsidRPr="00503014" w:rsidRDefault="00695AE2" w:rsidP="00695AE2">
      <w:pPr>
        <w:spacing w:line="240" w:lineRule="auto"/>
        <w:jc w:val="both"/>
        <w:rPr>
          <w:rFonts w:eastAsia="Calibri"/>
        </w:rPr>
      </w:pPr>
      <w:r w:rsidRPr="00503014">
        <w:rPr>
          <w:rFonts w:eastAsia="Calibri"/>
        </w:rPr>
        <w:t>Zaposleni na Državnem odvetništvu RS so se v letu 2025 udeležili naslednjih izobraževanj v organizaciji Upravne akademije:</w:t>
      </w:r>
    </w:p>
    <w:p w14:paraId="00D44788" w14:textId="77777777" w:rsidR="00695AE2" w:rsidRPr="00503014" w:rsidRDefault="00695AE2" w:rsidP="00695AE2">
      <w:pPr>
        <w:spacing w:line="240" w:lineRule="auto"/>
        <w:jc w:val="both"/>
        <w:rPr>
          <w:rFonts w:eastAsia="Calibri"/>
        </w:rPr>
      </w:pPr>
    </w:p>
    <w:p w14:paraId="6AC8CA86"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Obvezno usposabljanje za imenovanje v naziv (na daljavo),</w:t>
      </w:r>
    </w:p>
    <w:p w14:paraId="340E77A2"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Delo s preglednicami – osnovna raven, nadaljevalna in zahtevna raven,</w:t>
      </w:r>
    </w:p>
    <w:p w14:paraId="2A105818"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Digitalna pismenost 1 in 2,</w:t>
      </w:r>
    </w:p>
    <w:p w14:paraId="50106D2E"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Pravilna raba jezika v spletnih besedilih,</w:t>
      </w:r>
    </w:p>
    <w:p w14:paraId="21395D19"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Napišimo kratko in jasno,</w:t>
      </w:r>
    </w:p>
    <w:p w14:paraId="30B54453"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Učinkovito delo z urejevalniki besedil,</w:t>
      </w:r>
    </w:p>
    <w:p w14:paraId="350AFF7E"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lastRenderedPageBreak/>
        <w:t>Učinkovita priprava in uporaba prosojnic,</w:t>
      </w:r>
    </w:p>
    <w:p w14:paraId="01F8485D"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Komunikacija in delo na daljavo,</w:t>
      </w:r>
    </w:p>
    <w:p w14:paraId="2CFCC51E"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Komunikacija v težavnih situacijah,</w:t>
      </w:r>
    </w:p>
    <w:p w14:paraId="7822E59E"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Umetna inteligenca v javnem sektorju – etični izzivi in odgovorna uporaba,</w:t>
      </w:r>
    </w:p>
    <w:p w14:paraId="6DCFC772"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Uporaba ChatGPT-ja in generativne umetne inteligence v praksi,</w:t>
      </w:r>
    </w:p>
    <w:p w14:paraId="572353BA"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Generativna umetna inteligenca v praksi – uporaba Copilot Chat-a pri delu v javni upravi,</w:t>
      </w:r>
    </w:p>
    <w:p w14:paraId="014FF565" w14:textId="77777777" w:rsidR="00695AE2" w:rsidRPr="00503014" w:rsidRDefault="00695AE2" w:rsidP="00695AE2">
      <w:pPr>
        <w:numPr>
          <w:ilvl w:val="0"/>
          <w:numId w:val="31"/>
        </w:numPr>
        <w:spacing w:line="240" w:lineRule="auto"/>
        <w:contextualSpacing/>
        <w:jc w:val="both"/>
        <w:rPr>
          <w:lang w:eastAsia="sl-SI"/>
        </w:rPr>
      </w:pPr>
      <w:r w:rsidRPr="00503014">
        <w:rPr>
          <w:lang w:eastAsia="sl-SI"/>
        </w:rPr>
        <w:t>IS MOPED_DOCS - osnovno usposabljanje, uporabniška izkušnja.</w:t>
      </w:r>
    </w:p>
    <w:p w14:paraId="7385C99A" w14:textId="77777777" w:rsidR="00695AE2" w:rsidRPr="00503014" w:rsidRDefault="00695AE2" w:rsidP="00695AE2">
      <w:pPr>
        <w:spacing w:line="240" w:lineRule="auto"/>
        <w:rPr>
          <w:rFonts w:eastAsia="Times New Roman"/>
          <w:color w:val="000000"/>
          <w:lang w:eastAsia="sl-SI"/>
        </w:rPr>
      </w:pPr>
    </w:p>
    <w:p w14:paraId="6E9415B3" w14:textId="77777777" w:rsidR="00695AE2" w:rsidRPr="00503014" w:rsidRDefault="00695AE2" w:rsidP="00695AE2">
      <w:pPr>
        <w:spacing w:line="240" w:lineRule="auto"/>
        <w:rPr>
          <w:rFonts w:eastAsia="Times New Roman"/>
          <w:color w:val="000000"/>
          <w:lang w:eastAsia="sl-SI"/>
        </w:rPr>
      </w:pPr>
      <w:r w:rsidRPr="00503014">
        <w:rPr>
          <w:rFonts w:eastAsia="Times New Roman"/>
          <w:color w:val="000000"/>
          <w:lang w:eastAsia="sl-SI"/>
        </w:rPr>
        <w:t>Zaposleni na Državnem odvetništvu RS so se v letu 2025 udeležili naslednjih izobraževanj v organizaciji Tax-Fin-Lex:</w:t>
      </w:r>
    </w:p>
    <w:p w14:paraId="42116A0A" w14:textId="77777777" w:rsidR="00695AE2" w:rsidRPr="00503014" w:rsidRDefault="00695AE2" w:rsidP="00695AE2">
      <w:pPr>
        <w:spacing w:line="240" w:lineRule="auto"/>
        <w:rPr>
          <w:rFonts w:eastAsia="Times New Roman"/>
          <w:color w:val="000000"/>
          <w:lang w:eastAsia="sl-SI"/>
        </w:rPr>
      </w:pPr>
      <w:r w:rsidRPr="00503014">
        <w:rPr>
          <w:rFonts w:eastAsia="Times New Roman"/>
          <w:color w:val="000000"/>
          <w:lang w:eastAsia="sl-SI"/>
        </w:rPr>
        <w:tab/>
      </w:r>
    </w:p>
    <w:p w14:paraId="311DDEC5" w14:textId="77777777" w:rsidR="00695AE2" w:rsidRPr="00503014" w:rsidRDefault="00695AE2" w:rsidP="00695AE2">
      <w:pPr>
        <w:numPr>
          <w:ilvl w:val="0"/>
          <w:numId w:val="28"/>
        </w:numPr>
        <w:spacing w:line="240" w:lineRule="auto"/>
        <w:rPr>
          <w:rFonts w:eastAsia="Times New Roman" w:cstheme="minorHAnsi"/>
          <w:color w:val="000000"/>
          <w:lang w:eastAsia="sl-SI"/>
        </w:rPr>
      </w:pPr>
      <w:r w:rsidRPr="00503014">
        <w:rPr>
          <w:rFonts w:eastAsia="Times New Roman" w:cstheme="minorHAnsi"/>
          <w:color w:val="000000"/>
          <w:lang w:eastAsia="sl-SI"/>
        </w:rPr>
        <w:t>Vpliv dolgotrajne oskrbe na posameznike in gospodarstvo,</w:t>
      </w:r>
    </w:p>
    <w:p w14:paraId="61F7FCF0" w14:textId="77777777" w:rsidR="00695AE2" w:rsidRPr="00503014" w:rsidRDefault="00695AE2" w:rsidP="00695AE2">
      <w:pPr>
        <w:numPr>
          <w:ilvl w:val="0"/>
          <w:numId w:val="28"/>
        </w:numPr>
        <w:spacing w:line="240" w:lineRule="auto"/>
        <w:rPr>
          <w:rFonts w:eastAsia="Times New Roman" w:cstheme="minorHAnsi"/>
          <w:color w:val="000000"/>
          <w:lang w:eastAsia="sl-SI"/>
        </w:rPr>
      </w:pPr>
      <w:r w:rsidRPr="00503014">
        <w:rPr>
          <w:rFonts w:eastAsia="Times New Roman" w:cstheme="minorHAnsi"/>
          <w:color w:val="000000"/>
          <w:lang w:eastAsia="sl-SI"/>
        </w:rPr>
        <w:t>Plače v javnem sektorju in uslužbenski sistem,</w:t>
      </w:r>
    </w:p>
    <w:p w14:paraId="01AF6712" w14:textId="77777777" w:rsidR="00695AE2" w:rsidRPr="00503014" w:rsidRDefault="00695AE2" w:rsidP="00695AE2">
      <w:pPr>
        <w:numPr>
          <w:ilvl w:val="0"/>
          <w:numId w:val="28"/>
        </w:numPr>
        <w:spacing w:line="240" w:lineRule="auto"/>
        <w:rPr>
          <w:rFonts w:eastAsia="Times New Roman" w:cstheme="minorHAnsi"/>
          <w:color w:val="000000"/>
          <w:lang w:eastAsia="sl-SI"/>
        </w:rPr>
      </w:pPr>
      <w:r w:rsidRPr="00503014">
        <w:rPr>
          <w:rFonts w:eastAsia="Times New Roman" w:cstheme="minorHAnsi"/>
          <w:color w:val="000000"/>
          <w:lang w:eastAsia="sl-SI"/>
        </w:rPr>
        <w:t>Predstavitev pravne umetne inteligence TFL AI.</w:t>
      </w:r>
    </w:p>
    <w:p w14:paraId="4111D5E3" w14:textId="77777777" w:rsidR="00695AE2" w:rsidRPr="00503014" w:rsidRDefault="00695AE2" w:rsidP="00695AE2">
      <w:pPr>
        <w:spacing w:line="240" w:lineRule="auto"/>
        <w:rPr>
          <w:rFonts w:eastAsia="Times New Roman"/>
          <w:color w:val="000000"/>
          <w:lang w:eastAsia="sl-SI"/>
        </w:rPr>
      </w:pPr>
    </w:p>
    <w:p w14:paraId="64472FB8" w14:textId="77777777" w:rsidR="00695AE2" w:rsidRPr="00503014" w:rsidRDefault="00695AE2" w:rsidP="00695AE2">
      <w:pPr>
        <w:spacing w:line="240" w:lineRule="auto"/>
        <w:rPr>
          <w:rFonts w:eastAsia="Times New Roman"/>
          <w:color w:val="000000"/>
          <w:lang w:eastAsia="sl-SI"/>
        </w:rPr>
      </w:pPr>
      <w:r w:rsidRPr="00503014">
        <w:rPr>
          <w:rFonts w:eastAsia="Times New Roman"/>
          <w:color w:val="000000"/>
          <w:lang w:eastAsia="sl-SI"/>
        </w:rPr>
        <w:t>Zaposleni na Državnem odvetništvu RS so se v letu 2025 udeležili naslednjih izobraževanj v organizaciji Inštituta za primerjalno pravo Pravne fakultete v Ljubljani:</w:t>
      </w:r>
    </w:p>
    <w:p w14:paraId="19FE96EA" w14:textId="77777777" w:rsidR="00695AE2" w:rsidRPr="00503014" w:rsidRDefault="00695AE2" w:rsidP="00695AE2">
      <w:pPr>
        <w:spacing w:line="240" w:lineRule="auto"/>
        <w:rPr>
          <w:rFonts w:eastAsia="Times New Roman"/>
          <w:color w:val="000000"/>
          <w:lang w:eastAsia="sl-SI"/>
        </w:rPr>
      </w:pPr>
    </w:p>
    <w:p w14:paraId="56F04627" w14:textId="77777777" w:rsidR="00695AE2" w:rsidRPr="00503014" w:rsidRDefault="00695AE2" w:rsidP="00695AE2">
      <w:pPr>
        <w:numPr>
          <w:ilvl w:val="0"/>
          <w:numId w:val="29"/>
        </w:numPr>
        <w:spacing w:line="240" w:lineRule="auto"/>
        <w:ind w:right="-46"/>
        <w:jc w:val="both"/>
        <w:rPr>
          <w:rFonts w:eastAsia="Times New Roman"/>
        </w:rPr>
      </w:pPr>
      <w:r w:rsidRPr="00503014">
        <w:rPr>
          <w:rFonts w:eastAsia="Times New Roman" w:cstheme="minorHAnsi"/>
        </w:rPr>
        <w:t>XXIII. Nomotehnični dnevi</w:t>
      </w:r>
      <w:r w:rsidRPr="00503014">
        <w:rPr>
          <w:rFonts w:eastAsia="Times New Roman"/>
        </w:rPr>
        <w:t>.</w:t>
      </w:r>
    </w:p>
    <w:p w14:paraId="5AC03A61" w14:textId="77777777" w:rsidR="00695AE2" w:rsidRPr="00503014" w:rsidRDefault="00695AE2" w:rsidP="00695AE2">
      <w:pPr>
        <w:spacing w:line="240" w:lineRule="auto"/>
        <w:ind w:right="-46"/>
        <w:jc w:val="both"/>
        <w:rPr>
          <w:rFonts w:eastAsia="Times New Roman"/>
        </w:rPr>
      </w:pPr>
    </w:p>
    <w:p w14:paraId="1B8C90E1" w14:textId="77777777" w:rsidR="00695AE2" w:rsidRPr="00503014" w:rsidRDefault="00695AE2" w:rsidP="00695AE2">
      <w:pPr>
        <w:spacing w:line="240" w:lineRule="auto"/>
        <w:jc w:val="both"/>
        <w:rPr>
          <w:rFonts w:eastAsia="Calibri"/>
        </w:rPr>
      </w:pPr>
      <w:r w:rsidRPr="00503014">
        <w:rPr>
          <w:rFonts w:eastAsia="Calibri"/>
        </w:rPr>
        <w:t>Zaposleni na Državnem odvetništvu RS so se v letu 2025 udeležili tudi naslednjih izobraževanj v organizaciji drugih institucij:</w:t>
      </w:r>
    </w:p>
    <w:p w14:paraId="7A9EC1F4" w14:textId="77777777" w:rsidR="00695AE2" w:rsidRPr="00503014" w:rsidRDefault="00695AE2" w:rsidP="00695AE2">
      <w:pPr>
        <w:tabs>
          <w:tab w:val="left" w:pos="1590"/>
        </w:tabs>
        <w:spacing w:line="240" w:lineRule="auto"/>
        <w:jc w:val="both"/>
        <w:rPr>
          <w:rFonts w:eastAsia="Times New Roman"/>
          <w:color w:val="000000"/>
          <w:lang w:eastAsia="sl-SI"/>
        </w:rPr>
      </w:pPr>
      <w:r w:rsidRPr="00503014">
        <w:rPr>
          <w:rFonts w:eastAsia="Times New Roman"/>
          <w:color w:val="000000"/>
          <w:lang w:eastAsia="sl-SI"/>
        </w:rPr>
        <w:tab/>
      </w:r>
    </w:p>
    <w:p w14:paraId="3783B304" w14:textId="77777777" w:rsidR="00695AE2" w:rsidRPr="00503014" w:rsidRDefault="00695AE2" w:rsidP="00695AE2">
      <w:pPr>
        <w:numPr>
          <w:ilvl w:val="0"/>
          <w:numId w:val="91"/>
        </w:numPr>
        <w:spacing w:line="240" w:lineRule="auto"/>
        <w:contextualSpacing/>
        <w:jc w:val="both"/>
        <w:rPr>
          <w:rFonts w:eastAsia="Times New Roman"/>
          <w:color w:val="000000"/>
          <w:lang w:eastAsia="sl-SI"/>
        </w:rPr>
      </w:pPr>
      <w:r w:rsidRPr="00503014">
        <w:rPr>
          <w:rFonts w:eastAsia="Times New Roman"/>
          <w:color w:val="000000"/>
          <w:lang w:eastAsia="sl-SI"/>
        </w:rPr>
        <w:t>Vodenje evidenčnih in javnih naročil male vrednosti (Akademija za management),</w:t>
      </w:r>
    </w:p>
    <w:p w14:paraId="52776037"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Usposabljanje in preizkus znanja s področja VZPD in PV (Bureau Veritas),</w:t>
      </w:r>
    </w:p>
    <w:p w14:paraId="48B30DEC"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Usposabljanje in preizkus znanja odgovornih oseb za gašenje začetnih požarov in izvajanje evakuacije PV (Bureau Veritas),</w:t>
      </w:r>
    </w:p>
    <w:p w14:paraId="1829FED0"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Osnovno usposabljanje s področja varovanja tajnih podatkov (CEI MORS),</w:t>
      </w:r>
    </w:p>
    <w:p w14:paraId="1E213081"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Dodatno usposabljanje s področja varovanja tajnih podatkov (CEI MORS),</w:t>
      </w:r>
    </w:p>
    <w:p w14:paraId="7A4E8E84"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Generativna AI za pravnike (Center poslovne odličnosti EF),</w:t>
      </w:r>
    </w:p>
    <w:p w14:paraId="32BE4CFF"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Varstvo osebnih podatkov in UI (Digi-si),</w:t>
      </w:r>
      <w:r w:rsidRPr="00503014">
        <w:rPr>
          <w:rFonts w:eastAsia="Times New Roman" w:cstheme="minorHAnsi"/>
          <w:color w:val="000000"/>
          <w:lang w:eastAsia="sl-SI"/>
        </w:rPr>
        <w:tab/>
      </w:r>
      <w:r w:rsidRPr="00503014">
        <w:rPr>
          <w:rFonts w:eastAsia="Times New Roman" w:cstheme="minorHAnsi"/>
          <w:color w:val="000000"/>
          <w:lang w:eastAsia="sl-SI"/>
        </w:rPr>
        <w:tab/>
      </w:r>
    </w:p>
    <w:p w14:paraId="499CB3F8"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Tečaj Word (Državno odvetništvo RS),</w:t>
      </w:r>
    </w:p>
    <w:p w14:paraId="1BB10910"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10. Akademija javnega sektorja (Fakulteta za upravo),</w:t>
      </w:r>
    </w:p>
    <w:p w14:paraId="71B567BA"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Usposabljanje za uporabo aplikacije e-Izvršbe (FURS),</w:t>
      </w:r>
    </w:p>
    <w:p w14:paraId="57593E42" w14:textId="77777777" w:rsidR="00695AE2" w:rsidRPr="00503014" w:rsidRDefault="00695AE2" w:rsidP="00695AE2">
      <w:pPr>
        <w:numPr>
          <w:ilvl w:val="0"/>
          <w:numId w:val="30"/>
        </w:numPr>
        <w:tabs>
          <w:tab w:val="left" w:pos="1590"/>
        </w:tabs>
        <w:spacing w:line="240" w:lineRule="auto"/>
        <w:contextualSpacing/>
        <w:jc w:val="both"/>
        <w:rPr>
          <w:rFonts w:eastAsia="Times New Roman" w:cstheme="minorHAnsi"/>
          <w:color w:val="000000"/>
          <w:lang w:eastAsia="sl-SI"/>
        </w:rPr>
      </w:pPr>
      <w:r w:rsidRPr="00503014">
        <w:rPr>
          <w:rFonts w:eastAsia="Times New Roman" w:cstheme="minorHAnsi"/>
          <w:color w:val="000000"/>
          <w:lang w:eastAsia="sl-SI"/>
        </w:rPr>
        <w:t>Slovenska arbitražna konferenca (Ljubljana Arbitration Centre),</w:t>
      </w:r>
    </w:p>
    <w:p w14:paraId="15B65534" w14:textId="77777777" w:rsidR="00695AE2" w:rsidRPr="00503014" w:rsidRDefault="00695AE2" w:rsidP="00695AE2">
      <w:pPr>
        <w:numPr>
          <w:ilvl w:val="0"/>
          <w:numId w:val="92"/>
        </w:numPr>
        <w:spacing w:line="240" w:lineRule="auto"/>
        <w:contextualSpacing/>
        <w:rPr>
          <w:lang w:eastAsia="sl-SI"/>
        </w:rPr>
      </w:pPr>
      <w:r w:rsidRPr="00503014">
        <w:rPr>
          <w:lang w:eastAsia="sl-SI"/>
        </w:rPr>
        <w:t>Locked Shields 2025 - skupina za pravna vprašanja – LEGAD (MORS),</w:t>
      </w:r>
    </w:p>
    <w:p w14:paraId="0EEF5C99" w14:textId="77777777" w:rsidR="00695AE2" w:rsidRPr="00503014" w:rsidRDefault="00695AE2" w:rsidP="00695AE2">
      <w:pPr>
        <w:numPr>
          <w:ilvl w:val="0"/>
          <w:numId w:val="92"/>
        </w:numPr>
        <w:spacing w:line="240" w:lineRule="auto"/>
        <w:contextualSpacing/>
        <w:rPr>
          <w:lang w:eastAsia="sl-SI"/>
        </w:rPr>
      </w:pPr>
      <w:r w:rsidRPr="00503014">
        <w:rPr>
          <w:lang w:eastAsia="sl-SI"/>
        </w:rPr>
        <w:t>Dnevi mednarodnega zasebnega prava (Pravna fakulteta Univerze v Ljubljani),</w:t>
      </w:r>
    </w:p>
    <w:p w14:paraId="0FC00F9C" w14:textId="77777777" w:rsidR="00695AE2" w:rsidRPr="00503014" w:rsidRDefault="00695AE2" w:rsidP="00695AE2">
      <w:pPr>
        <w:numPr>
          <w:ilvl w:val="0"/>
          <w:numId w:val="92"/>
        </w:numPr>
        <w:spacing w:line="240" w:lineRule="auto"/>
        <w:contextualSpacing/>
        <w:rPr>
          <w:lang w:eastAsia="sl-SI"/>
        </w:rPr>
      </w:pPr>
      <w:r w:rsidRPr="00503014">
        <w:rPr>
          <w:lang w:eastAsia="sl-SI"/>
        </w:rPr>
        <w:t>Medicina pravo in družba (Pravna fakulteta Univerze v Mariboru),</w:t>
      </w:r>
    </w:p>
    <w:p w14:paraId="562385B9" w14:textId="77777777" w:rsidR="00695AE2" w:rsidRPr="00503014" w:rsidRDefault="00695AE2" w:rsidP="00695AE2">
      <w:pPr>
        <w:numPr>
          <w:ilvl w:val="0"/>
          <w:numId w:val="92"/>
        </w:numPr>
        <w:spacing w:line="240" w:lineRule="auto"/>
        <w:contextualSpacing/>
        <w:jc w:val="both"/>
        <w:rPr>
          <w:lang w:eastAsia="sl-SI"/>
        </w:rPr>
      </w:pPr>
      <w:r w:rsidRPr="00503014">
        <w:rPr>
          <w:rFonts w:cstheme="minorHAnsi"/>
          <w:lang w:eastAsia="sl-SI"/>
        </w:rPr>
        <w:t>Strokovno izobraževanje za dopolnjevanje strokovnega znanja za delo z dokumentarnim gradivom (Arhiv Slovenije in pokrajinski arhivi),</w:t>
      </w:r>
    </w:p>
    <w:p w14:paraId="2BCDF0EF" w14:textId="77777777" w:rsidR="00695AE2" w:rsidRPr="00503014" w:rsidRDefault="00695AE2" w:rsidP="00695AE2">
      <w:pPr>
        <w:numPr>
          <w:ilvl w:val="0"/>
          <w:numId w:val="92"/>
        </w:numPr>
        <w:spacing w:line="240" w:lineRule="auto"/>
        <w:contextualSpacing/>
        <w:jc w:val="both"/>
        <w:rPr>
          <w:lang w:eastAsia="sl-SI"/>
        </w:rPr>
      </w:pPr>
      <w:r w:rsidRPr="00503014">
        <w:rPr>
          <w:rFonts w:eastAsia="Times New Roman" w:cstheme="minorHAnsi"/>
          <w:color w:val="000000"/>
          <w:lang w:eastAsia="sl-SI"/>
        </w:rPr>
        <w:t>Konferenca ZInfV-1: Zakon za kibernetsko varno prihodnost Slovenije (Urad Vlade RS za informacijsko varnost),</w:t>
      </w:r>
    </w:p>
    <w:p w14:paraId="16A0DBCA" w14:textId="77777777" w:rsidR="00695AE2" w:rsidRPr="00503014" w:rsidRDefault="00695AE2" w:rsidP="00695AE2">
      <w:pPr>
        <w:numPr>
          <w:ilvl w:val="0"/>
          <w:numId w:val="92"/>
        </w:numPr>
        <w:spacing w:line="240" w:lineRule="auto"/>
        <w:contextualSpacing/>
        <w:jc w:val="both"/>
        <w:rPr>
          <w:lang w:eastAsia="sl-SI"/>
        </w:rPr>
      </w:pPr>
      <w:r w:rsidRPr="00503014">
        <w:rPr>
          <w:rFonts w:eastAsia="Times New Roman" w:cstheme="minorHAnsi"/>
          <w:color w:val="000000"/>
          <w:lang w:eastAsia="sl-SI"/>
        </w:rPr>
        <w:t>14. Kongres javnega naročanja (Uradni list),</w:t>
      </w:r>
    </w:p>
    <w:p w14:paraId="341C9B7E" w14:textId="77777777" w:rsidR="00695AE2" w:rsidRPr="00503014" w:rsidRDefault="00695AE2" w:rsidP="00695AE2">
      <w:pPr>
        <w:numPr>
          <w:ilvl w:val="0"/>
          <w:numId w:val="92"/>
        </w:numPr>
        <w:spacing w:line="240" w:lineRule="auto"/>
        <w:contextualSpacing/>
        <w:jc w:val="both"/>
        <w:rPr>
          <w:lang w:eastAsia="sl-SI"/>
        </w:rPr>
      </w:pPr>
      <w:r w:rsidRPr="00503014">
        <w:rPr>
          <w:rFonts w:eastAsia="Times New Roman" w:cstheme="minorHAnsi"/>
          <w:color w:val="000000"/>
          <w:lang w:eastAsia="sl-SI"/>
        </w:rPr>
        <w:t>Usposabljanje oseb, odgovornih za izvajanje strokovnih nalog na področju tajnih podatkov (Urad Vlade RS za varovanje tajnih podatkov),</w:t>
      </w:r>
    </w:p>
    <w:p w14:paraId="4885F2B6" w14:textId="77777777" w:rsidR="00695AE2" w:rsidRPr="00503014" w:rsidRDefault="00695AE2" w:rsidP="00695AE2">
      <w:pPr>
        <w:numPr>
          <w:ilvl w:val="0"/>
          <w:numId w:val="92"/>
        </w:numPr>
        <w:spacing w:line="240" w:lineRule="auto"/>
        <w:contextualSpacing/>
        <w:jc w:val="both"/>
        <w:rPr>
          <w:lang w:eastAsia="sl-SI"/>
        </w:rPr>
      </w:pPr>
      <w:r w:rsidRPr="00503014">
        <w:rPr>
          <w:rFonts w:eastAsia="Times New Roman" w:cstheme="minorHAnsi"/>
          <w:color w:val="000000"/>
          <w:lang w:eastAsia="sl-SI"/>
        </w:rPr>
        <w:lastRenderedPageBreak/>
        <w:t>Računovodska šola za javni sektor (Zveza računovodij, finančnikov in revizorjev Slovenije).</w:t>
      </w:r>
    </w:p>
    <w:p w14:paraId="55BD03F6" w14:textId="77777777" w:rsidR="00695AE2" w:rsidRPr="00503014" w:rsidRDefault="00695AE2" w:rsidP="00695AE2">
      <w:pPr>
        <w:spacing w:line="240" w:lineRule="auto"/>
        <w:jc w:val="both"/>
        <w:rPr>
          <w:rFonts w:eastAsia="Calibri"/>
        </w:rPr>
      </w:pPr>
    </w:p>
    <w:p w14:paraId="4F4DD805" w14:textId="77777777" w:rsidR="00695AE2" w:rsidRPr="00503014" w:rsidRDefault="00695AE2" w:rsidP="00695AE2">
      <w:pPr>
        <w:spacing w:line="240" w:lineRule="auto"/>
        <w:jc w:val="both"/>
        <w:rPr>
          <w:rFonts w:eastAsia="Calibri"/>
        </w:rPr>
      </w:pPr>
      <w:r w:rsidRPr="00503014">
        <w:rPr>
          <w:rFonts w:eastAsia="Calibri"/>
        </w:rPr>
        <w:t>Zaposleni na Državnem odvetništvu RS so se v letu 2025 udeležili izobraževanj v organizaciji mednarodnih institucij:</w:t>
      </w:r>
    </w:p>
    <w:p w14:paraId="786527FB" w14:textId="77777777" w:rsidR="00695AE2" w:rsidRPr="00503014" w:rsidRDefault="00695AE2" w:rsidP="00695AE2">
      <w:pPr>
        <w:tabs>
          <w:tab w:val="left" w:pos="1590"/>
        </w:tabs>
        <w:spacing w:line="240" w:lineRule="auto"/>
        <w:ind w:left="70"/>
        <w:jc w:val="both"/>
        <w:rPr>
          <w:rFonts w:eastAsia="Times New Roman"/>
          <w:color w:val="000000"/>
          <w:lang w:eastAsia="sl-SI"/>
        </w:rPr>
      </w:pPr>
      <w:r w:rsidRPr="00503014">
        <w:rPr>
          <w:rFonts w:eastAsia="Times New Roman"/>
          <w:color w:val="000000"/>
          <w:lang w:eastAsia="sl-SI"/>
        </w:rPr>
        <w:tab/>
      </w:r>
    </w:p>
    <w:p w14:paraId="5BBBC52A" w14:textId="77777777" w:rsidR="00695AE2" w:rsidRPr="00503014" w:rsidRDefault="00695AE2" w:rsidP="00695AE2">
      <w:pPr>
        <w:numPr>
          <w:ilvl w:val="0"/>
          <w:numId w:val="93"/>
        </w:numPr>
        <w:spacing w:line="240" w:lineRule="auto"/>
        <w:contextualSpacing/>
        <w:rPr>
          <w:rFonts w:eastAsia="Times New Roman"/>
          <w:color w:val="000000"/>
          <w:lang w:eastAsia="sl-SI"/>
        </w:rPr>
      </w:pPr>
      <w:r w:rsidRPr="00503014">
        <w:rPr>
          <w:rFonts w:eastAsia="Times New Roman"/>
          <w:color w:val="000000"/>
          <w:lang w:eastAsia="sl-SI"/>
        </w:rPr>
        <w:t>Sodniki in vladavina prava- uvodni seminar (EJTN),</w:t>
      </w:r>
    </w:p>
    <w:p w14:paraId="4D87B532"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Impact of digitalization and Artificial Intelligence in Administrative Law (EJTN),</w:t>
      </w:r>
    </w:p>
    <w:p w14:paraId="6A3F304E"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 xml:space="preserve">Study </w:t>
      </w:r>
      <w:proofErr w:type="gramStart"/>
      <w:r w:rsidRPr="00503014">
        <w:rPr>
          <w:rFonts w:eastAsia="Times New Roman"/>
          <w:color w:val="000000"/>
          <w:lang w:val="en-GB" w:eastAsia="sl-SI"/>
        </w:rPr>
        <w:t>visit</w:t>
      </w:r>
      <w:proofErr w:type="gramEnd"/>
      <w:r w:rsidRPr="00503014">
        <w:rPr>
          <w:rFonts w:eastAsia="Times New Roman"/>
          <w:color w:val="000000"/>
          <w:lang w:val="en-GB" w:eastAsia="sl-SI"/>
        </w:rPr>
        <w:t xml:space="preserve"> at the Court of Justice of the EU (Luxembourg) (EJTN),</w:t>
      </w:r>
    </w:p>
    <w:p w14:paraId="152D04D1"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Insolvency and Human Rights (EJTN),</w:t>
      </w:r>
    </w:p>
    <w:p w14:paraId="7B1E8FA7"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Judicial Training Methods Training: Judicial Conduct and Ethics – New Horizons (Belgium) (EJTN),</w:t>
      </w:r>
    </w:p>
    <w:p w14:paraId="5E79EFAE"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 xml:space="preserve">Study </w:t>
      </w:r>
      <w:proofErr w:type="gramStart"/>
      <w:r w:rsidRPr="00503014">
        <w:rPr>
          <w:rFonts w:eastAsia="Times New Roman"/>
          <w:color w:val="000000"/>
          <w:lang w:val="en-GB" w:eastAsia="sl-SI"/>
        </w:rPr>
        <w:t>visit</w:t>
      </w:r>
      <w:proofErr w:type="gramEnd"/>
      <w:r w:rsidRPr="00503014">
        <w:rPr>
          <w:rFonts w:eastAsia="Times New Roman"/>
          <w:color w:val="000000"/>
          <w:lang w:val="en-GB" w:eastAsia="sl-SI"/>
        </w:rPr>
        <w:t xml:space="preserve"> with the European COURT of Human Rights (Strasbourg) (EJTN),</w:t>
      </w:r>
    </w:p>
    <w:p w14:paraId="06ECC35A"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Recent CJEU Case Law on Nature Protection and EIA Requirements (ERA),</w:t>
      </w:r>
    </w:p>
    <w:p w14:paraId="440EFEB4" w14:textId="77777777" w:rsidR="00695AE2" w:rsidRPr="00503014" w:rsidRDefault="00695AE2" w:rsidP="00695AE2">
      <w:pPr>
        <w:numPr>
          <w:ilvl w:val="0"/>
          <w:numId w:val="93"/>
        </w:numPr>
        <w:spacing w:line="240" w:lineRule="auto"/>
        <w:contextualSpacing/>
        <w:rPr>
          <w:rFonts w:eastAsia="Times New Roman"/>
          <w:color w:val="000000"/>
          <w:lang w:val="en-GB" w:eastAsia="sl-SI"/>
        </w:rPr>
      </w:pPr>
      <w:r w:rsidRPr="00503014">
        <w:rPr>
          <w:rFonts w:eastAsia="Times New Roman"/>
          <w:color w:val="000000"/>
          <w:lang w:val="en-GB" w:eastAsia="sl-SI"/>
        </w:rPr>
        <w:t>Webminar on Recent environmental case of the CJEU – focus on waste, water, air quality, industrial emissions, and chemicals (ERA).</w:t>
      </w:r>
    </w:p>
    <w:p w14:paraId="0E4E2346" w14:textId="77777777" w:rsidR="00695AE2" w:rsidRPr="00503014" w:rsidRDefault="00695AE2" w:rsidP="00695AE2">
      <w:pPr>
        <w:spacing w:line="240" w:lineRule="auto"/>
        <w:rPr>
          <w:rFonts w:eastAsia="Calibri"/>
          <w:color w:val="000000"/>
          <w:lang w:val="en-GB" w:eastAsia="sl-SI"/>
        </w:rPr>
      </w:pPr>
    </w:p>
    <w:p w14:paraId="66ABECC6" w14:textId="77777777" w:rsidR="00695AE2" w:rsidRPr="00503014" w:rsidRDefault="00695AE2" w:rsidP="00695AE2">
      <w:pPr>
        <w:spacing w:line="240" w:lineRule="auto"/>
        <w:jc w:val="both"/>
        <w:rPr>
          <w:rFonts w:eastAsia="Calibri"/>
        </w:rPr>
      </w:pPr>
      <w:r w:rsidRPr="00503014">
        <w:rPr>
          <w:rFonts w:eastAsia="Calibri"/>
        </w:rPr>
        <w:t>Skozi vse leto so državnim odvetnikom in kandidatom za državne odvetnike omogočena tudi mednarodna izobraževanja, študijski obiski in mednarodne izmenjave, ki so organizirani v okviru Evropske mreže institucij za izobraževanje  v pravosodju (</w:t>
      </w:r>
      <w:r w:rsidRPr="00503014">
        <w:rPr>
          <w:rFonts w:eastAsia="Times New Roman"/>
        </w:rPr>
        <w:t xml:space="preserve">European Judicial Training Network </w:t>
      </w:r>
      <w:r w:rsidRPr="00503014">
        <w:rPr>
          <w:rFonts w:eastAsia="Calibri"/>
        </w:rPr>
        <w:t>– EJTN), v kateri Republiko Slovenijo zastopa CIP. Prav tako se lahko državni odvetniki in kandidati za državne odvetnike udeležujejo izobraževanj tujih institucij za izobraževanje v pravosodju, kot sta Akademija za evropsko pravo (ERA) in HELP v okviru izobraževanj Sveta Evrope.</w:t>
      </w:r>
    </w:p>
    <w:p w14:paraId="6CA7588B" w14:textId="77777777" w:rsidR="00695AE2" w:rsidRPr="00503014" w:rsidRDefault="00695AE2" w:rsidP="00695AE2">
      <w:pPr>
        <w:spacing w:line="240" w:lineRule="auto"/>
        <w:jc w:val="both"/>
        <w:rPr>
          <w:rFonts w:eastAsia="Calibri"/>
        </w:rPr>
      </w:pPr>
    </w:p>
    <w:p w14:paraId="6AFCCCEC" w14:textId="77777777" w:rsidR="00695AE2" w:rsidRPr="00503014" w:rsidRDefault="00695AE2" w:rsidP="00695AE2">
      <w:pPr>
        <w:spacing w:line="240" w:lineRule="auto"/>
        <w:jc w:val="both"/>
        <w:rPr>
          <w:rFonts w:eastAsia="Calibri"/>
        </w:rPr>
      </w:pPr>
      <w:r w:rsidRPr="00503014">
        <w:rPr>
          <w:rFonts w:eastAsia="Calibri"/>
        </w:rPr>
        <w:t>V okviru kolegija Državnega odvetništva RS so bila za vodje izvedena naslednja izobraževanja:</w:t>
      </w:r>
    </w:p>
    <w:p w14:paraId="7F4E6075" w14:textId="77777777" w:rsidR="00695AE2" w:rsidRPr="00503014" w:rsidRDefault="00695AE2" w:rsidP="00695AE2">
      <w:pPr>
        <w:spacing w:line="240" w:lineRule="auto"/>
        <w:jc w:val="both"/>
        <w:rPr>
          <w:rFonts w:eastAsia="Calibri"/>
        </w:rPr>
      </w:pPr>
    </w:p>
    <w:p w14:paraId="7CD769E7"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Predavanje o integriteti, nezdružljivosti funkcij in postopkih KPK, razprava in vprašanja,  predsednik Komisije za preprečevanje korupcije, dr. Robert Šumi,</w:t>
      </w:r>
    </w:p>
    <w:p w14:paraId="6F06B76E"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Predstavitev priporočila za usklajeno delovanje v zvezi z lastninjenjem vodnih zemljišč, višji državni odvetnik, vodja Svetovalno-analitičnega oddelka, Igor Kovačič,</w:t>
      </w:r>
    </w:p>
    <w:p w14:paraId="6FB7E22E"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Predstavitev priporočila v zvezi z vknjižbo pravic/pravnih dejstev v zemljiško knjigo po uradni dolžnosti v skladu s predpisi, višji državni odvetnik, vodja Svetovalno-analitičnega oddelka, Igor Kovačič,</w:t>
      </w:r>
    </w:p>
    <w:p w14:paraId="7C6CFC36"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Predstavitev internega pravnega mnenja v zvezi z vlaganjem vlog v e-sodstvo, višji državni odvetnik, vodja Svetovalno-analitičnega oddelka, Igor Kovačič,</w:t>
      </w:r>
    </w:p>
    <w:p w14:paraId="7C14AD68"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Način dela glede odpiranja N spisov, ki se nanašajo na vlaganje ZK predlogov, višja državna odvetnica, vodja Nepravdnega oddelka, Katja Drnovšek Jarc,</w:t>
      </w:r>
    </w:p>
    <w:p w14:paraId="404D707C"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Začetek teka zamudnih obresti, ki se zaračunavajo dediču, višja državna odvetnica, vodja Civilnopravnega in gospodarskega oddelka, mag. Zala Lešnik,</w:t>
      </w:r>
    </w:p>
    <w:p w14:paraId="75E108B4"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Zaključevanje zadev v primeru stranske intervencije, višja državna odvetnica, vodja Zunanjega oddelka državnega odvetništva v Novi Gorici, Helena Kodele Rupnik,</w:t>
      </w:r>
    </w:p>
    <w:p w14:paraId="5517E26B" w14:textId="77777777" w:rsidR="00695AE2" w:rsidRPr="00503014" w:rsidRDefault="00695AE2" w:rsidP="00695AE2">
      <w:pPr>
        <w:numPr>
          <w:ilvl w:val="0"/>
          <w:numId w:val="93"/>
        </w:numPr>
        <w:spacing w:line="240" w:lineRule="auto"/>
        <w:jc w:val="both"/>
        <w:rPr>
          <w:rFonts w:eastAsia="Times New Roman"/>
        </w:rPr>
      </w:pPr>
      <w:r w:rsidRPr="00503014">
        <w:rPr>
          <w:rFonts w:eastAsia="Times New Roman"/>
        </w:rPr>
        <w:t>Krajši delovni čas delavca pred upokojitvijo oziroma institut 80/90/100, generalna sekretarka Državnega odvetništva RS, Sabina Kompolšek,</w:t>
      </w:r>
    </w:p>
    <w:p w14:paraId="1055F49F" w14:textId="77777777" w:rsidR="00695AE2" w:rsidRPr="00503014" w:rsidRDefault="00695AE2" w:rsidP="00695AE2">
      <w:pPr>
        <w:numPr>
          <w:ilvl w:val="0"/>
          <w:numId w:val="93"/>
        </w:numPr>
        <w:spacing w:line="240" w:lineRule="auto"/>
        <w:jc w:val="both"/>
        <w:rPr>
          <w:rFonts w:eastAsia="Calibri"/>
        </w:rPr>
      </w:pPr>
      <w:r w:rsidRPr="00503014">
        <w:rPr>
          <w:rFonts w:eastAsia="Times New Roman"/>
        </w:rPr>
        <w:t>Del plače za delovno uspešnost od 1. 1. 2026 dalje, generalni direktor Direktorata za javni sektor na Ministrstvu za javno upravo, Peter Pogačar.</w:t>
      </w:r>
      <w:r w:rsidRPr="00503014">
        <w:rPr>
          <w:rFonts w:eastAsia="Times New Roman"/>
          <w:color w:val="000000"/>
          <w:lang w:eastAsia="sl-SI"/>
        </w:rPr>
        <w:t xml:space="preserve"> </w:t>
      </w:r>
    </w:p>
    <w:p w14:paraId="38FFA995" w14:textId="77777777" w:rsidR="00695AE2" w:rsidRPr="00503014" w:rsidRDefault="00695AE2" w:rsidP="00695AE2">
      <w:pPr>
        <w:pStyle w:val="Jasna"/>
        <w:rPr>
          <w:rFonts w:eastAsia="Times New Roman"/>
          <w:bCs/>
        </w:rPr>
      </w:pPr>
      <w:r w:rsidRPr="00503014">
        <w:lastRenderedPageBreak/>
        <w:t xml:space="preserve">V letu 2025 so se na Državnem odvetništvu RS nadaljevala jezikovna izobraževanja </w:t>
      </w:r>
      <w:r w:rsidRPr="00503014">
        <w:rPr>
          <w:rFonts w:eastAsia="Times New Roman"/>
          <w:bCs/>
        </w:rPr>
        <w:t>iz angleškega, francoskega in nemškega jezika.</w:t>
      </w:r>
    </w:p>
    <w:p w14:paraId="43198542" w14:textId="77777777" w:rsidR="00695AE2" w:rsidRPr="00503014" w:rsidRDefault="00695AE2" w:rsidP="00695AE2">
      <w:pPr>
        <w:pStyle w:val="Jasna"/>
      </w:pPr>
    </w:p>
    <w:p w14:paraId="4519FD6F" w14:textId="77777777" w:rsidR="00695AE2" w:rsidRPr="00503014" w:rsidRDefault="00695AE2" w:rsidP="00695AE2">
      <w:pPr>
        <w:spacing w:line="240" w:lineRule="auto"/>
        <w:jc w:val="both"/>
        <w:rPr>
          <w:rFonts w:eastAsia="Times New Roman"/>
          <w:bCs/>
        </w:rPr>
      </w:pPr>
      <w:r w:rsidRPr="00503014">
        <w:rPr>
          <w:rFonts w:eastAsia="Times New Roman"/>
          <w:lang w:eastAsia="sl-SI"/>
        </w:rPr>
        <w:t xml:space="preserve">Enkrat letno Državno odvetništvo RS organizira tudi skupni izobraževalni dogodek vseh zaposlenih, ki se zaradi različnih lokacij delovanja sicer ne srečajo prav pogosto. V letu 2025 je skupni izobraževalni dogodek potekal v so organizaciji Zunanjega oddelka državnega odvetništva v Celju, na slikoviti lokaciji Doma na Svetini. Uvod v sproščeno razpravo je prispeval športni psiholog, profesor dr. Matej Tušak s predavanjem Dejavniki uspeha pri delu in v življenju. </w:t>
      </w:r>
    </w:p>
    <w:p w14:paraId="111C579B" w14:textId="77777777" w:rsidR="00695AE2" w:rsidRPr="00503014" w:rsidRDefault="00695AE2" w:rsidP="00695AE2">
      <w:pPr>
        <w:pStyle w:val="Jasna"/>
      </w:pPr>
    </w:p>
    <w:p w14:paraId="07598557" w14:textId="77777777" w:rsidR="00695AE2" w:rsidRPr="00503014" w:rsidRDefault="00695AE2" w:rsidP="00695AE2">
      <w:pPr>
        <w:pStyle w:val="Naslov4"/>
      </w:pPr>
      <w:bookmarkStart w:id="48" w:name="_Toc168844748"/>
      <w:bookmarkStart w:id="49" w:name="_Toc191561731"/>
      <w:bookmarkStart w:id="50" w:name="_Toc223093706"/>
      <w:r w:rsidRPr="00503014">
        <w:t>Dnevi Državnega odvetništva RS</w:t>
      </w:r>
      <w:bookmarkEnd w:id="48"/>
      <w:bookmarkEnd w:id="49"/>
      <w:bookmarkEnd w:id="50"/>
      <w:r w:rsidRPr="00503014">
        <w:t xml:space="preserve"> </w:t>
      </w:r>
    </w:p>
    <w:p w14:paraId="105D1EA5" w14:textId="77777777" w:rsidR="00695AE2" w:rsidRPr="00503014" w:rsidRDefault="00695AE2" w:rsidP="00695AE2">
      <w:pPr>
        <w:spacing w:line="240" w:lineRule="auto"/>
        <w:jc w:val="both"/>
        <w:rPr>
          <w:rFonts w:eastAsia="Aptos"/>
          <w:kern w:val="2"/>
          <w14:ligatures w14:val="standardContextual"/>
        </w:rPr>
      </w:pPr>
    </w:p>
    <w:p w14:paraId="5F6D50B8"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Dnevi Državnega odvetništva RS so pod naslovom </w:t>
      </w:r>
      <w:r w:rsidRPr="00503014">
        <w:rPr>
          <w:rFonts w:eastAsia="Aptos"/>
          <w:i/>
          <w:iCs/>
          <w:color w:val="007466"/>
          <w:kern w:val="2"/>
          <w14:ligatures w14:val="standardContextual"/>
        </w:rPr>
        <w:t>Država kot nosilka pogodbenih in finančnih obveznosti</w:t>
      </w:r>
      <w:r w:rsidRPr="00503014">
        <w:rPr>
          <w:rFonts w:eastAsia="Aptos"/>
          <w:color w:val="007466"/>
          <w:kern w:val="2"/>
          <w14:ligatures w14:val="standardContextual"/>
        </w:rPr>
        <w:t xml:space="preserve"> </w:t>
      </w:r>
      <w:r w:rsidRPr="00503014">
        <w:rPr>
          <w:rFonts w:eastAsia="Aptos"/>
          <w:kern w:val="2"/>
          <w14:ligatures w14:val="standardContextual"/>
        </w:rPr>
        <w:t>potekali  12. in 13. maja 2025 v Mariboru.</w:t>
      </w:r>
    </w:p>
    <w:p w14:paraId="7FBE8632" w14:textId="77777777" w:rsidR="00695AE2" w:rsidRPr="00503014" w:rsidRDefault="00695AE2" w:rsidP="00695AE2">
      <w:pPr>
        <w:spacing w:line="240" w:lineRule="auto"/>
        <w:jc w:val="both"/>
        <w:rPr>
          <w:rFonts w:eastAsia="Aptos"/>
          <w:kern w:val="2"/>
          <w14:ligatures w14:val="standardContextual"/>
        </w:rPr>
      </w:pPr>
    </w:p>
    <w:p w14:paraId="4B2F26D2"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 xml:space="preserve">Uvod v dogodek so zaznamovali slavnostni nagovori. Generalna državna odvetnica dr. Ana Kerševan je v nagovoru izpostavila pomembno vlogo državnih odvetnikov pri sklepanju, obravnavi in reševanju sporov o raznolikih pravnih razmerjih, v katera vstopa država, pri tem pa prek vzporednice z razmerji, v katera vstopamo kot posamezniki, poudarila prvine in kvalitete razmerij, ki so za državo vitalnega pomena – pogodbe z njenimi uslužbenci, pogodbe o zadolževanju, sodne poravnave, gradbene pogodbe, ipd. Predstavila je pomembnejše rezultate lanskoletnega dela, pozitivne premike na področju mirnega reševanja množičnih, tudi socialnih sporov. Poudarila je pomemben prispevek vseh državnih odvetnic in odvetnikov, kandidatov za državne odvetnike in administrativnega kadra za doseganje teh rezultatov ter se jim zahvalila za njihov trud in predano delo. Obenem je poudarila, da spreminjajoče razmere ne dopuščajo počitka na dobrih statistikah in da je pomembna tudi sposobnost samorefleksije in zavedanja, da lahko svoje delo na marsikaterem področju še izboljšamo. Generalna državna odvetnica je v nadaljevanju poudarila, da je nadaljnje delo in celo obstoj Državnega odvetništva </w:t>
      </w:r>
      <w:r>
        <w:rPr>
          <w:rFonts w:eastAsia="Aptos"/>
          <w:kern w:val="2"/>
          <w14:ligatures w14:val="standardContextual"/>
        </w:rPr>
        <w:t xml:space="preserve">RS </w:t>
      </w:r>
      <w:r w:rsidRPr="00503014">
        <w:rPr>
          <w:rFonts w:eastAsia="Aptos"/>
          <w:kern w:val="2"/>
          <w14:ligatures w14:val="standardContextual"/>
        </w:rPr>
        <w:t>v veliki meri odvisen od tega, ali bo mogoče zajeziti kadrovski odliv, ki se je pričakovano začel nakazovati po plačni reformi, ki je med državnimi odvetniki, ki so javni uslužbenci in tistimi, ki so funkcionarji, zarezala še večje razlike od teh, ki so se generirale do sedaj. Ponovno je apelirala k čimprejšnjemu sprejemu reforme, ki je v pripravi v tvornem sodelovanju z Ministrstvom za pravosodje. Obenem je poudarila, da se je prav v časih negotovosti, ki preveva državne odvetnike in ki je za razmerja sicer erozivna, treba zavedati, da spremembe ne pridejo čez noč in da štejejo vztrajnost, integriteta in kvaliteta tega, kar vsak posameznik doprinese s svojim delom in z odnosi v kolektivu in navzven. Po mnenju generalne državne odvetnice je poleg tega bistveno, da se zavedamo tudi razmerja do samih sebe in odgovornosti za svoje psihofizično dobro počutje, pri čemer je izrazila upanje, da bo v prihodnje k razbremenitvi kolegov prispevala tudi umetna inteligenca. V tem oziru je predlagala usklajen pristop pri razvoju teh programov za vse pravosodne organe in izrazila pripravljenost Državnega odvetništva RS za tesno in konstruktivno sodelovanje. Svoj prispevek je sklenila z ugotovitvijo, da so razmerja – bodisi ta, ki jih sklepamo sami bodisi ta, ki jih sklepamo za državo ali v imenu države, vedno odraz širšega konteksta dejavnikov, ki se jih zavedamo, pogosto pa v celoti sploh ne. Zato je pomembno, da imamo vselej v uvidu čim širšo sliko in da se zavedamo svoje vloge in odgovornosti v njej, saj bomo na ta način najbolj tvorno prispevali k boljšim razmerjem, tako medosebnim, kot tem, ki jih tudi s pomočjo državnih odvetnikov sklepa država in na podlagi katerih sprejema svoje najpomembnejše pogodbene in finančne obveznosti.</w:t>
      </w:r>
    </w:p>
    <w:p w14:paraId="416A0CA4"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lastRenderedPageBreak/>
        <w:t>Predsednica Republike Slovenije dr. Nataša Pirc Musar je v video nagovoru poudarila ključno vlogo državnega odvetništva pri varovanju pravne države: »</w:t>
      </w:r>
      <w:r w:rsidRPr="00503014">
        <w:rPr>
          <w:rFonts w:eastAsia="Aptos"/>
          <w:i/>
          <w:iCs/>
          <w:kern w:val="2"/>
          <w14:ligatures w14:val="standardContextual"/>
        </w:rPr>
        <w:t>Z veseljem delim z vami nekaj misli ob začetku letošnjih Dnevov državnega odvetništva, ki jih tokrat osvetljuje še posebej pomembna tema: vloga države kot nosilke pogodbenih in finančnih obveznosti. Izbrali ste temo, ki nosi v sebi jedro odgovornosti države – temelje pravne varnosti in s tem izredno pomembno zaupanje ljudi v delovanje naših institucij. Državno odvetništvo Republike Slovenije ima pri tem eno od najodgovornejših nalog. S svojim predanim, strokovnim in vestnim delom vsak dan dokazujete, kako pomemben varuh ustavnega reda, stvarnega in finančnega premoženja ter interesov države ste. Statistični podatki iz vaših letnih poročil to potrjujejo brez vsakega dvoma. Iskreno vam čestitam za odlično opravljeno delo. Državno odvetništvo je trden steber pravne države. Prispevate k razreševanju sporov, krepitvi pravne varnosti in varstvu človekovih pravic. Pri svojem delu ne izkazujete le izjemnega znanja in izkušenj, temveč tudi etično zavezanost pravičnosti in spoštovanju zakonitosti. Zato potrebujete stabilno zakonodajo, dobro tehnično podporo in delovno okolje, ki omogoča tako strokovno odličnost kot ustrezni karierni razvoj. Prepričana sem, da bi funkcionarski položaj okrepil vlogo državnega odvetnika.</w:t>
      </w:r>
    </w:p>
    <w:p w14:paraId="1C73C453" w14:textId="77777777" w:rsidR="00695AE2" w:rsidRPr="00503014" w:rsidRDefault="00695AE2" w:rsidP="00695AE2">
      <w:pPr>
        <w:spacing w:line="240" w:lineRule="auto"/>
        <w:jc w:val="both"/>
        <w:rPr>
          <w:rFonts w:eastAsia="Aptos"/>
          <w:kern w:val="2"/>
          <w14:ligatures w14:val="standardContextual"/>
        </w:rPr>
      </w:pPr>
      <w:r w:rsidRPr="00503014">
        <w:rPr>
          <w:rFonts w:eastAsia="Aptos"/>
          <w:i/>
          <w:iCs/>
          <w:kern w:val="2"/>
          <w14:ligatures w14:val="standardContextual"/>
        </w:rPr>
        <w:t>Ob tem upam, da se vam v prihodnosti pridruži čim več mladih kandidatov za državne odvetnike. V preteklosti sem že podprla prizadevanja za reformo vašega delovanja – ta stališča delim tudi danes. Upam v njeno čimprejšnjo realizacijo in verjamem v vaša prizadevanja v dobrobit Republike Slovenije tudi v prihodnje. Iskrena hvala, ker s svojim delom vsak dan dokazujete, kako pomembna je moč prava v službi države in njenih ljudi. Želim vam navdihujočo in uspešno razpravo. Srečno!</w:t>
      </w:r>
      <w:r w:rsidRPr="00503014">
        <w:rPr>
          <w:rFonts w:eastAsia="Aptos"/>
          <w:kern w:val="2"/>
          <w14:ligatures w14:val="standardContextual"/>
        </w:rPr>
        <w:t>«.</w:t>
      </w:r>
    </w:p>
    <w:p w14:paraId="203F6857" w14:textId="77777777" w:rsidR="00695AE2" w:rsidRPr="00503014" w:rsidRDefault="00695AE2" w:rsidP="00695AE2">
      <w:pPr>
        <w:spacing w:line="240" w:lineRule="auto"/>
        <w:jc w:val="both"/>
        <w:rPr>
          <w:rFonts w:eastAsia="Aptos"/>
          <w:kern w:val="2"/>
          <w14:ligatures w14:val="standardContextual"/>
        </w:rPr>
      </w:pPr>
    </w:p>
    <w:p w14:paraId="3B929052"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 xml:space="preserve">Tudi državni sekretar na Ministrstvu za pravosodje dr. Milan Brglez je izpostavil odlične rezultate državnih odvetnikov, ki uspešno zastopajo državo pred sodišči  in s tem ščitijo davkoplačevalska sredstva: </w:t>
      </w:r>
      <w:r w:rsidRPr="00503014">
        <w:rPr>
          <w:rFonts w:eastAsia="Aptos"/>
          <w:i/>
          <w:iCs/>
          <w:kern w:val="2"/>
          <w14:ligatures w14:val="standardContextual"/>
        </w:rPr>
        <w:t xml:space="preserve">»Vsaka odločitev, vsako pogajanje in vsaka pravna razlaga, ki jo podate državni odvetniki, ima neposreden vpliv na to, kako učinkovito in odgovorno država ravna s sredstvi davkoplačevalcev, kako spoštuje pravno varnost in kako dosledno izpolnjuje svoje zaveze. Podatki na področju obrambe države pred odškodninskimi zahtevki, v katerih se državi očita protipravno ravnanje, in kjer je vaša uspešnost kar v 99,87%, nas izredno veseli. To pomeni, da ste praktično v vseh primerih dokazali, da se je državi v postopkih pred sodišči neutemeljeno očitala povzročitev škode, s tem pa pomagali prihraniti kar 654.455.366,98 evrov proračunskih sredstev. […] Državno odvetništvo je torej nedvomno več kot zgolj pravni zastopnik države. Je njena vest, njen pravni kompas in pogosto tudi prva obrambna črta pred nerazumnimi zahtevki ali neutemeljenimi tožbami. Vaša naloga ni enostavna – zagovarjate interese države, ki niso vedno zgolj finančni, temveč pogosto nosijo globlji pomen – pomen varovanja javnega interesa, pravne države in družbene pravičnosti. Poudariti želim tudi vlogo državnega odvetništva kot varuha integritete in zakonitosti v poslovanju države. Vaše delo, četudi pogosto oddaljeno od oči javnosti, pomembno prispeva k temu, da država kot pravni subjekt deluje odgovorno, pregledno in skladno s pravnim redom. V tem je tudi vaša posebna moč – ker znate povedati tudi tisto, kar država mora slišati, četudi ni vedno prijetno. Na ministrstvu se zavedamo, da učinkovito, strokovno in neodvisno državno odvetništvo ni le privilegij, temveč pogoj za vsako moderno pravno državo. Zato ostaja krepitev vašega položaja, iskanje rešitev za izboljšavo  pogojev vašega dela ter zagotavljanje kadrovskih in tehničnih zmogljivosti ena od prioritet našega ministrstva. V zadnjem letu skupaj pospešeno pripravljamo gradivo novele Zakona o državnem odvetništvu (15. maja bo potekal že 17. sestanek delovne skupine), s skupnim ciljem izboljšati učinkovitost dela državnih odvetnikov in </w:t>
      </w:r>
      <w:r w:rsidRPr="00503014">
        <w:rPr>
          <w:rFonts w:eastAsia="Aptos"/>
          <w:i/>
          <w:iCs/>
          <w:kern w:val="2"/>
          <w14:ligatures w14:val="standardContextual"/>
        </w:rPr>
        <w:lastRenderedPageBreak/>
        <w:t>ureditvijo ustreznega položaja v pravosodju. Vem, da se od vas veliko pričakuje, zato si bomo še naprej prizadevali, da boste imeli tudi ustrezna orodja, da to delo kakovostno opravite.«</w:t>
      </w:r>
    </w:p>
    <w:p w14:paraId="00B774E8" w14:textId="77777777" w:rsidR="00695AE2" w:rsidRPr="00503014" w:rsidRDefault="00695AE2" w:rsidP="00695AE2">
      <w:pPr>
        <w:spacing w:line="240" w:lineRule="auto"/>
        <w:jc w:val="both"/>
        <w:rPr>
          <w:rFonts w:eastAsia="Aptos"/>
          <w:kern w:val="2"/>
          <w14:ligatures w14:val="standardContextual"/>
        </w:rPr>
      </w:pPr>
    </w:p>
    <w:p w14:paraId="190C96F7"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Državna sekretarka na Ministrstvu za finance Gordana Pipan, je v svojem nagovoru izpostavila pomen sodelovanja med državnimi organi: »</w:t>
      </w:r>
      <w:r w:rsidRPr="00503014">
        <w:rPr>
          <w:rFonts w:eastAsia="Aptos"/>
          <w:i/>
          <w:iCs/>
          <w:kern w:val="2"/>
          <w14:ligatures w14:val="standardContextual"/>
        </w:rPr>
        <w:t>Pravno varstvo javnih sredstev in odgovorno zastopanje države v postopkih zagotavlja stabilnost in zaupanje v naš finančni sistem</w:t>
      </w:r>
      <w:r w:rsidRPr="00503014">
        <w:rPr>
          <w:rFonts w:eastAsia="Aptos"/>
          <w:kern w:val="2"/>
          <w14:ligatures w14:val="standardContextual"/>
        </w:rPr>
        <w:t xml:space="preserve">.« Dodala je tudi, da Državno odvetništvo </w:t>
      </w:r>
      <w:r>
        <w:rPr>
          <w:rFonts w:eastAsia="Aptos"/>
          <w:kern w:val="2"/>
          <w14:ligatures w14:val="standardContextual"/>
        </w:rPr>
        <w:t xml:space="preserve">RS </w:t>
      </w:r>
      <w:r w:rsidRPr="00503014">
        <w:rPr>
          <w:rFonts w:eastAsia="Aptos"/>
          <w:kern w:val="2"/>
          <w14:ligatures w14:val="standardContextual"/>
        </w:rPr>
        <w:t>pomembno prispeva k pravni varnosti in delovanju pravne države, saj s svetovanjem in pravnimi mnenji omogoča preventivno reševanje težav, še preden pride do sodnih postopkov: »</w:t>
      </w:r>
      <w:r w:rsidRPr="00503014">
        <w:rPr>
          <w:rFonts w:eastAsia="Aptos"/>
          <w:i/>
          <w:iCs/>
          <w:kern w:val="2"/>
          <w14:ligatures w14:val="standardContextual"/>
        </w:rPr>
        <w:t>Z vidika vpliva na javne finance pozdravljamo tudi preventivno delovanje Državnega odvetništva – izogib nepotrebnim stroškom je izraz gospodarnega ravnanja</w:t>
      </w:r>
      <w:r w:rsidRPr="00503014">
        <w:rPr>
          <w:rFonts w:eastAsia="Aptos"/>
          <w:kern w:val="2"/>
          <w14:ligatures w14:val="standardContextual"/>
        </w:rPr>
        <w:t>.«</w:t>
      </w:r>
    </w:p>
    <w:p w14:paraId="13083B6E" w14:textId="77777777" w:rsidR="00695AE2" w:rsidRPr="00503014" w:rsidRDefault="00695AE2" w:rsidP="00695AE2">
      <w:pPr>
        <w:spacing w:line="240" w:lineRule="auto"/>
        <w:jc w:val="both"/>
        <w:rPr>
          <w:rFonts w:eastAsia="Aptos"/>
          <w:kern w:val="2"/>
          <w14:ligatures w14:val="standardContextual"/>
        </w:rPr>
      </w:pPr>
    </w:p>
    <w:p w14:paraId="3DDCA4B2"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Strokovni program se je nadaljeval s predavanjem višje državne odvetnice mag. Nataše Pintar Gosenca, vodje Mednarodnega oddelka, ki je predstavila vlogo Državnega odvetništva RS kot zastopnika države v arbitražnih postopkih. Sledila je predstavitev višje državne odvetnice Aleksandre Vrhunc Kovačič o pogodbenih in finančnih obveznostih države, podkrepljena s statističnimi podatki za leto 2024. V popoldanskem delu je Branko Žunec spregovoril o pogajalskih tehnikah in razvoju pogajalca – od dobrega do odličnega.</w:t>
      </w:r>
    </w:p>
    <w:p w14:paraId="54A7058F" w14:textId="77777777" w:rsidR="00695AE2" w:rsidRPr="00503014" w:rsidRDefault="00695AE2" w:rsidP="00695AE2">
      <w:pPr>
        <w:spacing w:line="240" w:lineRule="auto"/>
        <w:jc w:val="both"/>
        <w:rPr>
          <w:rFonts w:eastAsia="Aptos"/>
          <w:kern w:val="2"/>
          <w14:ligatures w14:val="standardContextual"/>
        </w:rPr>
      </w:pPr>
    </w:p>
    <w:p w14:paraId="268D2CA5"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Drugi dan Dnevov Državnega odvetništva RS se je začel z nagovorom višje državne odvetnice Lucije Gorišek Perc, vodje Zunanjega oddelka državnega odvetništva v Mariboru. Izpostavila je, da Državno odvetništvo RS kot institucionalni organ deluje tudi na lokalni ravni, vendar pri tem obravnava zadeve, ki presegajo regionalne meje in so ključnega pomena za delovanje države kot celote. Izpostavila je pomen sodelovanja med oddelki, pripravljenosti za pomoč in dobrih kolegialnih odnosov, ob tem pa se posebej zahvalila sodelavcem iz zunanjih oddelkov državnega odvetništva na Ptuju in v Murski Soboti za podporo pri obravnavi zahtevkov vojakov iz naslova plačila za delo zaradi stalne pripravljenosti. V nadaljevanju se je navezala na zgodovinski pomen energetskih in infrastrukturnih projektov na reki Dravi, ki je s svojim razvojnim potencialom prispevala h gospodarskemu razcvetu regije že pred stotimi leti in ima to vlogo še danes.</w:t>
      </w:r>
    </w:p>
    <w:p w14:paraId="10F68CC9" w14:textId="77777777" w:rsidR="00695AE2" w:rsidRPr="00503014" w:rsidRDefault="00695AE2" w:rsidP="00695AE2">
      <w:pPr>
        <w:spacing w:line="240" w:lineRule="auto"/>
        <w:jc w:val="both"/>
        <w:rPr>
          <w:rFonts w:eastAsia="Aptos"/>
          <w:kern w:val="2"/>
          <w14:ligatures w14:val="standardContextual"/>
        </w:rPr>
      </w:pPr>
    </w:p>
    <w:p w14:paraId="5D83C280"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Program se je nadaljeval  s predavanjem višje državne odvetnice mag. Jane Morela, ki je predstavila problematiko izbrisa podrejenih finančnih instrumentov v okviru bančne sanacije v letih 2013 in 2014. V predavanju je predstavila kronologijo problematike vse od leta 2013 oziroma 2014, ko je bila bančna sanacija izvedena s strani Banke Slovenije. Posebej je opozorila na to, da je o problematiki že dvakrat odločilo slovensko Ustavno sodišče, ki je obakrat v postopku odločanja postavilo predhodno vprašanje za razlago prava EU Sodišču Evropske unije, kar pomeni, da je tudi Sodišče Evropske unije v zvezi s problematiko že dvakrat podalo razlago evropskega prava. O problematiki je v času predavanja ponovno odločalo Ustavno sodišče, ki je glede vloženih pobud odločilo, da jih bo obravnavalo skupaj in absolutno prednostno. O problematiki bančne sanacije je kar dvakrat odločalo tudi že Evropsko sodišče za človekove pravice, ki je s svojo zadnjo odločitvijo zadeve vrnilo v odločanje domačim sodiščem po domačem učinkovitem pravnem sredstvu – Zakonu o postopku sodnega varstva nekdanjih imetnikov kvalificiranih obveznosti bank (ZPSVIKOB-1) in v katerem ima Republika Slovenija vlogo stranskega intervenienta na strani Banke Slovenije.  </w:t>
      </w:r>
    </w:p>
    <w:p w14:paraId="22C98D48" w14:textId="77777777" w:rsidR="00695AE2" w:rsidRPr="00503014" w:rsidRDefault="00695AE2" w:rsidP="00695AE2">
      <w:pPr>
        <w:spacing w:line="240" w:lineRule="auto"/>
        <w:jc w:val="both"/>
        <w:rPr>
          <w:rFonts w:eastAsia="Aptos"/>
          <w:kern w:val="2"/>
          <w14:ligatures w14:val="standardContextual"/>
        </w:rPr>
      </w:pPr>
    </w:p>
    <w:p w14:paraId="293DC266" w14:textId="1CE36C11"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lastRenderedPageBreak/>
        <w:t>Višji državni odvetnik Igor</w:t>
      </w:r>
      <w:r w:rsidR="005735A6">
        <w:rPr>
          <w:rFonts w:eastAsia="Aptos"/>
          <w:kern w:val="2"/>
          <w14:ligatures w14:val="standardContextual"/>
        </w:rPr>
        <w:t xml:space="preserve"> </w:t>
      </w:r>
      <w:r w:rsidRPr="00503014">
        <w:rPr>
          <w:rFonts w:eastAsia="Aptos"/>
          <w:kern w:val="2"/>
          <w14:ligatures w14:val="standardContextual"/>
        </w:rPr>
        <w:t>Kovačič, vodja Svetovalno analitičnega oddelka, je v prispevku Državno odvetništvo RS kot svetovalec države pri sklepanju in izvrševanju pogodb obravnaval normativni okvir in praktične izzive svetovalne funkcije Državnega odvetništva RS. Izpostavil je, da gre za pravno podporo, ki je pomembna v fazi priprave, sklepanja in izvrševanja najrazličnejših pogodb, od obligacijskih in stvarnopravnih razmerij do koncesij in javnega naročanja. Opozoril je na nujnost doslednega pravnega pregleda določb, ki določajo pogodbene kazni, zavarovanja, roke in odstopne pravice. Prikazal je primerjalne prakse, zlasti model avstrijske finančne prokurature, ki uveljavlja sistematično svetovalno funkcijo kot del institucionalnega varstva zakonitosti v pogodbenem delovanju države.</w:t>
      </w:r>
    </w:p>
    <w:p w14:paraId="41578238" w14:textId="77777777" w:rsidR="00695AE2" w:rsidRPr="00503014" w:rsidRDefault="00695AE2" w:rsidP="00695AE2">
      <w:pPr>
        <w:spacing w:line="240" w:lineRule="auto"/>
        <w:jc w:val="both"/>
        <w:rPr>
          <w:rFonts w:eastAsia="Aptos"/>
          <w:kern w:val="2"/>
          <w14:ligatures w14:val="standardContextual"/>
        </w:rPr>
      </w:pPr>
    </w:p>
    <w:p w14:paraId="552B7CE7"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V predavanju Delovnopravne pogodbe javnih uslužbencev je Peter Pogačar, direktor Direktorata za javni sektor na Ministrstvu za javno upravo, predstavil aktualne spremembe Zakona o javnih uslužbencih, osredotočene na prihodnje izzive upravljanja s kadri: demografske spremembe, digitalizacijo, pravico do odklopa ter privabljanje mladih v javno upravo. Predstavil je tudi novo Strategijo upravljanja s človeškimi viri do leta 2030 in vzpostavitev Centra za kadre, ki bo omogočal enotne in digitalizirane natečajne postopke ter napovedal uveljavitev kompetenčnega modela kot standardnega orodja razvoja kadrov v državni upravi.</w:t>
      </w:r>
    </w:p>
    <w:p w14:paraId="00638C9A" w14:textId="77777777" w:rsidR="00695AE2" w:rsidRPr="00503014" w:rsidRDefault="00695AE2" w:rsidP="00695AE2">
      <w:pPr>
        <w:spacing w:line="240" w:lineRule="auto"/>
        <w:jc w:val="both"/>
        <w:rPr>
          <w:rFonts w:eastAsia="Aptos"/>
          <w:kern w:val="2"/>
          <w14:ligatures w14:val="standardContextual"/>
        </w:rPr>
      </w:pPr>
    </w:p>
    <w:p w14:paraId="0615ABE4"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Prof. dr. Rajko Pirnat je v prispevku Upravne pogodbe obravnaval pravno naravo teh razmerij, njihov položaj med javnim in zasebnim pravom ter dileme pri sklepanju in izvrševanju. Opozoril je na posebnosti pri koncesijskih pogodbah ter potrebo po natančnejši normativni ureditvi upravnopravnih elementov pogodbenega delovanja države.</w:t>
      </w:r>
    </w:p>
    <w:p w14:paraId="0870094C" w14:textId="77777777" w:rsidR="00695AE2" w:rsidRPr="00503014" w:rsidRDefault="00695AE2" w:rsidP="00695AE2">
      <w:pPr>
        <w:spacing w:line="240" w:lineRule="auto"/>
        <w:jc w:val="both"/>
        <w:rPr>
          <w:rFonts w:eastAsia="Aptos"/>
          <w:kern w:val="2"/>
          <w14:ligatures w14:val="standardContextual"/>
        </w:rPr>
      </w:pPr>
    </w:p>
    <w:p w14:paraId="4D2164B0"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Višja državna odvetnica Ana Martina Hočevar je predstavila pravne vidike Zakona o odpravi krivic zaradi izbrisa pravnih oseb iz sodnega registra (ZOKIPOSR). Analizirala je okoliščine, ki so vodile do sprejetja najprej Zakona o finančnem poslovanju podjetij in nato do ZOKIPOSR. Obrazložila je gradiva, ki jih je v zvezi z ZOKIPOSR pripravila delovna skupina in so objavljena na Intranetu. Obrazložila je, zakaj so posamezne določbe zakona v neskladju z ustavo. Posebej se je posvetila obsegu upravičenj do odškodnine, pogojev za upravičenost in postopkovnim vprašanjem, vključno z zastaranjem in dokaznim bremenom.</w:t>
      </w:r>
    </w:p>
    <w:p w14:paraId="152090D0" w14:textId="77777777" w:rsidR="00695AE2" w:rsidRPr="00503014" w:rsidRDefault="00695AE2" w:rsidP="00695AE2">
      <w:pPr>
        <w:spacing w:line="240" w:lineRule="auto"/>
        <w:jc w:val="both"/>
        <w:rPr>
          <w:rFonts w:eastAsia="Aptos"/>
          <w:kern w:val="2"/>
          <w14:ligatures w14:val="standardContextual"/>
        </w:rPr>
      </w:pPr>
    </w:p>
    <w:p w14:paraId="1D6047B1"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Zaključni prispevek je podala višja državna odvetnica Melita Primožič z vsebinsko razdelano predstavitvijo posegov države v obstoječa koncesijska razmerja. Poudarila je, da so koncesijska razmerja posebna oblika upravnopravnih razmerij, ki kljub pogodbeni naravi vključujejo elemente javnega interesa. Obravnavala je meje dopustnosti posegov v obstoječe pogodbe, pri čemer je izpostavila pomen sorazmernosti, pravne predvidljivosti in zaščite legitimnih pričakovanj koncesionarjev. Posebej je opozorila na ustaljeno prakso Ustavnega sodišča, ki posege v pogodbeno razmerje presoja strogo, z vidika ustavnega varstva zasebne sfere in pogodbenih svoboščin.</w:t>
      </w:r>
    </w:p>
    <w:p w14:paraId="11AB19C2" w14:textId="77777777" w:rsidR="00695AE2" w:rsidRPr="00503014" w:rsidRDefault="00695AE2" w:rsidP="00695AE2">
      <w:pPr>
        <w:spacing w:line="240" w:lineRule="auto"/>
        <w:jc w:val="both"/>
        <w:rPr>
          <w:rFonts w:eastAsia="Aptos"/>
          <w:kern w:val="2"/>
          <w14:ligatures w14:val="standardContextual"/>
        </w:rPr>
      </w:pPr>
    </w:p>
    <w:p w14:paraId="6C07F3C0"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Z raznolikim in vsebinsko poglobljenim programom se je strokovni del Dnevov Državnega odvetništva RS uspešno zaključil. Razprave so potrdile kompleksnost nalog, s katerimi se Državno odvetništvo RS sooča kot zastopnik, svetovalec in varuh pravne države.</w:t>
      </w:r>
    </w:p>
    <w:p w14:paraId="081F0982" w14:textId="77777777" w:rsidR="00695AE2" w:rsidRPr="00503014" w:rsidRDefault="00695AE2" w:rsidP="00695AE2">
      <w:pPr>
        <w:spacing w:line="240" w:lineRule="auto"/>
        <w:jc w:val="both"/>
        <w:rPr>
          <w:rFonts w:eastAsia="Aptos"/>
          <w:kern w:val="2"/>
          <w14:ligatures w14:val="standardContextual"/>
        </w:rPr>
      </w:pPr>
    </w:p>
    <w:p w14:paraId="29BC8457" w14:textId="77777777" w:rsidR="00695AE2" w:rsidRPr="00503014" w:rsidRDefault="00695AE2" w:rsidP="00695AE2">
      <w:pPr>
        <w:spacing w:line="240" w:lineRule="auto"/>
        <w:jc w:val="both"/>
        <w:rPr>
          <w:rFonts w:eastAsia="Aptos"/>
          <w:kern w:val="2"/>
          <w14:ligatures w14:val="standardContextual"/>
        </w:rPr>
      </w:pPr>
      <w:r w:rsidRPr="00503014">
        <w:rPr>
          <w:rFonts w:eastAsia="Aptos"/>
          <w:kern w:val="2"/>
          <w14:ligatures w14:val="standardContextual"/>
        </w:rPr>
        <w:t xml:space="preserve">Dnevi Državnega odvetništva RS so vzbudil precejšnje zanimanje tudi v medijih. V ospredju poročanja so bile ključne vsebine, predstavljene na protokolarnem delu dogodka, pa tudi </w:t>
      </w:r>
      <w:r w:rsidRPr="00503014">
        <w:rPr>
          <w:rFonts w:eastAsia="Aptos"/>
          <w:kern w:val="2"/>
          <w14:ligatures w14:val="standardContextual"/>
        </w:rPr>
        <w:lastRenderedPageBreak/>
        <w:t xml:space="preserve">pomen Državnega odvetništva RS za pravno državo in upravljanje javnih sredstev. Poročanje medijev o dogodku potrjuje, da je javnost vse bolj pozorna na vprašanja pravne odgovornosti države, pomen učinkovitega zastopanja javnega interesa ter vlogo, ki jo pri tem opravlja Državno odvetništvo RS. </w:t>
      </w:r>
    </w:p>
    <w:p w14:paraId="402DB55A" w14:textId="77777777" w:rsidR="00695AE2" w:rsidRPr="00503014" w:rsidRDefault="00695AE2" w:rsidP="00695AE2">
      <w:pPr>
        <w:spacing w:line="240" w:lineRule="auto"/>
        <w:jc w:val="both"/>
        <w:rPr>
          <w:rFonts w:eastAsia="Calibri"/>
        </w:rPr>
      </w:pPr>
    </w:p>
    <w:p w14:paraId="34931CEE" w14:textId="77777777" w:rsidR="00695AE2" w:rsidRPr="00503014" w:rsidRDefault="00695AE2" w:rsidP="00695AE2">
      <w:pPr>
        <w:pStyle w:val="Naslov4"/>
      </w:pPr>
      <w:bookmarkStart w:id="51" w:name="_Toc168844749"/>
      <w:bookmarkStart w:id="52" w:name="_Toc191561732"/>
      <w:bookmarkStart w:id="53" w:name="_Toc223093707"/>
      <w:r w:rsidRPr="00503014">
        <w:t>Šola Državnega odvetništva RS 202</w:t>
      </w:r>
      <w:bookmarkEnd w:id="51"/>
      <w:bookmarkEnd w:id="52"/>
      <w:r w:rsidRPr="00503014">
        <w:t>5</w:t>
      </w:r>
      <w:bookmarkEnd w:id="53"/>
      <w:r w:rsidRPr="00503014">
        <w:t xml:space="preserve"> </w:t>
      </w:r>
    </w:p>
    <w:p w14:paraId="0AC9AB22" w14:textId="77777777" w:rsidR="00695AE2" w:rsidRPr="00503014" w:rsidRDefault="00695AE2" w:rsidP="00695AE2">
      <w:pPr>
        <w:spacing w:line="240" w:lineRule="auto"/>
        <w:jc w:val="both"/>
      </w:pPr>
    </w:p>
    <w:p w14:paraId="75B6F491" w14:textId="77777777" w:rsidR="00695AE2" w:rsidRPr="00503014" w:rsidRDefault="00695AE2" w:rsidP="00695AE2">
      <w:pPr>
        <w:spacing w:line="240" w:lineRule="auto"/>
        <w:jc w:val="both"/>
      </w:pPr>
      <w:r w:rsidRPr="00503014">
        <w:t>Šola Državnega odvetništva RS je ponudila bogat in aktualen program ter omogočila priložnost za izmenjavo znanja, strokovnih izkušenj in povezovanje udeležencev. Z izborom tem in predavateljev je naslovila pereča vprašanja, s katerimi se sooča Državno odvetništvo RS.</w:t>
      </w:r>
      <w:r w:rsidRPr="00503014">
        <w:br/>
      </w:r>
    </w:p>
    <w:p w14:paraId="06D147E1" w14:textId="77777777" w:rsidR="00695AE2" w:rsidRPr="00503014" w:rsidRDefault="00695AE2" w:rsidP="00695AE2">
      <w:pPr>
        <w:spacing w:line="240" w:lineRule="auto"/>
        <w:jc w:val="both"/>
      </w:pPr>
      <w:r w:rsidRPr="00503014">
        <w:t xml:space="preserve">Osrednji del dopoldanskega programa prvega dne je zasedla okrogla miza na temo »Digitalizacija in uporaba umetne inteligence – od teorije k praktičnim rešitvam«, ki jo je moderirala generalna državna odvetnica dr. Ana Kerševan.  Strokovnjaki s področja prava in informatike so v razpravi predstavili priložnosti in tveganja, ki jih prinaša uporaba velikih jezikovnih modelov oziroma umetne inteligence, ter korake njene postopne uvedbe v delovne procese sodelavcev na Državnem odvetništvu RS. Predsednik Odvetniške zbornice, Janez Starman, je podal nekaj primerov in izkušenj, kako umetno inteligenco pri svojem delu vsakodnevno uporabljajo nekateri njihovi člani. Izpostavil je njene prednosti ter očitne slabosti, ki so se pojavile pri njeni praktični aplikaciji. Dr. Andrej Brodnik, profesor na Fakulteti za računalništvo in informatiko Univerze v Ljubljani in UP FAMNIT, je podal nekaj uvida v ozadje delovanja tehnologij velikih jezikovnih modelov ter slušatelje opozoril, da gre kljub prijaznim nagovorom in uporabi naravnega jezika pri uporabi še vedno le za stroj, katerega odgovori temeljijo na verjetnostnih izračunih, ki jim ne moremo slepo zaupati. Manca Peternel, svetnica področja na Državnem odvetništvu RS in vodja delovne skupine za digitalizacijo in umetno inteligenco na Državnem odvetništvu RS, je opozorila na vnos osebnih podatkov v modele umetne inteligence, saj ne vemo, kje in kako se jih lahko zlorabi. Udeležence je pozvala k izobraževanju o novi realnosti ter kot podporo pri tem do konca januarja 2026 napovedala sprejem smernic za rabo umetne inteligence na Državnem odvetništvu RS. Dosedanje praktične izkušnje, prednosti in slabosti pri rabi te tehnologije pa je podrobneje predstavila višja državna odvetnica na Mednarodnem oddelku </w:t>
      </w:r>
      <w:bookmarkStart w:id="54" w:name="_Hlk221353280"/>
      <w:r w:rsidRPr="00503014">
        <w:t>Državnega odvetništva RS</w:t>
      </w:r>
      <w:bookmarkEnd w:id="54"/>
      <w:r w:rsidRPr="00503014">
        <w:t>, mag. Ana Dežman Mušič, ki je ob tesni podpori Službe za informatiko in podporo uporabnikom Državnega odvetništva RS, imela priložnost sodelovati ter preizkusiti tako uporabnosti kot tudi slabosti tehnologije pri sodelovanju z odvetniško pisarno iz tujine.</w:t>
      </w:r>
    </w:p>
    <w:p w14:paraId="25BF371D" w14:textId="77777777" w:rsidR="00695AE2" w:rsidRPr="00503014" w:rsidRDefault="00695AE2" w:rsidP="00695AE2">
      <w:pPr>
        <w:spacing w:line="240" w:lineRule="auto"/>
        <w:jc w:val="both"/>
      </w:pPr>
    </w:p>
    <w:p w14:paraId="33B22C1A" w14:textId="77777777" w:rsidR="00695AE2" w:rsidRPr="00503014" w:rsidRDefault="00695AE2" w:rsidP="00695AE2">
      <w:pPr>
        <w:spacing w:line="240" w:lineRule="auto"/>
        <w:jc w:val="both"/>
      </w:pPr>
      <w:r w:rsidRPr="00503014">
        <w:t>Popoldanski sklop predavanj se je začel s predavanjem mag. Ive Ramuš Cvetkovič z Inštituta za kriminologijo pri Pravni fakulteti Univerze v Ljubljani z naslovom »Obveznosti držav po Konvenciji o genocidu in odgovornost v primeru Gaze«. Sledila je predstavitev »Ureditve izkoriščanja mineralnih surovin v Republiki Sloveniji«, ki sta jo s pravnega in tehničnega vidika osvetlila mag. Katja Rakun, ki je zaposlena v Sektorju za kakovost predpisov in razvojno načrtovanje Direktorata za kakovost na Ministrstvu za javno upravo, ter mag. Roman Čerenak s Sektorja za rudarstvo pri Direktoratu za naravo na Ministrstvu za naravne vire in prostor. Prvi dan je zaokorožilo predavanje dr. Leonide Zalokar, vodje Strokovnega centra Planina, z naslovom »Osebnostne motnje in psihopatija med nami – iz majhnega zraste veliko«.</w:t>
      </w:r>
    </w:p>
    <w:p w14:paraId="5552AFBF" w14:textId="77777777" w:rsidR="00695AE2" w:rsidRPr="00503014" w:rsidRDefault="00695AE2" w:rsidP="00695AE2">
      <w:pPr>
        <w:spacing w:line="240" w:lineRule="auto"/>
        <w:jc w:val="both"/>
      </w:pPr>
      <w:r w:rsidRPr="00503014">
        <w:rPr>
          <w:b/>
          <w:bCs/>
        </w:rPr>
        <w:t xml:space="preserve"> </w:t>
      </w:r>
      <w:r w:rsidRPr="00503014">
        <w:br/>
        <w:t xml:space="preserve">Na program drugega dne so bile uvrščene teme  s katerimi se državni odvetniki srečujejo pri svojem delu, predstavili pa so jih predstavniki Državnega odvetništva RS z vidika teorije in </w:t>
      </w:r>
      <w:r w:rsidRPr="00503014">
        <w:lastRenderedPageBreak/>
        <w:t xml:space="preserve">svojih praktičnih izkušenj. Višja svetnica za razvoj uprave Državnega odvetništva RS Tatjana Pečar Rus je predstavila poseben režim ravnanja s tajnimi podatki. Državna odvetnica Tajda Toni je z občinstvom delila svoje izkušnje z  mirnim reševanjem socialnih sporov, višji državni odvetnik Jure Jovanovič pa je predstavil pregled aktualnih vprašanj delovnega prava. </w:t>
      </w:r>
    </w:p>
    <w:p w14:paraId="602D051B" w14:textId="77777777" w:rsidR="00695AE2" w:rsidRPr="00503014" w:rsidRDefault="00695AE2" w:rsidP="00695AE2">
      <w:pPr>
        <w:spacing w:line="240" w:lineRule="auto"/>
        <w:jc w:val="both"/>
      </w:pPr>
    </w:p>
    <w:p w14:paraId="3A29CB07" w14:textId="77777777" w:rsidR="00695AE2" w:rsidRPr="00503014" w:rsidRDefault="00695AE2" w:rsidP="00695AE2">
      <w:pPr>
        <w:spacing w:line="240" w:lineRule="auto"/>
        <w:jc w:val="both"/>
      </w:pPr>
      <w:r w:rsidRPr="00503014">
        <w:t>Program se je nadaljeval s predstavitvijo odškodninskih sporov zaradi sistema ravnanja z odpadno embalažo s predavanjem višje državne odvetnice Aleksandre Kisovec. Višja državna odvetnica Mojca Ivančič Jelačin, vodja Zunanjega oddelka državnega odvetništva v Kopru, je nazorno prikazala ter izpostavila vprašanja, vezana na »Zlorabe instituta brezplačne pravne pomoči«, ki so žal še prepogosta. Za zaključek je  sledila še predstavitev nove grafične podobe Državnega odvetništva RS, ki sta jo ob vodji projekta predstavila kreativni direktor ter oblikovalec komunikacijskega podjetja AV studio.</w:t>
      </w:r>
    </w:p>
    <w:p w14:paraId="705EACCC" w14:textId="77777777" w:rsidR="00695AE2" w:rsidRPr="00503014" w:rsidRDefault="00695AE2" w:rsidP="00695AE2">
      <w:pPr>
        <w:spacing w:line="240" w:lineRule="auto"/>
        <w:jc w:val="both"/>
      </w:pPr>
    </w:p>
    <w:p w14:paraId="7B180578" w14:textId="77777777" w:rsidR="00695AE2" w:rsidRPr="00503014" w:rsidRDefault="00695AE2" w:rsidP="00695AE2">
      <w:pPr>
        <w:spacing w:line="240" w:lineRule="auto"/>
        <w:jc w:val="both"/>
      </w:pPr>
      <w:r w:rsidRPr="00503014">
        <w:t>Šola je upravičila svojo vlogo osrednjega izobraževalnega dogodka Državnega odvetništva RS, aktualnost predstavljenih tem pa se je potrdila tudi v živahni razpravi.</w:t>
      </w:r>
    </w:p>
    <w:p w14:paraId="6396B411" w14:textId="77777777" w:rsidR="00695AE2" w:rsidRPr="00503014" w:rsidRDefault="00695AE2" w:rsidP="00695AE2">
      <w:pPr>
        <w:spacing w:line="240" w:lineRule="auto"/>
        <w:jc w:val="both"/>
        <w:rPr>
          <w:rFonts w:eastAsia="Calibri"/>
          <w:color w:val="000000"/>
          <w:sz w:val="28"/>
          <w:szCs w:val="28"/>
          <w:lang w:eastAsia="sl-SI"/>
        </w:rPr>
      </w:pPr>
    </w:p>
    <w:p w14:paraId="2786EA89" w14:textId="77777777" w:rsidR="00695AE2" w:rsidRPr="00503014" w:rsidRDefault="00695AE2" w:rsidP="00695AE2">
      <w:pPr>
        <w:pStyle w:val="Naslov3"/>
      </w:pPr>
      <w:bookmarkStart w:id="55" w:name="_Toc160097128"/>
      <w:bookmarkStart w:id="56" w:name="_Toc191561733"/>
      <w:bookmarkStart w:id="57" w:name="_Toc223093708"/>
      <w:r w:rsidRPr="00503014">
        <w:t>Skrb za prenos znanja in usposabljanje znotraj Državnega odvetništva RS</w:t>
      </w:r>
      <w:bookmarkEnd w:id="55"/>
      <w:bookmarkEnd w:id="56"/>
      <w:bookmarkEnd w:id="57"/>
    </w:p>
    <w:p w14:paraId="7DE054FE" w14:textId="77777777" w:rsidR="00695AE2" w:rsidRPr="00F760BD" w:rsidRDefault="00695AE2" w:rsidP="00695AE2">
      <w:pPr>
        <w:pStyle w:val="Jasna"/>
        <w:rPr>
          <w:sz w:val="28"/>
          <w:szCs w:val="28"/>
        </w:rPr>
      </w:pPr>
    </w:p>
    <w:p w14:paraId="2229A290" w14:textId="77777777" w:rsidR="00695AE2" w:rsidRPr="00503014" w:rsidRDefault="00695AE2" w:rsidP="00695AE2">
      <w:pPr>
        <w:pStyle w:val="Naslov4"/>
      </w:pPr>
      <w:bookmarkStart w:id="58" w:name="_Toc191561734"/>
      <w:bookmarkStart w:id="59" w:name="_Toc223093709"/>
      <w:r w:rsidRPr="00503014">
        <w:t>Splošno</w:t>
      </w:r>
      <w:bookmarkEnd w:id="58"/>
      <w:bookmarkEnd w:id="59"/>
    </w:p>
    <w:p w14:paraId="324E45C1" w14:textId="77777777" w:rsidR="00695AE2" w:rsidRPr="00F760BD" w:rsidRDefault="00695AE2" w:rsidP="00695AE2">
      <w:pPr>
        <w:pStyle w:val="Jasna"/>
        <w:rPr>
          <w:highlight w:val="yellow"/>
        </w:rPr>
      </w:pPr>
    </w:p>
    <w:p w14:paraId="7FD6D5FA" w14:textId="77777777" w:rsidR="00695AE2" w:rsidRPr="00503014" w:rsidRDefault="00695AE2" w:rsidP="00695AE2">
      <w:pPr>
        <w:spacing w:line="240" w:lineRule="auto"/>
        <w:contextualSpacing/>
        <w:jc w:val="both"/>
        <w:rPr>
          <w:rFonts w:eastAsia="Calibri"/>
        </w:rPr>
      </w:pPr>
      <w:r w:rsidRPr="00503014">
        <w:rPr>
          <w:rFonts w:eastAsia="Calibri"/>
        </w:rPr>
        <w:t xml:space="preserve">Na Državnem odvetništvu RS se zavedamo, da lahko naloge in pristojnosti tudi v prihodnje izvajamo v skladu z najvišjimi strokovnimi in poklicnimi standardi le z zagotavljanjem kontinuitete vrhunsko usposobljenega strokovnega kadra. </w:t>
      </w:r>
      <w:r w:rsidRPr="00503014">
        <w:rPr>
          <w:rFonts w:eastAsia="Times New Roman"/>
        </w:rPr>
        <w:t xml:space="preserve">Za dosego tega cilja si bo Državno odvetništvo RS tudi v </w:t>
      </w:r>
      <w:r w:rsidRPr="00503014">
        <w:rPr>
          <w:rFonts w:eastAsia="Calibri"/>
        </w:rPr>
        <w:t xml:space="preserve">prihodnje prizadevalo ustvarjati spodbudne delovne pogoje za odprti pretok znanja in izkušenj med zaposlenimi ter s tem zagotavljati obetaven kader, katerega ustvarjalnost in iznajdljivost se nenehno motivira, znanje z njegovega delovnega področja pa nadgrajuje z rednimi, obdobnimi in sprotnimi usposabljanji. </w:t>
      </w:r>
    </w:p>
    <w:p w14:paraId="6FDBC1FE" w14:textId="77777777" w:rsidR="00695AE2" w:rsidRPr="00503014" w:rsidRDefault="00695AE2" w:rsidP="00695AE2">
      <w:pPr>
        <w:spacing w:line="240" w:lineRule="auto"/>
        <w:contextualSpacing/>
        <w:jc w:val="both"/>
        <w:rPr>
          <w:rFonts w:eastAsia="Calibri"/>
        </w:rPr>
      </w:pPr>
    </w:p>
    <w:p w14:paraId="5CAE15F2" w14:textId="77777777" w:rsidR="00695AE2" w:rsidRPr="00503014" w:rsidRDefault="00695AE2" w:rsidP="00695AE2">
      <w:pPr>
        <w:pStyle w:val="Naslov4"/>
        <w:rPr>
          <w:rFonts w:eastAsia="Calibri"/>
        </w:rPr>
      </w:pPr>
      <w:bookmarkStart w:id="60" w:name="_Toc223093710"/>
      <w:r w:rsidRPr="00503014">
        <w:rPr>
          <w:rFonts w:eastAsia="Calibri"/>
        </w:rPr>
        <w:t>Uvedba intervizije na Državnem odvetništvu RS</w:t>
      </w:r>
      <w:bookmarkStart w:id="61" w:name="_Toc160097129"/>
      <w:bookmarkEnd w:id="60"/>
      <w:r w:rsidRPr="00503014">
        <w:rPr>
          <w:rFonts w:eastAsia="Calibri"/>
        </w:rPr>
        <w:t xml:space="preserve"> </w:t>
      </w:r>
    </w:p>
    <w:p w14:paraId="1D8CDBAE" w14:textId="77777777" w:rsidR="00695AE2" w:rsidRPr="00503014" w:rsidRDefault="00695AE2" w:rsidP="00695AE2">
      <w:pPr>
        <w:spacing w:line="240" w:lineRule="auto"/>
        <w:contextualSpacing/>
        <w:jc w:val="both"/>
        <w:rPr>
          <w:rFonts w:eastAsia="Calibri"/>
        </w:rPr>
      </w:pPr>
    </w:p>
    <w:p w14:paraId="3FD451DE" w14:textId="77777777" w:rsidR="00695AE2" w:rsidRPr="00503014" w:rsidRDefault="00695AE2" w:rsidP="00695AE2">
      <w:pPr>
        <w:spacing w:line="240" w:lineRule="auto"/>
        <w:contextualSpacing/>
        <w:jc w:val="both"/>
        <w:rPr>
          <w:rFonts w:eastAsia="Calibri"/>
        </w:rPr>
      </w:pPr>
      <w:r w:rsidRPr="00503014">
        <w:rPr>
          <w:rFonts w:eastAsia="Calibri"/>
        </w:rPr>
        <w:t xml:space="preserve">Z namenom reševanja  strokovnih izzivov  Državno odvetništvo RS ustanavlja številne delovne skupine, ki obravnavajo problematiko posameznih področij, kar nedvomno pripomore k lažjemu in bolj učinkovitemu ter strokovnemu delu celotnega organa. Posamezni oddelki prej omenjene strokovne izzive pogosto rešujejo v okviru rednih kolegijev, v ta namen so kolegiji organizirani tudi na vodstvenem nivoju. Vse navedeno je namenjeno kvalitetnejšemu, učinkovitejšemu in strokovnejšemu delu Državnega odvetništva RS ter poenotenju prakse, kadar vsebina in okoliščine zadev to zahtevajo. V želji, da bi tovrstno notranje sodelovanje še okrepili, je bila sprejeta odločitev, da tudi v okviru Državnega odvetništva RS ponudimo intervizijska srečanja, ki so v številnih poklicih priljubljen, uveljavljen in cenjen način izmenjave izkušenj in znanj med zaposlenimi. Izvajajo jih v medicini, v različnih terapevtskih krogih, pa tudi med mediatorji na sodiščih. </w:t>
      </w:r>
    </w:p>
    <w:p w14:paraId="4F557934" w14:textId="77777777" w:rsidR="00695AE2" w:rsidRPr="00503014" w:rsidRDefault="00695AE2" w:rsidP="00695AE2">
      <w:pPr>
        <w:spacing w:line="240" w:lineRule="auto"/>
        <w:contextualSpacing/>
        <w:jc w:val="both"/>
        <w:rPr>
          <w:rFonts w:eastAsia="Calibri"/>
        </w:rPr>
      </w:pPr>
    </w:p>
    <w:p w14:paraId="1D17ABA4" w14:textId="77777777" w:rsidR="00695AE2" w:rsidRPr="00503014" w:rsidRDefault="00695AE2" w:rsidP="00695AE2">
      <w:pPr>
        <w:spacing w:line="240" w:lineRule="auto"/>
        <w:contextualSpacing/>
        <w:jc w:val="both"/>
        <w:rPr>
          <w:rFonts w:eastAsia="Calibri"/>
        </w:rPr>
      </w:pPr>
      <w:r w:rsidRPr="00503014">
        <w:rPr>
          <w:rFonts w:eastAsia="Calibri"/>
        </w:rPr>
        <w:t xml:space="preserve">Že prvo intervizijsko srečanje, ki ga je vodila višja državna odvetnica mag. Jana Morela, je zelo uspelo in vsi udeleženci so si bili enotni, da je obravnavanje izpostavljenega problema na interviziji dobrodošla dodana vrednost za vse udeležence intervizije. Postavljanje vprašanj osvetli problematiko z različnih zornih kotov, temu pa sledi koristna izmenjava mnenj, ki so, </w:t>
      </w:r>
      <w:r w:rsidRPr="00503014">
        <w:rPr>
          <w:rFonts w:eastAsia="Calibri"/>
        </w:rPr>
        <w:lastRenderedPageBreak/>
        <w:t>kot se za pravnike spodobi, seveda lahko zelo različna. V zaključnem delu vsak udeleženec intervizije poda tudi svoj predlog postopanja v zadevi.</w:t>
      </w:r>
      <w:bookmarkStart w:id="62" w:name="_Toc191561735"/>
    </w:p>
    <w:p w14:paraId="30206DB3" w14:textId="77777777" w:rsidR="00695AE2" w:rsidRPr="00503014" w:rsidRDefault="00695AE2" w:rsidP="00695AE2">
      <w:pPr>
        <w:spacing w:line="240" w:lineRule="auto"/>
        <w:contextualSpacing/>
        <w:jc w:val="both"/>
        <w:rPr>
          <w:rFonts w:eastAsia="Calibri"/>
        </w:rPr>
      </w:pPr>
    </w:p>
    <w:p w14:paraId="671D2B91" w14:textId="77777777" w:rsidR="00695AE2" w:rsidRPr="00503014" w:rsidRDefault="00695AE2" w:rsidP="00695AE2">
      <w:pPr>
        <w:pStyle w:val="Naslov4"/>
      </w:pPr>
      <w:bookmarkStart w:id="63" w:name="_Toc223093711"/>
      <w:r w:rsidRPr="00503014">
        <w:t>Usposabljanje kandidatov za državnega odvetnika</w:t>
      </w:r>
      <w:bookmarkEnd w:id="61"/>
      <w:bookmarkEnd w:id="62"/>
      <w:bookmarkEnd w:id="63"/>
    </w:p>
    <w:p w14:paraId="651D34B6" w14:textId="77777777" w:rsidR="00695AE2" w:rsidRPr="00503014" w:rsidRDefault="00695AE2" w:rsidP="00695AE2">
      <w:pPr>
        <w:spacing w:line="240" w:lineRule="auto"/>
        <w:jc w:val="both"/>
        <w:rPr>
          <w:rFonts w:eastAsia="Calibri"/>
          <w:highlight w:val="yellow"/>
        </w:rPr>
      </w:pPr>
    </w:p>
    <w:p w14:paraId="2C7C1E8F" w14:textId="77777777" w:rsidR="00695AE2" w:rsidRPr="00F760BD" w:rsidRDefault="00695AE2" w:rsidP="00695AE2">
      <w:pPr>
        <w:pStyle w:val="Naslov5"/>
      </w:pPr>
      <w:bookmarkStart w:id="64" w:name="_Toc223093712"/>
      <w:r w:rsidRPr="00F760BD">
        <w:rPr>
          <w:rStyle w:val="Naslov5Znak"/>
          <w:bCs/>
        </w:rPr>
        <w:t>Moduli za usposabljanje kandidatov za državnega odvetnika</w:t>
      </w:r>
      <w:bookmarkEnd w:id="64"/>
    </w:p>
    <w:p w14:paraId="30AD11C4" w14:textId="77777777" w:rsidR="00695AE2" w:rsidRPr="00503014" w:rsidRDefault="00695AE2" w:rsidP="00695AE2">
      <w:pPr>
        <w:pStyle w:val="Jasna"/>
      </w:pPr>
    </w:p>
    <w:p w14:paraId="7A8F606B" w14:textId="77777777" w:rsidR="00695AE2" w:rsidRPr="00503014" w:rsidRDefault="00695AE2" w:rsidP="00695AE2">
      <w:pPr>
        <w:spacing w:line="240" w:lineRule="auto"/>
        <w:jc w:val="both"/>
        <w:rPr>
          <w:rFonts w:eastAsia="Calibri"/>
        </w:rPr>
      </w:pPr>
      <w:r w:rsidRPr="00503014">
        <w:rPr>
          <w:rFonts w:eastAsia="Calibri"/>
        </w:rPr>
        <w:t xml:space="preserve">Poseben poudarek je na Državnem odvetništvu RS namenjen ustvarjanju pogojev za stalni strokovni razvoj zaposlenih, prenosu znanja izkušenih strokovnjakov na mlajše sodelavce ter vlaganju v dolgoročni razvoj kadrov. </w:t>
      </w:r>
    </w:p>
    <w:p w14:paraId="6972EF5D" w14:textId="77777777" w:rsidR="00695AE2" w:rsidRPr="00503014" w:rsidRDefault="00695AE2" w:rsidP="00695AE2">
      <w:pPr>
        <w:spacing w:line="240" w:lineRule="auto"/>
        <w:jc w:val="both"/>
        <w:rPr>
          <w:rFonts w:eastAsia="Calibri"/>
        </w:rPr>
      </w:pPr>
    </w:p>
    <w:p w14:paraId="7955C4C8" w14:textId="77777777" w:rsidR="00695AE2" w:rsidRPr="00503014" w:rsidRDefault="00695AE2" w:rsidP="00695AE2">
      <w:pPr>
        <w:spacing w:line="240" w:lineRule="auto"/>
        <w:jc w:val="both"/>
        <w:rPr>
          <w:rFonts w:eastAsia="Calibri"/>
        </w:rPr>
      </w:pPr>
      <w:r w:rsidRPr="00503014">
        <w:rPr>
          <w:rFonts w:eastAsia="Calibri"/>
        </w:rPr>
        <w:t>Z namenom, da bi kandidati za državne odvetnike skozi praktično delo pridobili široko pravno znanje in okrepili svoje veščine</w:t>
      </w:r>
      <w:r w:rsidRPr="00503014">
        <w:rPr>
          <w:rFonts w:eastAsia="Times New Roman"/>
        </w:rPr>
        <w:t xml:space="preserve"> zastopanja, pravnega svetovanja ter mirnega reševanja sporov</w:t>
      </w:r>
      <w:r w:rsidRPr="00503014">
        <w:rPr>
          <w:rFonts w:eastAsia="Calibri"/>
        </w:rPr>
        <w:t xml:space="preserve">, so na Državnem odvetništvu RS organizirani posebni moduli usposabljanja. Pod mentorstvom izkušenih državnih odvetnikov se kandidati za državne odvetnike seznanjajo z različnimi pravnimi področji. </w:t>
      </w:r>
    </w:p>
    <w:p w14:paraId="6A6B327A" w14:textId="77777777" w:rsidR="00695AE2" w:rsidRPr="00503014" w:rsidRDefault="00695AE2" w:rsidP="00695AE2">
      <w:pPr>
        <w:spacing w:line="240" w:lineRule="auto"/>
        <w:jc w:val="both"/>
        <w:rPr>
          <w:rFonts w:eastAsia="Calibri"/>
        </w:rPr>
      </w:pPr>
    </w:p>
    <w:p w14:paraId="2D7C5C0C"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Spori, v katere je vpletena država, so čedalje bolj kompleksni, pravna problematika, ki se v njih obravnava, pa strokovno izjemno zahtevna ter nemalokrat terja </w:t>
      </w:r>
      <w:r w:rsidRPr="00503014">
        <w:rPr>
          <w:rFonts w:eastAsia="Times New Roman"/>
          <w:lang w:eastAsia="sl-SI"/>
        </w:rPr>
        <w:t xml:space="preserve">poglobljeno analizo, dolgotrajno proučevanje ter vključitev specifičnega strokovnega znanja. </w:t>
      </w:r>
      <w:r w:rsidRPr="00503014">
        <w:rPr>
          <w:rFonts w:eastAsia="Calibri"/>
        </w:rPr>
        <w:t xml:space="preserve">Zato so v pripravo strokovnih podlag za delo državnih odvetnikov ali pa v </w:t>
      </w:r>
      <w:r w:rsidRPr="00503014">
        <w:rPr>
          <w:rFonts w:eastAsia="Times New Roman"/>
        </w:rPr>
        <w:t>opravljanje drugih strokovnih nalog po navodilu državnih odvetnikov</w:t>
      </w:r>
      <w:r w:rsidRPr="00503014">
        <w:rPr>
          <w:rFonts w:eastAsia="Calibri"/>
        </w:rPr>
        <w:t xml:space="preserve"> posameznega oddelka na sedežu oziroma zunanjega oddelka vpeti tudi kandidati za državne odvetnike. Na ta način kandidati za državne odvetnike krepijo svoje strokovne kompetence in pridobivajo izkušnje, z omogočanjem sodelovanja z izkušenim kadrom in rednega vključevanja v različne naloge pa se krepi tudi dolgoročno zagotavljanje kakovostnega izvajanja pristojnosti organa ter učinkovitost pri zaščiti premoženjskih in drugih interesov Republike Slovenije, varovanju javnega interesa, krepitvi ugleda države ter samega Državnega odvetništva RS.</w:t>
      </w:r>
    </w:p>
    <w:p w14:paraId="16E3F727" w14:textId="77777777" w:rsidR="00695AE2" w:rsidRPr="00503014" w:rsidRDefault="00695AE2" w:rsidP="00695AE2">
      <w:pPr>
        <w:spacing w:line="240" w:lineRule="auto"/>
        <w:jc w:val="both"/>
        <w:rPr>
          <w:rFonts w:eastAsia="Times New Roman"/>
        </w:rPr>
      </w:pPr>
    </w:p>
    <w:p w14:paraId="428D4EE3" w14:textId="77777777" w:rsidR="00695AE2" w:rsidRPr="00503014" w:rsidRDefault="00695AE2" w:rsidP="00695AE2">
      <w:pPr>
        <w:pStyle w:val="Naslov5"/>
      </w:pPr>
      <w:bookmarkStart w:id="65" w:name="_Toc223093713"/>
      <w:r w:rsidRPr="00503014">
        <w:t>Razporeditev kandidatov za državnega odvetnika na Mednarodni oddelek</w:t>
      </w:r>
      <w:bookmarkEnd w:id="65"/>
    </w:p>
    <w:p w14:paraId="42182B63" w14:textId="77777777" w:rsidR="00695AE2" w:rsidRPr="00503014" w:rsidRDefault="00695AE2" w:rsidP="00695AE2">
      <w:pPr>
        <w:spacing w:line="240" w:lineRule="auto"/>
        <w:jc w:val="both"/>
        <w:rPr>
          <w:rFonts w:eastAsia="Calibri"/>
        </w:rPr>
      </w:pPr>
    </w:p>
    <w:p w14:paraId="34455566" w14:textId="77777777" w:rsidR="00695AE2" w:rsidRPr="00503014" w:rsidRDefault="00695AE2" w:rsidP="00695AE2">
      <w:pPr>
        <w:spacing w:line="240" w:lineRule="auto"/>
        <w:jc w:val="both"/>
        <w:rPr>
          <w:rFonts w:eastAsia="Calibri"/>
        </w:rPr>
      </w:pPr>
      <w:r w:rsidRPr="00503014">
        <w:rPr>
          <w:rFonts w:eastAsia="Calibri"/>
        </w:rPr>
        <w:t xml:space="preserve">ZDOdv predvideva, da pred mednarodnimi sodišči in arbitražami Republiko Slovenijo zastopa višji državni odvetnik. Glede na to, da so bile pristojnosti Mednarodnega oddelka, ki je edini že z ZDOdv predvideni stalni specializirani oddelek na sedežu Državnega odvetništva RS, razširjene na zastopanje Republike Slovenije pred mednarodnimi arbitražami in zaradi čedalje večje vsebinske kompleksnosti zadev, ki so predmet sodnih postopkov pred mednarodnimi sodišči, je širitev kadrovske strukture oddelka s kandidati za državne odvetnike ne le nujno potrebna, temveč z vidika učinkovitosti tudi najbolj ustrezna. </w:t>
      </w:r>
    </w:p>
    <w:p w14:paraId="62E9FB20" w14:textId="77777777" w:rsidR="00695AE2" w:rsidRPr="00503014" w:rsidRDefault="00695AE2" w:rsidP="00695AE2">
      <w:pPr>
        <w:spacing w:line="240" w:lineRule="auto"/>
        <w:jc w:val="both"/>
        <w:rPr>
          <w:rFonts w:eastAsia="Calibri"/>
        </w:rPr>
      </w:pPr>
    </w:p>
    <w:p w14:paraId="4553E8FF" w14:textId="77777777" w:rsidR="00695AE2" w:rsidRPr="00503014" w:rsidRDefault="00695AE2" w:rsidP="00695AE2">
      <w:pPr>
        <w:spacing w:line="240" w:lineRule="auto"/>
        <w:jc w:val="both"/>
        <w:rPr>
          <w:rFonts w:eastAsia="Calibri"/>
        </w:rPr>
      </w:pPr>
      <w:r w:rsidRPr="00503014">
        <w:rPr>
          <w:rFonts w:eastAsia="Calibri"/>
        </w:rPr>
        <w:t xml:space="preserve">Arbitražni postopki, ki na podlagi sklenjene mednarodne pogodbe (običajno o spodbujanju vlaganj na posameznem področju) zavezujejo Republiko Slovenijo, potekajo pred različnimi mednarodnimi arbitražnimi forumi, od katerih ima vsak svoja procesna in materialna pravila ter arbitražno prakso. To narekuje fleksibilno delovanje tako v smislu zmožnosti prehajanja med različnimi arbitražnimi jurisdikcijami, koordinacijo več resornih ministrstev in organov v sestavi ter opravljanje drugih podpornih nalog, kot so pridobivanje pogosto izjemno obsežne dokumentacije in relevantnih informacij, ažurno obveščanje Vlade RS kot zastopanega subjekta, kontinuirano usklajevanje in posvetovanje s tujimi odvetniškimi pisarnami, </w:t>
      </w:r>
      <w:r w:rsidRPr="00503014">
        <w:rPr>
          <w:rFonts w:eastAsia="Calibri"/>
        </w:rPr>
        <w:lastRenderedPageBreak/>
        <w:t xml:space="preserve">specializiranimi za področje mednarodnih investicijskih arbitraž, sprotno zagotavljanje dokumentacije v tujem jeziku ter podajo pojasnil o slovenskem pravnem, političnem in družbenem sistemu. Navedena opravila, ki zahtevajo veliko operativno-logističnega dela, lahko opravljajo tudi kandidati za državne odvetnike, ki so praviloma mlajši pravni strokovnjaki z dobrim poznavanjem domačega pravnega sistema, ki že razpolagajo z osnovnimi izkušnjami glede delovanja državne uprave, izkazujejo odlično znanje tujih jezikov ter so spretni pri uporabi sodobnih informacijskih tehnologij in podpornih orodij za prevajanje in upravljanje dokumentov. </w:t>
      </w:r>
    </w:p>
    <w:p w14:paraId="3F1E4778" w14:textId="77777777" w:rsidR="00695AE2" w:rsidRPr="00503014" w:rsidRDefault="00695AE2" w:rsidP="00695AE2">
      <w:pPr>
        <w:spacing w:line="240" w:lineRule="auto"/>
        <w:jc w:val="both"/>
        <w:rPr>
          <w:rFonts w:eastAsia="Calibri"/>
        </w:rPr>
      </w:pPr>
    </w:p>
    <w:p w14:paraId="07A88F5A" w14:textId="77777777" w:rsidR="00695AE2" w:rsidRPr="00503014" w:rsidRDefault="00695AE2" w:rsidP="00695AE2">
      <w:pPr>
        <w:spacing w:line="240" w:lineRule="auto"/>
        <w:jc w:val="both"/>
        <w:rPr>
          <w:rFonts w:eastAsia="Calibri"/>
        </w:rPr>
      </w:pPr>
      <w:r w:rsidRPr="00503014">
        <w:rPr>
          <w:rFonts w:eastAsia="Calibri"/>
        </w:rPr>
        <w:t>Prav tako spremenjeno kadrovsko strukturo Mednarodnega oddelka narekuje vse večja kompleksnost zadev, ki tečejo pred mednarodnimi sodišči. Zastopanje pred slednjimi zahteva dobro poznavanje vse bolj obsežne domače sodne prakse in judikatov mednarodnih sodišč, s katerimi ta razlagajo mednarodne pogodbe in druge vire mednarodnega prava. Z namenom, da bi se višji državni odvetnik kot zastopnik Republike Slovenije v tovrstnih postopkih lahko polno osredotočil na študij relevantnih dejstev in prava v konkretni zadevi ter pripravil kakovostno strategijo obrambe države, je nujno, da se ga razbremeni opravljanja posameznih opravil organizacijske in podporne narave (pridobitev sodne prakse domačih in mednarodnih sodišč, priprava strokovnih podlag za usmerjanje obrambe Republike Slovenije, pridobitev študij, poročil in ekspertiz strokovnih institucij na posameznem področju, ki so lahko v podporo stališčem Republike Slovenije), njihovo izvedbo pa prenese na kandidate za državnega odvetnika.</w:t>
      </w:r>
    </w:p>
    <w:p w14:paraId="6890317B" w14:textId="77777777" w:rsidR="00695AE2" w:rsidRPr="00503014" w:rsidRDefault="00695AE2" w:rsidP="00695AE2">
      <w:pPr>
        <w:spacing w:line="240" w:lineRule="auto"/>
        <w:jc w:val="both"/>
        <w:rPr>
          <w:rFonts w:eastAsia="Calibri"/>
        </w:rPr>
      </w:pPr>
    </w:p>
    <w:p w14:paraId="7EC727F4" w14:textId="77777777" w:rsidR="00695AE2" w:rsidRPr="00503014" w:rsidRDefault="00695AE2" w:rsidP="00695AE2">
      <w:pPr>
        <w:spacing w:line="240" w:lineRule="auto"/>
        <w:jc w:val="both"/>
        <w:rPr>
          <w:rFonts w:eastAsia="Calibri"/>
        </w:rPr>
      </w:pPr>
      <w:r w:rsidRPr="00503014">
        <w:rPr>
          <w:rFonts w:eastAsia="Calibri"/>
        </w:rPr>
        <w:t>Ob spremenjenih pristojnostih Mednarodnega oddelka ter vse bolj naraščajoči kompleksnosti pravnih vprašanj lahko kandidati za državnega odvetnika na Mednarodnem oddelku pomembno prispevajo h kakovosti zastopanja, že pridobljena teoretična in praktična znanja ter izkušnje pa ob timskem delu z višjim državnim odvetnikom bogatijo z novimi. Na ta način se tudi karierno usposabljajo za kasnejše samostojno opravljanje zahtevnih zastopniških nalog pred mednarodnimi sodišči in arbitražami, kar dolgoročno zagotavlja kontinuiteto izvajanja zastopniških opravil ter zagotavljanja kakovosti zastopanja Republike Slovenije na najvišji ravni.</w:t>
      </w:r>
    </w:p>
    <w:p w14:paraId="3954A78A" w14:textId="77777777" w:rsidR="00695AE2" w:rsidRPr="00503014" w:rsidRDefault="00695AE2" w:rsidP="00695AE2">
      <w:pPr>
        <w:spacing w:line="240" w:lineRule="auto"/>
        <w:jc w:val="both"/>
        <w:rPr>
          <w:rFonts w:eastAsia="Calibri"/>
        </w:rPr>
      </w:pPr>
    </w:p>
    <w:p w14:paraId="7FAC222F" w14:textId="77777777" w:rsidR="00695AE2" w:rsidRPr="00503014" w:rsidRDefault="00695AE2" w:rsidP="00695AE2">
      <w:pPr>
        <w:pStyle w:val="Naslov5"/>
        <w:rPr>
          <w:b/>
          <w:lang w:eastAsia="sl-SI"/>
        </w:rPr>
      </w:pPr>
      <w:bookmarkStart w:id="66" w:name="_Toc191561738"/>
      <w:bookmarkStart w:id="67" w:name="_Toc223093714"/>
      <w:r w:rsidRPr="00503014">
        <w:rPr>
          <w:lang w:eastAsia="sl-SI"/>
        </w:rPr>
        <w:t>Sodelovanje v delovnih skupinah</w:t>
      </w:r>
      <w:bookmarkEnd w:id="66"/>
      <w:bookmarkEnd w:id="67"/>
    </w:p>
    <w:p w14:paraId="09A8691A"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br/>
      </w:r>
      <w:r w:rsidRPr="00503014">
        <w:rPr>
          <w:rFonts w:eastAsia="Calibri"/>
        </w:rPr>
        <w:t xml:space="preserve">Kandidati za državne odvetnike so ob izvajanju svojih osnovnih delovnih nalog vse pogosteje vključeni v delo delovnih skupin, kar jim omogoča pridobivanje izkušenj na širših pravnih in tudi organizacijskih področjih. Takšno sodelovanje kandidatom za državnega odvetnika omogoča prenos znanja in razvoj novih kompetenc, ki jih povezujejo z vsakodnevnim delovanjem organa. </w:t>
      </w:r>
    </w:p>
    <w:p w14:paraId="1CD4C006" w14:textId="77777777" w:rsidR="00695AE2" w:rsidRPr="00503014" w:rsidRDefault="00695AE2" w:rsidP="00695AE2">
      <w:pPr>
        <w:spacing w:line="240" w:lineRule="auto"/>
        <w:rPr>
          <w:rFonts w:eastAsia="Calibri"/>
          <w:color w:val="007466"/>
        </w:rPr>
      </w:pPr>
    </w:p>
    <w:p w14:paraId="28D754C9" w14:textId="77777777" w:rsidR="00695AE2" w:rsidRPr="00503014" w:rsidRDefault="00695AE2" w:rsidP="00695AE2">
      <w:pPr>
        <w:pStyle w:val="Naslov5"/>
        <w:rPr>
          <w:b/>
        </w:rPr>
      </w:pPr>
      <w:bookmarkStart w:id="68" w:name="_Toc191561739"/>
      <w:bookmarkStart w:id="69" w:name="_Toc223093715"/>
      <w:r w:rsidRPr="00503014">
        <w:t>Interna izobraževanja in delavnice</w:t>
      </w:r>
      <w:bookmarkEnd w:id="68"/>
      <w:bookmarkEnd w:id="69"/>
    </w:p>
    <w:p w14:paraId="67DC7C1B" w14:textId="77777777" w:rsidR="00695AE2" w:rsidRPr="00503014" w:rsidRDefault="00695AE2" w:rsidP="00695AE2">
      <w:pPr>
        <w:spacing w:line="240" w:lineRule="auto"/>
        <w:jc w:val="both"/>
        <w:rPr>
          <w:rFonts w:eastAsia="Calibri"/>
        </w:rPr>
      </w:pPr>
      <w:r w:rsidRPr="00503014">
        <w:rPr>
          <w:rFonts w:eastAsia="Times New Roman"/>
          <w:lang w:eastAsia="sl-SI"/>
        </w:rPr>
        <w:br/>
      </w:r>
      <w:r w:rsidRPr="00503014">
        <w:rPr>
          <w:rFonts w:eastAsia="Calibri"/>
        </w:rPr>
        <w:t xml:space="preserve">Na Državnem odvetništvu RS se v skrbi za zagotavljanje stimulativnega delovnega okolja ter prenosa znanja pogosto organizirajo ad hoc delavnice in predavanja, ki obravnavajo posamezne pravne institute, zanimive pravne zadeve ter metode dela na posameznih vrstah zadev. Takšna usposabljanja so sicer primarno namenjena kandidatom za državne odvetnike, vendar se jih lahko udeležijo vsi zainteresirani zaposleni, saj so prilagojena tudi za spremljanje na daljavo. </w:t>
      </w:r>
    </w:p>
    <w:p w14:paraId="4F84DEB3" w14:textId="77777777" w:rsidR="00695AE2" w:rsidRPr="00503014" w:rsidRDefault="00695AE2" w:rsidP="00695AE2">
      <w:pPr>
        <w:spacing w:line="240" w:lineRule="auto"/>
        <w:jc w:val="both"/>
        <w:rPr>
          <w:rFonts w:eastAsia="Calibri"/>
        </w:rPr>
      </w:pPr>
      <w:r w:rsidRPr="00503014">
        <w:rPr>
          <w:rFonts w:eastAsia="Calibri"/>
        </w:rPr>
        <w:lastRenderedPageBreak/>
        <w:t>Za lažjo vključitev novih zaposlenih se na Državnem odvetništvu RS organizirajo delavnice, kjer se udeleženci spoznajo z nalogami in pristojnostmi Državnega odvetništva RS, organizacijsko strukturo, osnovami delovnih procesov v podpornih pisarnah, temeljnimi procesnimi pravili različnih pravnih področij, delovanjem informacijskega sistema ter drugimi ključnimi vidiki dela. Te delavnice omogočajo učinkovito vključitev novih sodelavcev in hitrejše prilagajanje na delovno okolje.</w:t>
      </w:r>
    </w:p>
    <w:p w14:paraId="376069DF" w14:textId="77777777" w:rsidR="00695AE2" w:rsidRPr="00503014" w:rsidRDefault="00695AE2" w:rsidP="00695AE2">
      <w:pPr>
        <w:autoSpaceDE w:val="0"/>
        <w:autoSpaceDN w:val="0"/>
        <w:adjustRightInd w:val="0"/>
        <w:spacing w:line="240" w:lineRule="auto"/>
        <w:jc w:val="both"/>
        <w:rPr>
          <w:rFonts w:eastAsia="Times New Roman"/>
          <w:lang w:eastAsia="sl-SI"/>
        </w:rPr>
      </w:pPr>
      <w:bookmarkStart w:id="70" w:name="_Toc168844870"/>
    </w:p>
    <w:p w14:paraId="08CA589F" w14:textId="77777777" w:rsidR="00695AE2" w:rsidRPr="00503014" w:rsidRDefault="00695AE2" w:rsidP="00695AE2">
      <w:pPr>
        <w:pStyle w:val="Naslov4"/>
      </w:pPr>
      <w:bookmarkStart w:id="71" w:name="_Toc223093716"/>
      <w:bookmarkEnd w:id="70"/>
      <w:r w:rsidRPr="00503014">
        <w:t>Interni natečaj za pridobitev dodatne izobrazbe</w:t>
      </w:r>
      <w:bookmarkEnd w:id="71"/>
      <w:r w:rsidRPr="00503014">
        <w:t xml:space="preserve"> </w:t>
      </w:r>
    </w:p>
    <w:p w14:paraId="55B67F9C" w14:textId="77777777" w:rsidR="00695AE2" w:rsidRPr="00503014" w:rsidRDefault="00695AE2" w:rsidP="00695AE2">
      <w:pPr>
        <w:pStyle w:val="Jasna"/>
      </w:pPr>
    </w:p>
    <w:p w14:paraId="554A782F" w14:textId="77777777" w:rsidR="00695AE2" w:rsidRPr="00503014" w:rsidRDefault="00695AE2" w:rsidP="00695AE2">
      <w:pPr>
        <w:suppressAutoHyphens/>
        <w:spacing w:line="240" w:lineRule="auto"/>
        <w:jc w:val="both"/>
      </w:pPr>
      <w:r w:rsidRPr="00503014">
        <w:t xml:space="preserve">Državno odvetništvo RS je v letu 2025 objavilo dva interna natečaja za vključitev zaposlenih v izobraževanje za pridobitev dodatne izobrazbe. Prvi natečaj je bil namenjen pridobitvi 7 ravni izobrazbe po Slovenskem ogrodju kvalifikacij (SOK) oziroma 6/2 ravni po  Uredbi o uvedbi in uporabi klasifikacijskega sistema izobraževanja in usposabljanja (Uredba), in sicer po visokošolskem strokovnem programu (1. bolonjska stopnja) ali univerzitetnem programu (1. bolonjska stopnja). Drugi natečaj je bil namenjen pridobitvi 8 ravni izobrazbe po SOK oziroma 7 ravni po Uredbi (2. bolonjska stopnja).  </w:t>
      </w:r>
    </w:p>
    <w:p w14:paraId="24F18E39" w14:textId="77777777" w:rsidR="00695AE2" w:rsidRPr="00503014" w:rsidRDefault="00695AE2" w:rsidP="00695AE2">
      <w:pPr>
        <w:suppressAutoHyphens/>
        <w:spacing w:line="240" w:lineRule="auto"/>
        <w:jc w:val="both"/>
      </w:pPr>
    </w:p>
    <w:p w14:paraId="61E9F0CE" w14:textId="77777777" w:rsidR="00695AE2" w:rsidRPr="00503014" w:rsidRDefault="00695AE2" w:rsidP="00695AE2">
      <w:pPr>
        <w:suppressAutoHyphens/>
        <w:spacing w:line="240" w:lineRule="auto"/>
        <w:jc w:val="both"/>
      </w:pPr>
      <w:r w:rsidRPr="00503014">
        <w:t xml:space="preserve">Namen obeh natečajev je bil spodbuditi poklicni in osebni razvoj zaposlenih, okrepiti strokovne kompetence ter zagotoviti dolgoročno kakovostno kadrovsko strukturo. Natečaja sta se izvedla tako v interesu Državnega odvetništva RS kot tudi v lastnem interesu kandidata, zato je bilo v merilih določeno tudi, da morata biti vsebina izobraževanja in predmetnik povezana z vsebino dela na Državnem odvetništvu RS oziroma z vsebino dela delovnega mesta, ki bi ga kandidat na Državnem odvetništvu RS lahko opravljal po doseženi višji ravni izobrazbe. Pri izbiri kandidatov oziroma presoji vlog za pridobitev 8 ravni izobrazbe po SOK oziroma 7 ravni po Uredbi (2. bolonjska stopnja) se je ugotavljal tudi obstoj potrebe organa za dvig izobrazbe glede na obstoječe stanje ali potencialno glede na strateški razvoj organa. </w:t>
      </w:r>
    </w:p>
    <w:p w14:paraId="66C7EF57" w14:textId="77777777" w:rsidR="00695AE2" w:rsidRPr="00503014" w:rsidRDefault="00695AE2" w:rsidP="00695AE2">
      <w:pPr>
        <w:suppressAutoHyphens/>
        <w:spacing w:line="240" w:lineRule="auto"/>
        <w:jc w:val="both"/>
      </w:pPr>
    </w:p>
    <w:p w14:paraId="1F35DB03" w14:textId="77777777" w:rsidR="00695AE2" w:rsidRDefault="00695AE2" w:rsidP="00695AE2">
      <w:pPr>
        <w:suppressAutoHyphens/>
        <w:spacing w:line="240" w:lineRule="auto"/>
        <w:jc w:val="both"/>
      </w:pPr>
      <w:r w:rsidRPr="00503014">
        <w:t xml:space="preserve">Oba natečaja sta se uspešno zaključila. V okviru prvega natečaja je bilo trem javnim uslužbenkam odobreno celotno kritje enkratnega stroška diplomiranja (vse tri kandidatke so bile izbrane na internem natečaju za pridobitev dodatne izobrazbe v letu 2023), eni javni uslužbenki pa financiranje dodatnega izobraževanja (1. bolonjska stopnja). V okviru drugega natečaja je Državno odvetništvo RS eni javni uslužbenki zagotovilo financiranje celotnega stroška izobraževanja (2. bolonjska stopnja). </w:t>
      </w:r>
    </w:p>
    <w:p w14:paraId="701FC5F9" w14:textId="77777777" w:rsidR="00695AE2" w:rsidRPr="00050992" w:rsidRDefault="00695AE2" w:rsidP="00695AE2">
      <w:pPr>
        <w:suppressAutoHyphens/>
        <w:spacing w:line="240" w:lineRule="auto"/>
        <w:jc w:val="both"/>
        <w:rPr>
          <w:sz w:val="32"/>
          <w:szCs w:val="32"/>
        </w:rPr>
      </w:pPr>
    </w:p>
    <w:p w14:paraId="0DFAD107" w14:textId="77777777" w:rsidR="00695AE2" w:rsidRPr="00050992" w:rsidRDefault="00695AE2" w:rsidP="00695AE2">
      <w:pPr>
        <w:pStyle w:val="Naslov2"/>
        <w:ind w:left="0" w:firstLine="0"/>
      </w:pPr>
      <w:bookmarkStart w:id="72" w:name="_Toc223093717"/>
      <w:r w:rsidRPr="00050992">
        <w:t>Obisk udeležencev programa izmenjav za sodnike in pravosodno osebje v okviru EJTN 2025</w:t>
      </w:r>
      <w:bookmarkEnd w:id="72"/>
    </w:p>
    <w:p w14:paraId="6A31BED9" w14:textId="77777777" w:rsidR="00695AE2" w:rsidRPr="00050992" w:rsidRDefault="00695AE2" w:rsidP="00695AE2">
      <w:pPr>
        <w:suppressAutoHyphens/>
        <w:spacing w:line="240" w:lineRule="auto"/>
        <w:jc w:val="both"/>
        <w:rPr>
          <w:color w:val="007466"/>
          <w:sz w:val="32"/>
          <w:szCs w:val="32"/>
        </w:rPr>
      </w:pPr>
    </w:p>
    <w:p w14:paraId="11738BB6" w14:textId="77777777" w:rsidR="00695AE2" w:rsidRPr="00050992" w:rsidRDefault="00695AE2" w:rsidP="00695AE2">
      <w:pPr>
        <w:suppressAutoHyphens/>
        <w:spacing w:line="240" w:lineRule="auto"/>
        <w:jc w:val="both"/>
      </w:pPr>
      <w:r w:rsidRPr="00050992">
        <w:t>V okviru programa izmenjav za sodnike in pravosodno osebje</w:t>
      </w:r>
      <w:r>
        <w:t xml:space="preserve">, </w:t>
      </w:r>
      <w:r w:rsidRPr="00503014">
        <w:rPr>
          <w:rFonts w:eastAsia="Calibri"/>
        </w:rPr>
        <w:t>ki so organizirani v okviru Evropske mreže institucij za izobraževanje  v pravosodju (</w:t>
      </w:r>
      <w:r w:rsidRPr="00503014">
        <w:rPr>
          <w:rFonts w:eastAsia="Times New Roman"/>
        </w:rPr>
        <w:t xml:space="preserve">European Judicial Training Network </w:t>
      </w:r>
      <w:r w:rsidRPr="00503014">
        <w:rPr>
          <w:rFonts w:eastAsia="Calibri"/>
        </w:rPr>
        <w:t>– EJTN)</w:t>
      </w:r>
      <w:r>
        <w:rPr>
          <w:rFonts w:eastAsia="Calibri"/>
        </w:rPr>
        <w:t xml:space="preserve"> in</w:t>
      </w:r>
      <w:r w:rsidRPr="00503014">
        <w:rPr>
          <w:rFonts w:eastAsia="Calibri"/>
        </w:rPr>
        <w:t xml:space="preserve"> v kateri Republiko Slovenijo zastopa CIP</w:t>
      </w:r>
      <w:r>
        <w:rPr>
          <w:rFonts w:eastAsia="Calibri"/>
        </w:rPr>
        <w:t xml:space="preserve">, je </w:t>
      </w:r>
      <w:r w:rsidRPr="00050992">
        <w:t>Državn</w:t>
      </w:r>
      <w:r>
        <w:t>o</w:t>
      </w:r>
      <w:r w:rsidRPr="00050992">
        <w:t xml:space="preserve"> odvetništv</w:t>
      </w:r>
      <w:r>
        <w:t>o</w:t>
      </w:r>
      <w:r w:rsidRPr="00050992">
        <w:t xml:space="preserve"> RS v septembru 2025 sprejel</w:t>
      </w:r>
      <w:r>
        <w:t>o</w:t>
      </w:r>
      <w:r w:rsidRPr="00050992">
        <w:t xml:space="preserve"> udeležence izmenjave iz Romunije, Španije, Finske, Grčije in Češke. </w:t>
      </w:r>
    </w:p>
    <w:p w14:paraId="18C388C8" w14:textId="77777777" w:rsidR="00695AE2" w:rsidRPr="00050992" w:rsidRDefault="00695AE2" w:rsidP="00695AE2">
      <w:pPr>
        <w:suppressAutoHyphens/>
        <w:spacing w:line="240" w:lineRule="auto"/>
        <w:jc w:val="both"/>
      </w:pPr>
    </w:p>
    <w:p w14:paraId="206314F5" w14:textId="77777777" w:rsidR="00695AE2" w:rsidRPr="00503014" w:rsidRDefault="00695AE2" w:rsidP="00695AE2">
      <w:pPr>
        <w:suppressAutoHyphens/>
        <w:spacing w:line="240" w:lineRule="auto"/>
        <w:jc w:val="both"/>
      </w:pPr>
      <w:r w:rsidRPr="00050992">
        <w:t>Po uvodnem nagovoru generalne državne odvetnice dr. Ane Kerš</w:t>
      </w:r>
      <w:r>
        <w:t>e</w:t>
      </w:r>
      <w:r w:rsidRPr="00050992">
        <w:t xml:space="preserve">van je bilo izvedenih več prezentacij zaposlenih na Državnem odvetništvu RS, v okviru katerih so bile udeležencem </w:t>
      </w:r>
      <w:r w:rsidRPr="00503014">
        <w:t>predstavljene pristojnosti in način dela Državnega odvetništva RS, delovanje Mednarodnega oddelka, vključno z zastopanjem Republike Slovenije v mednarodnih postopkih in arbitražah</w:t>
      </w:r>
      <w:r>
        <w:t xml:space="preserve"> </w:t>
      </w:r>
      <w:r>
        <w:lastRenderedPageBreak/>
        <w:t xml:space="preserve">in v tem okviru sodelovanje oddelka </w:t>
      </w:r>
      <w:r w:rsidRPr="00050992">
        <w:t>z drugimi državnimi organi, način priprave strategij za posamezne primere, izzivi, ki jih prinašajo kompleksni postopki, časovni pritiski in potreba po natančni usklajenosti med različnimi deležniki, prav tako pa tudi pomen mednarodnega pravnega znanja in izkušenj.</w:t>
      </w:r>
    </w:p>
    <w:p w14:paraId="1427CC9B" w14:textId="77777777" w:rsidR="00695AE2" w:rsidRPr="00050992" w:rsidRDefault="00695AE2" w:rsidP="00695AE2">
      <w:pPr>
        <w:suppressAutoHyphens/>
        <w:spacing w:line="240" w:lineRule="auto"/>
        <w:jc w:val="both"/>
      </w:pPr>
    </w:p>
    <w:p w14:paraId="55E1025E" w14:textId="77777777" w:rsidR="00695AE2" w:rsidRDefault="00695AE2" w:rsidP="00695AE2">
      <w:pPr>
        <w:suppressAutoHyphens/>
        <w:spacing w:line="240" w:lineRule="auto"/>
        <w:jc w:val="both"/>
      </w:pPr>
      <w:r w:rsidRPr="00050992">
        <w:t xml:space="preserve">Udeležencem so bile predstavljene tudi karierne priložnosti znotraj Državnega odvetništva RS ter sistem usposabljanja mlajših kadrov preko mentorstva, ki poleg prenosa znanja, načina dela in dobrih praks preko njihovega samostojnega dela ter vključitve v zahtevnejše postopke kandidatom za državne odvetnike in državnim odvetnikom na začetku njihove poti omogoča tudi, da pridobivajo veščine učinkovitega zastopanja, strateškega razmišljanja ter pravne argumentacije. </w:t>
      </w:r>
    </w:p>
    <w:p w14:paraId="3424A27F" w14:textId="77777777" w:rsidR="00695AE2" w:rsidRDefault="00695AE2" w:rsidP="00695AE2">
      <w:pPr>
        <w:suppressAutoHyphens/>
        <w:spacing w:line="240" w:lineRule="auto"/>
        <w:jc w:val="both"/>
      </w:pPr>
    </w:p>
    <w:p w14:paraId="7C7AAD83" w14:textId="77777777" w:rsidR="00695AE2" w:rsidRDefault="00695AE2" w:rsidP="00695AE2">
      <w:pPr>
        <w:spacing w:line="240" w:lineRule="auto"/>
        <w:jc w:val="both"/>
      </w:pPr>
      <w:r w:rsidRPr="00503014">
        <w:t>Obisk je prispeval h krepitvi mednarodnega sodelovanja, izmenjavi dobrih praks ter večji prepoznavnosti Državnega odvetništva RS v evropskem pravosodnem prostoru. Udeleženci so obisk ocenili kot strokovno koristen in uspešen.</w:t>
      </w:r>
    </w:p>
    <w:p w14:paraId="095F7075" w14:textId="77777777" w:rsidR="00695AE2" w:rsidRPr="00503014" w:rsidRDefault="00695AE2" w:rsidP="00695AE2">
      <w:pPr>
        <w:spacing w:line="240" w:lineRule="auto"/>
        <w:jc w:val="both"/>
        <w:rPr>
          <w:rFonts w:eastAsia="Calibri"/>
          <w:sz w:val="32"/>
          <w:szCs w:val="32"/>
        </w:rPr>
      </w:pPr>
    </w:p>
    <w:p w14:paraId="2D69E157" w14:textId="77777777" w:rsidR="00695AE2" w:rsidRPr="00503014" w:rsidRDefault="00695AE2" w:rsidP="00695AE2">
      <w:pPr>
        <w:pStyle w:val="Naslov2"/>
        <w:ind w:left="0" w:firstLine="0"/>
      </w:pPr>
      <w:bookmarkStart w:id="73" w:name="_Toc160097133"/>
      <w:bookmarkStart w:id="74" w:name="_Toc191561743"/>
      <w:bookmarkStart w:id="75" w:name="_Toc223093718"/>
      <w:r w:rsidRPr="00503014">
        <w:t>Sodelovanje državnih odvetnikov kot predavateljev na različnih posvetovanjih in izobraževanjih</w:t>
      </w:r>
      <w:bookmarkEnd w:id="73"/>
      <w:bookmarkEnd w:id="74"/>
      <w:bookmarkEnd w:id="75"/>
    </w:p>
    <w:p w14:paraId="51F6A038" w14:textId="77777777" w:rsidR="00695AE2" w:rsidRPr="00503014" w:rsidRDefault="00695AE2" w:rsidP="00695AE2">
      <w:pPr>
        <w:spacing w:line="240" w:lineRule="auto"/>
        <w:jc w:val="both"/>
        <w:rPr>
          <w:rFonts w:eastAsia="Times New Roman"/>
          <w:sz w:val="32"/>
          <w:szCs w:val="32"/>
        </w:rPr>
      </w:pPr>
    </w:p>
    <w:p w14:paraId="7D6D6778" w14:textId="77777777" w:rsidR="00695AE2" w:rsidRPr="00503014" w:rsidRDefault="00695AE2" w:rsidP="00695AE2">
      <w:pPr>
        <w:spacing w:line="240" w:lineRule="auto"/>
        <w:jc w:val="both"/>
        <w:rPr>
          <w:rFonts w:eastAsia="Calibri"/>
        </w:rPr>
      </w:pPr>
      <w:r w:rsidRPr="00503014">
        <w:rPr>
          <w:rFonts w:eastAsia="Calibri"/>
        </w:rPr>
        <w:t xml:space="preserve">Na Državnem odvetništvu RS zaposlene aktivno spodbujamo k sodelovanju na posvetovanjih, izobraževanjih ter raznih drugih oblikah usposabljanja, s posebnim poudarkom na predstavitvi in strokovni obravnavi specifične problematike s področja dela in poslovanja Državnega odvetništva RS. S tem krepimo prepoznavnost organa ter tudi v drugih organih oziroma širših družbenih sredinah prispevamo k širitvi znanja in razvoju strokovnih kompetenc.  </w:t>
      </w:r>
    </w:p>
    <w:p w14:paraId="692772B5" w14:textId="77777777" w:rsidR="00695AE2" w:rsidRPr="00503014" w:rsidRDefault="00695AE2" w:rsidP="00695AE2">
      <w:pPr>
        <w:spacing w:line="240" w:lineRule="auto"/>
        <w:jc w:val="both"/>
        <w:rPr>
          <w:rFonts w:eastAsia="Calibri"/>
        </w:rPr>
      </w:pPr>
    </w:p>
    <w:p w14:paraId="29687D5F" w14:textId="77777777" w:rsidR="00695AE2" w:rsidRPr="00503014" w:rsidRDefault="00695AE2" w:rsidP="00695AE2">
      <w:pPr>
        <w:spacing w:line="240" w:lineRule="auto"/>
        <w:jc w:val="both"/>
        <w:rPr>
          <w:rFonts w:eastAsia="Calibri"/>
          <w:sz w:val="28"/>
          <w:szCs w:val="28"/>
        </w:rPr>
      </w:pPr>
      <w:r w:rsidRPr="00503014">
        <w:rPr>
          <w:rFonts w:eastAsia="Calibri"/>
        </w:rPr>
        <w:t>V nadaljevanju te točke so predstavljene aktivnosti državnih odvetnikov, ki so s svojimi strokovnimi prispevki sodelovali kot predavatelji na različnih oblikah posvetovanj in izobraževanj</w:t>
      </w:r>
      <w:r w:rsidRPr="00503014">
        <w:rPr>
          <w:rFonts w:eastAsia="Times New Roman"/>
        </w:rPr>
        <w:t xml:space="preserve">. </w:t>
      </w:r>
    </w:p>
    <w:p w14:paraId="289E6367" w14:textId="77777777" w:rsidR="00695AE2" w:rsidRPr="00503014" w:rsidRDefault="00695AE2" w:rsidP="00695AE2">
      <w:pPr>
        <w:spacing w:line="240" w:lineRule="auto"/>
        <w:jc w:val="both"/>
        <w:rPr>
          <w:rFonts w:eastAsia="Calibri"/>
          <w:b/>
          <w:bCs/>
          <w:sz w:val="28"/>
          <w:szCs w:val="28"/>
        </w:rPr>
      </w:pPr>
    </w:p>
    <w:p w14:paraId="5F58419B" w14:textId="77777777" w:rsidR="00695AE2" w:rsidRPr="00503014" w:rsidRDefault="00695AE2" w:rsidP="00695AE2">
      <w:pPr>
        <w:pStyle w:val="Naslov3"/>
        <w:ind w:left="0" w:firstLine="0"/>
        <w:rPr>
          <w:rFonts w:eastAsia="Calibri"/>
        </w:rPr>
      </w:pPr>
      <w:bookmarkStart w:id="76" w:name="_Toc223093719"/>
      <w:r w:rsidRPr="00503014">
        <w:rPr>
          <w:rFonts w:eastAsia="Calibri"/>
        </w:rPr>
        <w:t>Sodelovanje generalne državne odvetnice na konferenci z naslovom Umetna inteligenca v pravni praksi: Kaj manjka danes in kje je prihodnost (20. februar 2025)</w:t>
      </w:r>
      <w:bookmarkEnd w:id="76"/>
    </w:p>
    <w:p w14:paraId="57D9B352" w14:textId="77777777" w:rsidR="00695AE2" w:rsidRPr="00503014" w:rsidRDefault="00695AE2" w:rsidP="00695AE2">
      <w:pPr>
        <w:spacing w:line="240" w:lineRule="auto"/>
        <w:jc w:val="both"/>
        <w:rPr>
          <w:sz w:val="28"/>
          <w:szCs w:val="28"/>
        </w:rPr>
      </w:pPr>
    </w:p>
    <w:p w14:paraId="55C12CBA" w14:textId="77777777" w:rsidR="00695AE2" w:rsidRPr="00503014" w:rsidRDefault="00695AE2" w:rsidP="00695AE2">
      <w:pPr>
        <w:spacing w:line="240" w:lineRule="auto"/>
        <w:jc w:val="both"/>
      </w:pPr>
      <w:r w:rsidRPr="00503014">
        <w:t>Na dvodnevni konferenci z naslovom </w:t>
      </w:r>
      <w:r w:rsidRPr="00503014">
        <w:rPr>
          <w:i/>
          <w:iCs/>
        </w:rPr>
        <w:t>Umetna inteligenca v pravni praksi: Kaj manjka danes in kje je prihodnost</w:t>
      </w:r>
      <w:r w:rsidRPr="00503014">
        <w:t xml:space="preserve"> je potekala okrogla miza, na kateri so pravni strokovnjaki predstavili svoje izkušnje in poglede na sprejem ter uporabo umetne inteligence v pravni praksi. </w:t>
      </w:r>
    </w:p>
    <w:p w14:paraId="6EDDB089" w14:textId="77777777" w:rsidR="00695AE2" w:rsidRPr="00503014" w:rsidRDefault="00695AE2" w:rsidP="00695AE2">
      <w:pPr>
        <w:spacing w:line="240" w:lineRule="auto"/>
        <w:jc w:val="both"/>
      </w:pPr>
    </w:p>
    <w:p w14:paraId="49CA7739" w14:textId="77777777" w:rsidR="00695AE2" w:rsidRPr="00503014" w:rsidRDefault="00695AE2" w:rsidP="00695AE2">
      <w:pPr>
        <w:spacing w:line="240" w:lineRule="auto"/>
        <w:jc w:val="both"/>
      </w:pPr>
      <w:r w:rsidRPr="00503014">
        <w:t xml:space="preserve">Generalna državna odvetnica dr. Ana Kerševan je v imenu Državnega odvetništva RS kot predstavnika organov pravosodja predstavila svoj pogled na to, kako lahko uporaba umetne inteligence optimizira izvajanje pristojnosti Državnega odvetništva RS, njegovo poslovanje in sodelovanje z zunanjimi subjekti, kar je toliko pomembnejše v času, ko se pravosodni organi soočajo s kadrovsko stisko, v pomembnem delu tudi pri administrativnem kadru. Kot bistveno je še poudarila, da uporaba umetne inteligence ne sme predstavljati tveganja za razkritje občutljivih podatkov, da mora biti uporaba transparentna in v kontroli uporabnika, predvsem pa mora zagotavljati varovanje človekovih pravic, pravne države in vrednot demokracije. </w:t>
      </w:r>
      <w:r w:rsidRPr="00503014">
        <w:lastRenderedPageBreak/>
        <w:t>Predlagala je tudi usklajen pristop resornih ministrstev in pravosodnih organov k oblikovanju rešitev umetne inteligence na področjih, na katerih so delovni procesi različnih organov pravosodja zelo primerljivi ali celo enaki.</w:t>
      </w:r>
    </w:p>
    <w:p w14:paraId="774C9E7E" w14:textId="77777777" w:rsidR="00695AE2" w:rsidRPr="00503014" w:rsidRDefault="00695AE2" w:rsidP="00695AE2">
      <w:pPr>
        <w:spacing w:line="240" w:lineRule="auto"/>
        <w:jc w:val="both"/>
        <w:rPr>
          <w:sz w:val="28"/>
          <w:szCs w:val="28"/>
        </w:rPr>
      </w:pPr>
    </w:p>
    <w:p w14:paraId="51695157" w14:textId="77777777" w:rsidR="00695AE2" w:rsidRPr="00503014" w:rsidRDefault="00695AE2" w:rsidP="00695AE2">
      <w:pPr>
        <w:pStyle w:val="Naslov3"/>
        <w:rPr>
          <w:rFonts w:eastAsia="Calibri"/>
        </w:rPr>
      </w:pPr>
      <w:bookmarkStart w:id="77" w:name="_Toc223093720"/>
      <w:r w:rsidRPr="00503014">
        <w:rPr>
          <w:rFonts w:eastAsia="Calibri"/>
        </w:rPr>
        <w:t>Otvoritveni dogodek kongresa VIAC CAN (28. februar 2025)</w:t>
      </w:r>
      <w:bookmarkEnd w:id="77"/>
    </w:p>
    <w:p w14:paraId="50626353" w14:textId="77777777" w:rsidR="00695AE2" w:rsidRPr="00375550" w:rsidRDefault="00695AE2" w:rsidP="00695AE2">
      <w:pPr>
        <w:pStyle w:val="Jasna"/>
        <w:rPr>
          <w:sz w:val="28"/>
          <w:szCs w:val="28"/>
          <w:shd w:val="clear" w:color="auto" w:fill="FFFFFF"/>
        </w:rPr>
      </w:pPr>
    </w:p>
    <w:p w14:paraId="6989567E" w14:textId="77777777" w:rsidR="00695AE2" w:rsidRPr="00503014" w:rsidRDefault="00695AE2" w:rsidP="00695AE2">
      <w:pPr>
        <w:pStyle w:val="Jasna"/>
        <w:rPr>
          <w:shd w:val="clear" w:color="auto" w:fill="FFFFFF"/>
        </w:rPr>
      </w:pPr>
      <w:r w:rsidRPr="00503014">
        <w:rPr>
          <w:shd w:val="clear" w:color="auto" w:fill="FFFFFF"/>
        </w:rPr>
        <w:t>Generalna državna odvetnica dr. Ana Kerševan se je na povabilo Dunajskega mednarodnega arbitražnega centra (VIAC) udeležila pogovora o vlogi in prihodnosti žensk na področju arbitražnega reševanja sporov v srednji in južni Evropi. Dogodek je otvoril dvodnevni kongres VIAC CAN, na njem pa so sodelovale priznane strokovnjakinje iz več držav, ki so izmenjale izkušnje o kariernem razvoju, mentorstvu, podpori ženskam v arbitraži ter izzivih usklajevanja poklicnega in zasebnega življenja.</w:t>
      </w:r>
    </w:p>
    <w:p w14:paraId="54C81CD4" w14:textId="77777777" w:rsidR="00695AE2" w:rsidRPr="00503014" w:rsidRDefault="00695AE2" w:rsidP="00695AE2">
      <w:pPr>
        <w:pStyle w:val="Jasna"/>
        <w:rPr>
          <w:shd w:val="clear" w:color="auto" w:fill="FFFFFF"/>
        </w:rPr>
      </w:pPr>
    </w:p>
    <w:p w14:paraId="1C06D0ED" w14:textId="77777777" w:rsidR="00695AE2" w:rsidRDefault="00695AE2" w:rsidP="00695AE2">
      <w:pPr>
        <w:pStyle w:val="Jasna"/>
        <w:rPr>
          <w:shd w:val="clear" w:color="auto" w:fill="FFFFFF"/>
        </w:rPr>
      </w:pPr>
      <w:r w:rsidRPr="00503014">
        <w:rPr>
          <w:shd w:val="clear" w:color="auto" w:fill="FFFFFF"/>
        </w:rPr>
        <w:t>Sodelovanje je prispevalo k mednarodni prepoznavnosti Državnega odvetništva RS ter poudarilo njegovo vlogo na področju arbitražnega reševanja sporov, v katere se aktivno vključuje tudi v mednarodnem okolju od leta 2017. Dogodek je bil zelo pozitivno sprejet, udeleženci pa so izpostavili pomen nadaljnje izmenjave dobrih praks in strokovnih izkušenj.</w:t>
      </w:r>
    </w:p>
    <w:p w14:paraId="4C89DAC1" w14:textId="77777777" w:rsidR="00695AE2" w:rsidRPr="00375550" w:rsidRDefault="00695AE2" w:rsidP="00695AE2">
      <w:pPr>
        <w:pStyle w:val="Jasna"/>
        <w:rPr>
          <w:sz w:val="28"/>
          <w:szCs w:val="28"/>
          <w:shd w:val="clear" w:color="auto" w:fill="FFFFFF"/>
        </w:rPr>
      </w:pPr>
    </w:p>
    <w:p w14:paraId="5F9A02F7" w14:textId="77777777" w:rsidR="00695AE2" w:rsidRPr="00503014" w:rsidRDefault="00695AE2" w:rsidP="00695AE2">
      <w:pPr>
        <w:pStyle w:val="Naslov3"/>
        <w:rPr>
          <w:rFonts w:eastAsia="Calibri"/>
        </w:rPr>
      </w:pPr>
      <w:bookmarkStart w:id="78" w:name="_Toc223093721"/>
      <w:r w:rsidRPr="00B50B4C">
        <w:rPr>
          <w:rFonts w:cs="Times New Roman"/>
        </w:rPr>
        <w:t xml:space="preserve">Predavanje </w:t>
      </w:r>
      <w:r w:rsidRPr="00B50B4C">
        <w:rPr>
          <w:rFonts w:eastAsia="Calibri"/>
        </w:rPr>
        <w:t xml:space="preserve">na </w:t>
      </w:r>
      <w:r w:rsidRPr="00503014">
        <w:rPr>
          <w:rFonts w:eastAsia="Calibri"/>
        </w:rPr>
        <w:t>Fakultet</w:t>
      </w:r>
      <w:r w:rsidRPr="00B50B4C">
        <w:rPr>
          <w:rFonts w:eastAsia="Calibri"/>
        </w:rPr>
        <w:t>i</w:t>
      </w:r>
      <w:r w:rsidRPr="00503014">
        <w:rPr>
          <w:rFonts w:eastAsia="Calibri"/>
        </w:rPr>
        <w:t xml:space="preserve"> za upravo </w:t>
      </w:r>
      <w:r w:rsidRPr="00B50B4C">
        <w:rPr>
          <w:rFonts w:eastAsia="Calibri"/>
        </w:rPr>
        <w:t>(7. marec 2025)</w:t>
      </w:r>
      <w:bookmarkEnd w:id="78"/>
    </w:p>
    <w:p w14:paraId="3270AA4D" w14:textId="77777777" w:rsidR="00695AE2" w:rsidRPr="00503014" w:rsidRDefault="00695AE2" w:rsidP="00695AE2">
      <w:pPr>
        <w:spacing w:line="240" w:lineRule="auto"/>
        <w:jc w:val="both"/>
        <w:rPr>
          <w:rFonts w:eastAsia="Calibri"/>
          <w:sz w:val="28"/>
          <w:szCs w:val="28"/>
        </w:rPr>
      </w:pPr>
    </w:p>
    <w:p w14:paraId="27422D62" w14:textId="77777777" w:rsidR="00695AE2" w:rsidRDefault="00695AE2" w:rsidP="00695AE2">
      <w:pPr>
        <w:spacing w:line="240" w:lineRule="auto"/>
        <w:jc w:val="both"/>
        <w:rPr>
          <w:rFonts w:eastAsia="Calibri"/>
        </w:rPr>
      </w:pPr>
      <w:r w:rsidRPr="00503014">
        <w:rPr>
          <w:rFonts w:eastAsia="Calibri"/>
        </w:rPr>
        <w:t>Višji državni odvetnik dr. Jurij Groznik je na povabilo prof. dr. Polonce Kovač v okviru predmeta Upravno procesno pravo na Fakulteti za upravo Univerze v Ljubljani 7. marca 2025 izvedel dva sklopa predavanj za študente</w:t>
      </w:r>
      <w:r w:rsidRPr="00B50B4C">
        <w:rPr>
          <w:rFonts w:eastAsia="Calibri"/>
        </w:rPr>
        <w:t xml:space="preserve"> na temo </w:t>
      </w:r>
      <w:r w:rsidRPr="00503014">
        <w:rPr>
          <w:rFonts w:eastAsia="Calibri"/>
          <w:i/>
          <w:iCs/>
        </w:rPr>
        <w:t>Vloga Državnega odvetništva RS pri zaščiti javnega interesa v upravnem postopku in upravnem sporu</w:t>
      </w:r>
      <w:r w:rsidRPr="00503014">
        <w:rPr>
          <w:rFonts w:eastAsia="Calibri"/>
        </w:rPr>
        <w:t>.</w:t>
      </w:r>
    </w:p>
    <w:p w14:paraId="30D3C12C" w14:textId="77777777" w:rsidR="00695AE2" w:rsidRPr="00503014" w:rsidRDefault="00695AE2" w:rsidP="00695AE2">
      <w:pPr>
        <w:spacing w:line="240" w:lineRule="auto"/>
        <w:jc w:val="both"/>
        <w:rPr>
          <w:color w:val="616161"/>
          <w:sz w:val="28"/>
          <w:szCs w:val="28"/>
          <w:shd w:val="clear" w:color="auto" w:fill="FFFFFF"/>
        </w:rPr>
      </w:pPr>
    </w:p>
    <w:p w14:paraId="46A69425" w14:textId="77777777" w:rsidR="00695AE2" w:rsidRPr="00503014" w:rsidRDefault="00695AE2" w:rsidP="00695AE2">
      <w:pPr>
        <w:pStyle w:val="Naslov3"/>
        <w:rPr>
          <w:rFonts w:eastAsia="Calibri"/>
        </w:rPr>
      </w:pPr>
      <w:bookmarkStart w:id="79" w:name="_Toc223093722"/>
      <w:r w:rsidRPr="00503014">
        <w:rPr>
          <w:rFonts w:eastAsia="Calibri"/>
        </w:rPr>
        <w:t>34. Mednarodna konferenca Medicina, pravo in družba (27. marec 2025)</w:t>
      </w:r>
      <w:bookmarkEnd w:id="79"/>
    </w:p>
    <w:p w14:paraId="7F8E1D23" w14:textId="77777777" w:rsidR="00695AE2" w:rsidRPr="00503014" w:rsidRDefault="00695AE2" w:rsidP="00695AE2">
      <w:pPr>
        <w:spacing w:line="240" w:lineRule="auto"/>
        <w:jc w:val="both"/>
        <w:rPr>
          <w:sz w:val="28"/>
          <w:szCs w:val="28"/>
        </w:rPr>
      </w:pPr>
    </w:p>
    <w:p w14:paraId="0A00D5C8" w14:textId="77777777" w:rsidR="00695AE2" w:rsidRPr="00503014" w:rsidRDefault="00695AE2" w:rsidP="00695AE2">
      <w:pPr>
        <w:spacing w:line="240" w:lineRule="auto"/>
        <w:jc w:val="both"/>
      </w:pPr>
      <w:r w:rsidRPr="00503014">
        <w:t>Generalna državna odvetnica dr. Ana Kerševan je</w:t>
      </w:r>
      <w:r w:rsidRPr="00503014">
        <w:rPr>
          <w:rFonts w:eastAsia="Times New Roman"/>
          <w:color w:val="212121"/>
          <w:lang w:eastAsia="sl-SI"/>
        </w:rPr>
        <w:t xml:space="preserve"> </w:t>
      </w:r>
      <w:r w:rsidRPr="00503014">
        <w:t xml:space="preserve">na sedežu Univerze v Mariboru sodelovala na 34. mednarodni konferenci Medicina, pravo in družba. Na sekciji z naslovom </w:t>
      </w:r>
      <w:r w:rsidRPr="00503014">
        <w:rPr>
          <w:i/>
          <w:iCs/>
        </w:rPr>
        <w:t>Razmerje med medicino in farmacijo v regulatornih okvirjih</w:t>
      </w:r>
      <w:r w:rsidRPr="00503014">
        <w:t xml:space="preserve">, ki sta jo vodili prof. dr. Bojana Beović, dr. med., predsednica Zdravniške zbornice, in prof. dr. dr. h. c. mult. Vesna Rijavec, prav., Pravna fakulteta Univerze v Mariboru, je predstavila izkušnje Državnega odvetništva RS pri zastopanju in svetovanju državi v vlogi regulatorja pred nacionalnimi in mednarodnimi forumi ter vidike, ki se presojajo pri obravnavi odgovornosti države kot regulatorja. </w:t>
      </w:r>
    </w:p>
    <w:p w14:paraId="5D161C1E" w14:textId="77777777" w:rsidR="00695AE2" w:rsidRPr="00375550" w:rsidRDefault="00695AE2" w:rsidP="00695AE2">
      <w:pPr>
        <w:spacing w:line="240" w:lineRule="auto"/>
        <w:jc w:val="both"/>
        <w:rPr>
          <w:sz w:val="28"/>
          <w:szCs w:val="28"/>
        </w:rPr>
      </w:pPr>
    </w:p>
    <w:p w14:paraId="34418929" w14:textId="77777777" w:rsidR="00695AE2" w:rsidRPr="00503014" w:rsidRDefault="00695AE2" w:rsidP="00695AE2">
      <w:pPr>
        <w:pStyle w:val="Naslov3"/>
        <w:ind w:left="0" w:firstLine="0"/>
        <w:rPr>
          <w:rFonts w:eastAsia="Calibri"/>
        </w:rPr>
      </w:pPr>
      <w:bookmarkStart w:id="80" w:name="_Toc223093723"/>
      <w:r w:rsidRPr="00503014">
        <w:rPr>
          <w:rFonts w:eastAsia="Calibri"/>
        </w:rPr>
        <w:t>Sodelovanje na konferenci o Digitalizaciji in umetni inteligenci v pravosodju (11. april 2025)</w:t>
      </w:r>
      <w:bookmarkEnd w:id="80"/>
    </w:p>
    <w:p w14:paraId="5137B0B3" w14:textId="77777777" w:rsidR="00695AE2" w:rsidRPr="00503014" w:rsidRDefault="00695AE2" w:rsidP="00695AE2">
      <w:pPr>
        <w:spacing w:line="240" w:lineRule="auto"/>
        <w:jc w:val="both"/>
        <w:rPr>
          <w:rFonts w:eastAsia="Calibri"/>
          <w:b/>
          <w:bCs/>
          <w:color w:val="007466"/>
          <w:sz w:val="28"/>
          <w:szCs w:val="28"/>
        </w:rPr>
      </w:pPr>
    </w:p>
    <w:p w14:paraId="6082B5D1" w14:textId="77777777" w:rsidR="00695AE2" w:rsidRDefault="00695AE2" w:rsidP="00695AE2">
      <w:pPr>
        <w:shd w:val="clear" w:color="auto" w:fill="FFFFFF"/>
        <w:spacing w:line="240" w:lineRule="auto"/>
        <w:jc w:val="both"/>
      </w:pPr>
      <w:r w:rsidRPr="00503014">
        <w:t xml:space="preserve">Generalna državna odvetnica dr. Ana Kerševan je na Pravni fakulteti Univerze v Ljubljani sodelovala na konferenci z naslovom </w:t>
      </w:r>
      <w:r w:rsidRPr="00503014">
        <w:rPr>
          <w:i/>
          <w:iCs/>
        </w:rPr>
        <w:t>Digitalizacija in umetna inteligenca v pravosodju</w:t>
      </w:r>
      <w:r w:rsidRPr="00503014">
        <w:t xml:space="preserve">. V okviru sekcije o digitalizaciji v tožilstvu, državnem odvetništvu in odvetništvu, ki jo je vodila prof. dr. Maja Brkan, sodnica in generalna pravobranilka na Splošnem sodišču EU, je dr. Ana Kerševan predstavila prispevek z naslovom </w:t>
      </w:r>
      <w:r w:rsidRPr="00503014">
        <w:rPr>
          <w:i/>
          <w:iCs/>
        </w:rPr>
        <w:t>Pogled državnega odvetništva na odgovornost države pri digitalizaciji in uporabi umetne inteligence v pravosodju</w:t>
      </w:r>
      <w:r w:rsidRPr="00503014">
        <w:t xml:space="preserve">. Opisala je izzive in izkušnje Državnega odvetništva RS, ki v vlogi svetovalca in zastopnika države pred sodišči sodeluje z </w:t>
      </w:r>
      <w:r w:rsidRPr="00503014">
        <w:lastRenderedPageBreak/>
        <w:t>državnimi organi vseh vej oblasti in tudi z drugimi subjekti, ki imajo svoje poslovanje digitalizirano v različnem obsegu in z različnimi rešitvami, prav tako so med njimi razlike pri uporabi programov umetne inteligence. Predstavila je tudi razvoj področja digitalizacije na Državnem odvetništvu RS. Izkušnje Državnega odvetništva RS po mnenju generalne državne odvetnice potrjujejo, da bosta digitalizacija in umetna inteligenca v prihodnje še pomembnejši za učinkovitejše izvajanje pravosodnih nalog in predlagala, da se v izogib razdrobljenega razvijanja informacijskih rešitev znotraj posameznih organov, ki so včasih med seboj nekompatibilne in zato manj učinkovite, na ravni resornih ministrstev zagotovi usklajen pristop in izmenjava dobrih praks med vsemi deležniki znotraj pravosodnega sistema.</w:t>
      </w:r>
    </w:p>
    <w:p w14:paraId="1185F742" w14:textId="77777777" w:rsidR="00695AE2" w:rsidRPr="00B50B4C" w:rsidRDefault="00695AE2" w:rsidP="00695AE2">
      <w:pPr>
        <w:shd w:val="clear" w:color="auto" w:fill="FFFFFF"/>
        <w:spacing w:line="240" w:lineRule="auto"/>
        <w:jc w:val="both"/>
        <w:rPr>
          <w:sz w:val="28"/>
          <w:szCs w:val="28"/>
        </w:rPr>
      </w:pPr>
    </w:p>
    <w:p w14:paraId="5B6B5AC5" w14:textId="77777777" w:rsidR="00695AE2" w:rsidRPr="00B50B4C" w:rsidRDefault="00695AE2" w:rsidP="00695AE2">
      <w:pPr>
        <w:pStyle w:val="Naslov3"/>
        <w:ind w:left="0" w:firstLine="0"/>
      </w:pPr>
      <w:bookmarkStart w:id="81" w:name="_Toc223093724"/>
      <w:r w:rsidRPr="00B50B4C">
        <w:t>Predavanje na Dnevih delovnega in socialnega prava (29. in 30. maj 2025)</w:t>
      </w:r>
      <w:bookmarkEnd w:id="81"/>
    </w:p>
    <w:p w14:paraId="40860F75" w14:textId="77777777" w:rsidR="00695AE2" w:rsidRPr="00B50B4C" w:rsidRDefault="00695AE2" w:rsidP="00695AE2">
      <w:pPr>
        <w:shd w:val="clear" w:color="auto" w:fill="FFFFFF"/>
        <w:spacing w:line="240" w:lineRule="auto"/>
        <w:jc w:val="both"/>
        <w:rPr>
          <w:sz w:val="28"/>
          <w:szCs w:val="28"/>
        </w:rPr>
      </w:pPr>
    </w:p>
    <w:p w14:paraId="720BD7D0" w14:textId="77777777" w:rsidR="00695AE2" w:rsidRDefault="00695AE2" w:rsidP="00695AE2">
      <w:pPr>
        <w:shd w:val="clear" w:color="auto" w:fill="FFFFFF"/>
        <w:spacing w:line="240" w:lineRule="auto"/>
        <w:jc w:val="both"/>
      </w:pPr>
      <w:r w:rsidRPr="00B50B4C">
        <w:t xml:space="preserve">S prispevkom z naslovom </w:t>
      </w:r>
      <w:r w:rsidRPr="00B50B4C">
        <w:rPr>
          <w:i/>
          <w:iCs/>
        </w:rPr>
        <w:t>Pravni vidiki urejanja plač pravosodnih funkcionarjev</w:t>
      </w:r>
      <w:r w:rsidRPr="00B50B4C">
        <w:t xml:space="preserve"> je generalna odvetnica dr. Ana Kerševan na Dnevih delovnega in socialnega prava izpostavila posebnosti, ki opredeljujejo naloge, ki jih izvajajo pravosodni funkcionarji in ki morajo biti adekvatno odražene tudi v njihovi plačni ureditvi, ter predstavila primere sistemskih anomalij, do katerih pride, če specifike njihovega dela niso ustrezno upoštevane oziroma se v sistem njihove ureditve posega nepremišljeno – iz tega razloga so plačna razmerja porušena tudi med državnimi odvetniki, kar je ponazorila z več konkretnimi primeri.</w:t>
      </w:r>
    </w:p>
    <w:p w14:paraId="4B633E5F" w14:textId="77777777" w:rsidR="00695AE2" w:rsidRPr="00AF63E6" w:rsidRDefault="00695AE2" w:rsidP="00695AE2">
      <w:pPr>
        <w:shd w:val="clear" w:color="auto" w:fill="FFFFFF"/>
        <w:spacing w:line="240" w:lineRule="auto"/>
        <w:jc w:val="both"/>
        <w:rPr>
          <w:sz w:val="28"/>
          <w:szCs w:val="28"/>
        </w:rPr>
      </w:pPr>
    </w:p>
    <w:p w14:paraId="395CAD6F" w14:textId="77777777" w:rsidR="00695AE2" w:rsidRPr="00503014" w:rsidRDefault="00695AE2" w:rsidP="00695AE2">
      <w:pPr>
        <w:pStyle w:val="Naslov3"/>
        <w:rPr>
          <w:rFonts w:eastAsia="Calibri"/>
        </w:rPr>
      </w:pPr>
      <w:bookmarkStart w:id="82" w:name="_Toc223093725"/>
      <w:r w:rsidRPr="00503014">
        <w:rPr>
          <w:rFonts w:eastAsia="Calibri"/>
        </w:rPr>
        <w:t>Predavanje na Dnevih slovenskega sodstva (4. in 5. junij 2025)</w:t>
      </w:r>
      <w:bookmarkEnd w:id="82"/>
      <w:r w:rsidRPr="00503014">
        <w:rPr>
          <w:rFonts w:eastAsia="Calibri"/>
        </w:rPr>
        <w:t xml:space="preserve"> </w:t>
      </w:r>
    </w:p>
    <w:p w14:paraId="33765CE2" w14:textId="77777777" w:rsidR="00695AE2" w:rsidRPr="00503014" w:rsidRDefault="00695AE2" w:rsidP="00695AE2">
      <w:pPr>
        <w:spacing w:line="240" w:lineRule="auto"/>
        <w:jc w:val="both"/>
        <w:rPr>
          <w:sz w:val="28"/>
          <w:szCs w:val="28"/>
        </w:rPr>
      </w:pPr>
    </w:p>
    <w:p w14:paraId="5ED6109C" w14:textId="77777777" w:rsidR="00695AE2" w:rsidRPr="00503014" w:rsidRDefault="00695AE2" w:rsidP="00695AE2">
      <w:pPr>
        <w:spacing w:line="240" w:lineRule="auto"/>
        <w:jc w:val="both"/>
      </w:pPr>
      <w:r w:rsidRPr="00503014">
        <w:t xml:space="preserve">Na Dnevih slovenskega sodstva je generalna državna odvetnica dr. Ana Kerševan predstavila prispevek z naslovom </w:t>
      </w:r>
      <w:r w:rsidRPr="00503014">
        <w:rPr>
          <w:i/>
          <w:iCs/>
        </w:rPr>
        <w:t>Pogled Državnega odvetništva na odgovornost države pri digitalizaciji in uporabi umetne inteligence v pravosodju</w:t>
      </w:r>
      <w:r w:rsidRPr="00503014">
        <w:t>. Predstavila je izkušnje Državnega odvetništva RS iz prakse, saj zaradi zastopanja ogromnega števila raznovrstnih organov z različno digitaliziranim načinom poslovanja Državno odvetništvo RS iz prve roke zaznava, kako pomembno je, da se procesi digitalizacije odvijajo usklajeno in da so sistemi med seboj kompatibilni. Izkušnje s področja digitalizacije je po mnenju generalne državne odvetnice nujno treba upoštevati tudi v postopku uvajanja rešitev umetne inteligence, ki je kot podporno orodje vsekakor lahko v pomoč pri poslovanju pravosodnih organov in lahko predstavlja tudi odziv na težave, ki nastajajo zaradi velike fluktuacije administrativnega kadra.</w:t>
      </w:r>
    </w:p>
    <w:p w14:paraId="55480796" w14:textId="77777777" w:rsidR="00695AE2" w:rsidRPr="00375550" w:rsidRDefault="00695AE2" w:rsidP="00695AE2">
      <w:pPr>
        <w:pStyle w:val="Jasna"/>
        <w:rPr>
          <w:sz w:val="28"/>
          <w:szCs w:val="28"/>
        </w:rPr>
      </w:pPr>
      <w:bookmarkStart w:id="83" w:name="_Toc168844840"/>
      <w:bookmarkStart w:id="84" w:name="_Toc191561851"/>
    </w:p>
    <w:p w14:paraId="4757FA4E" w14:textId="77777777" w:rsidR="00695AE2" w:rsidRPr="00503014" w:rsidRDefault="00695AE2" w:rsidP="00695AE2">
      <w:pPr>
        <w:pStyle w:val="Naslov3"/>
        <w:rPr>
          <w:rFonts w:eastAsia="Calibri"/>
        </w:rPr>
      </w:pPr>
      <w:bookmarkStart w:id="85" w:name="_Toc223093726"/>
      <w:bookmarkEnd w:id="83"/>
      <w:bookmarkEnd w:id="84"/>
      <w:r w:rsidRPr="00503014">
        <w:rPr>
          <w:rFonts w:eastAsia="Calibri"/>
        </w:rPr>
        <w:t>Upravna svetovalnica, Fakulteta za upravo (11. junij 2025)</w:t>
      </w:r>
      <w:bookmarkEnd w:id="85"/>
    </w:p>
    <w:p w14:paraId="152A62FF" w14:textId="77777777" w:rsidR="00695AE2" w:rsidRPr="00375550" w:rsidRDefault="00695AE2" w:rsidP="00695AE2">
      <w:pPr>
        <w:spacing w:line="240" w:lineRule="auto"/>
        <w:jc w:val="both"/>
        <w:rPr>
          <w:sz w:val="28"/>
          <w:szCs w:val="28"/>
        </w:rPr>
      </w:pPr>
    </w:p>
    <w:p w14:paraId="16249041" w14:textId="77777777" w:rsidR="00695AE2" w:rsidRDefault="00695AE2" w:rsidP="00695AE2">
      <w:pPr>
        <w:spacing w:line="240" w:lineRule="auto"/>
        <w:jc w:val="both"/>
      </w:pPr>
      <w:r w:rsidRPr="00503014">
        <w:t>Višja državna odvetnika mag. Mojca Kralj Pajek, vodja Upravnega oddelka Državnega odvetništva RS, in višji državni odvetnik dr. Jurij Groznik sta se udeležila seje na Fakulteti za upravo, ki jo slednja organizira za mentorje študentov pri Upravni svetovalnici.  Predstavila sta tematiko varstva javnega interesa po ZUP in ZUS-1, in sicer teoretična izhodišča, zaključene anonimizirane konkretne primere in tudi hipotetične primere ter konkretne dileme, s katerimi se Državno odvetništvo RS srečuje v praksi.</w:t>
      </w:r>
    </w:p>
    <w:p w14:paraId="13BEC942" w14:textId="77777777" w:rsidR="00695AE2" w:rsidRPr="00AF63E6" w:rsidRDefault="00695AE2" w:rsidP="00695AE2">
      <w:pPr>
        <w:spacing w:line="240" w:lineRule="auto"/>
        <w:jc w:val="both"/>
        <w:rPr>
          <w:b/>
          <w:bCs/>
          <w:color w:val="007466"/>
          <w:sz w:val="28"/>
          <w:szCs w:val="28"/>
        </w:rPr>
      </w:pPr>
    </w:p>
    <w:p w14:paraId="193BB2EF" w14:textId="77777777" w:rsidR="00695AE2" w:rsidRPr="00503014" w:rsidRDefault="00695AE2" w:rsidP="00695AE2">
      <w:pPr>
        <w:pStyle w:val="Naslov3"/>
        <w:ind w:left="0" w:firstLine="0"/>
        <w:rPr>
          <w:rFonts w:eastAsia="Calibri"/>
        </w:rPr>
      </w:pPr>
      <w:bookmarkStart w:id="86" w:name="_Toc223093727"/>
      <w:r w:rsidRPr="00503014">
        <w:rPr>
          <w:rFonts w:eastAsia="Calibri"/>
        </w:rPr>
        <w:t>Sodelovanje na strokovnem posvetu Informacijskega pooblaščenca ob Svetovnem dnevu pravice vedeti (28. september 2025)</w:t>
      </w:r>
      <w:bookmarkEnd w:id="86"/>
    </w:p>
    <w:p w14:paraId="224C3904" w14:textId="77777777" w:rsidR="00695AE2" w:rsidRPr="00503014" w:rsidRDefault="00695AE2" w:rsidP="00695AE2">
      <w:pPr>
        <w:spacing w:line="240" w:lineRule="auto"/>
        <w:jc w:val="both"/>
        <w:rPr>
          <w:b/>
          <w:bCs/>
          <w:color w:val="007466"/>
          <w:sz w:val="28"/>
          <w:szCs w:val="28"/>
        </w:rPr>
      </w:pPr>
    </w:p>
    <w:p w14:paraId="61341F26" w14:textId="77777777" w:rsidR="00695AE2" w:rsidRPr="00503014" w:rsidRDefault="00695AE2" w:rsidP="00695AE2">
      <w:pPr>
        <w:spacing w:line="240" w:lineRule="auto"/>
        <w:jc w:val="both"/>
      </w:pPr>
      <w:r w:rsidRPr="00503014">
        <w:lastRenderedPageBreak/>
        <w:t xml:space="preserve">Ob Svetovnem dnevu pravice vedeti je Informacijski pooblaščenec Republike Slovenije organiziral strokovni posvet z naslovom </w:t>
      </w:r>
      <w:r w:rsidRPr="00503014">
        <w:rPr>
          <w:i/>
          <w:iCs/>
        </w:rPr>
        <w:t>Uresničevanje in omejevanje pravice dostopa do informacij javnega značaja</w:t>
      </w:r>
      <w:r w:rsidRPr="00503014">
        <w:t>, namenjen razpravi o pravnih, institucionalnih in praktičnih vidikih dostopa do informacij javnega značaja.</w:t>
      </w:r>
    </w:p>
    <w:p w14:paraId="279BE6B3" w14:textId="77777777" w:rsidR="00695AE2" w:rsidRPr="00503014" w:rsidRDefault="00695AE2" w:rsidP="00695AE2">
      <w:pPr>
        <w:spacing w:line="240" w:lineRule="auto"/>
        <w:jc w:val="both"/>
      </w:pPr>
    </w:p>
    <w:p w14:paraId="22EE181A" w14:textId="77777777" w:rsidR="00695AE2" w:rsidRPr="00503014" w:rsidRDefault="00695AE2" w:rsidP="00695AE2">
      <w:pPr>
        <w:spacing w:line="240" w:lineRule="auto"/>
        <w:jc w:val="both"/>
      </w:pPr>
      <w:r w:rsidRPr="00503014">
        <w:t xml:space="preserve">Na okrogli mizi je s prispevkom </w:t>
      </w:r>
      <w:r w:rsidRPr="00503014">
        <w:rPr>
          <w:i/>
          <w:iCs/>
        </w:rPr>
        <w:t>Pravica vedeti v luči dolžnosti, ki jih ustvarja,</w:t>
      </w:r>
      <w:r w:rsidRPr="00503014">
        <w:t xml:space="preserve"> sodelovala tudi generalna državna odvetnica dr. Ana Kerševan, ki je poudarila pomen pravice vedeti za svobodo govora, demokratično participacijo in transparentno delovanje države. Izpostavila je tudi odgovornosti, ki iz te pravice izhajajo, ter posebne izzive Državnega odvetništva RS pri obravnavi zahtev za dostop do informacij, zlasti glede varovanja zaupnosti razmerij med državnimi organi v vlogi stranke in Državnega odvetništva RS kot pravnega zastopnika.</w:t>
      </w:r>
    </w:p>
    <w:p w14:paraId="231F6454" w14:textId="77777777" w:rsidR="00695AE2" w:rsidRPr="00503014" w:rsidRDefault="00695AE2" w:rsidP="00695AE2">
      <w:pPr>
        <w:spacing w:line="240" w:lineRule="auto"/>
        <w:jc w:val="both"/>
      </w:pPr>
    </w:p>
    <w:p w14:paraId="0658BDEA" w14:textId="77777777" w:rsidR="00695AE2" w:rsidRPr="00503014" w:rsidRDefault="00695AE2" w:rsidP="00695AE2">
      <w:pPr>
        <w:spacing w:line="240" w:lineRule="auto"/>
        <w:jc w:val="both"/>
      </w:pPr>
      <w:r w:rsidRPr="00503014">
        <w:t>Udeleženci posveta so ocenili, da ima Slovenija trdno pravno podlago za uresničevanje pravice dostopa do informacij, ob tem pa izpostavili potrebo po hitrejšem odločanju, večji ozaveščenosti ter prilagajanju novim izzivom, ki jih prinašajo digitalizacija in umetna inteligenca. Dogodek je prispeval k izmenjavi dobrih praks ter krepitvi dialoga med javno upravo, pravno stroko in mediji.</w:t>
      </w:r>
    </w:p>
    <w:p w14:paraId="157A73DB" w14:textId="77777777" w:rsidR="00695AE2" w:rsidRPr="00503014" w:rsidRDefault="00695AE2" w:rsidP="00695AE2">
      <w:pPr>
        <w:spacing w:line="240" w:lineRule="auto"/>
        <w:jc w:val="both"/>
        <w:rPr>
          <w:b/>
          <w:bCs/>
          <w:color w:val="007466"/>
          <w:sz w:val="28"/>
          <w:szCs w:val="28"/>
        </w:rPr>
      </w:pPr>
    </w:p>
    <w:p w14:paraId="15BB54BB" w14:textId="072451B8" w:rsidR="00695AE2" w:rsidRPr="00503014" w:rsidRDefault="00695AE2" w:rsidP="00695AE2">
      <w:pPr>
        <w:pStyle w:val="Naslov3"/>
        <w:ind w:left="0" w:firstLine="0"/>
        <w:rPr>
          <w:rFonts w:eastAsia="Calibri"/>
        </w:rPr>
      </w:pPr>
      <w:bookmarkStart w:id="87" w:name="_Toc223093728"/>
      <w:r w:rsidRPr="00503014">
        <w:rPr>
          <w:rFonts w:eastAsia="Calibri"/>
        </w:rPr>
        <w:t>Državno odvetništvo R</w:t>
      </w:r>
      <w:r>
        <w:rPr>
          <w:rFonts w:eastAsia="Calibri"/>
        </w:rPr>
        <w:t>S</w:t>
      </w:r>
      <w:r w:rsidRPr="00503014">
        <w:rPr>
          <w:rFonts w:eastAsia="Calibri"/>
        </w:rPr>
        <w:t xml:space="preserve"> na 4. dnevih vojaških ved: »Vojaška doktrina, pravo in umetna inteligenca« (15. in 16. oktober 2025)</w:t>
      </w:r>
      <w:bookmarkEnd w:id="87"/>
    </w:p>
    <w:p w14:paraId="4EAE37F0" w14:textId="77777777" w:rsidR="00695AE2" w:rsidRPr="00503014" w:rsidRDefault="00695AE2" w:rsidP="00695AE2">
      <w:pPr>
        <w:spacing w:line="240" w:lineRule="auto"/>
        <w:jc w:val="both"/>
        <w:rPr>
          <w:b/>
          <w:bCs/>
          <w:color w:val="007466"/>
          <w:sz w:val="28"/>
          <w:szCs w:val="28"/>
        </w:rPr>
      </w:pPr>
    </w:p>
    <w:p w14:paraId="0CA4E043" w14:textId="77777777" w:rsidR="00695AE2" w:rsidRPr="00503014" w:rsidRDefault="00695AE2" w:rsidP="00695AE2">
      <w:pPr>
        <w:spacing w:line="240" w:lineRule="auto"/>
        <w:jc w:val="both"/>
      </w:pPr>
      <w:r w:rsidRPr="00503014">
        <w:t>Državno odvetništvo RS je sodelovalo na 4. Dnevih vojaških ved, ki so potekali oktobra 2025 v Kadetnici v Mariboru in so bili posvečeni vojaški doktrini, pravu, umetni inteligenci ter sodobnim varnostnim izzivom. Dogodek je bil usmerjen v krepitev interdisciplinarnega sodelovanja ter izmenjavo znanstvenih in strokovnih spoznanj na civilnem in vojaškem področju.</w:t>
      </w:r>
    </w:p>
    <w:p w14:paraId="2C3C174C" w14:textId="77777777" w:rsidR="00695AE2" w:rsidRPr="00503014" w:rsidRDefault="00695AE2" w:rsidP="00695AE2">
      <w:pPr>
        <w:spacing w:line="240" w:lineRule="auto"/>
        <w:jc w:val="both"/>
      </w:pPr>
    </w:p>
    <w:p w14:paraId="185697DA" w14:textId="77777777" w:rsidR="00695AE2" w:rsidRPr="00503014" w:rsidRDefault="00695AE2" w:rsidP="00695AE2">
      <w:pPr>
        <w:spacing w:line="240" w:lineRule="auto"/>
        <w:jc w:val="both"/>
      </w:pPr>
      <w:r w:rsidRPr="00503014">
        <w:t xml:space="preserve">V okviru prvega panela </w:t>
      </w:r>
      <w:r w:rsidRPr="00503014">
        <w:rPr>
          <w:i/>
          <w:iCs/>
        </w:rPr>
        <w:t>Pravo, varnost in vojska</w:t>
      </w:r>
      <w:r w:rsidRPr="00503014">
        <w:t xml:space="preserve"> je višja državna odvetnica mag. Andreja Grum prispevala strokovni prispevek z naslovom </w:t>
      </w:r>
      <w:r w:rsidRPr="00503014">
        <w:rPr>
          <w:i/>
          <w:iCs/>
        </w:rPr>
        <w:t>Pravni okvir EU na področju opravljanja vojaške službe</w:t>
      </w:r>
      <w:r w:rsidRPr="00503014">
        <w:t>, v katerem je osvetlila pravne vidike delovanja oboroženih sil v evropskem pravnem okviru ter pomen skladnosti nacionalnih ureditev s pravom Evropske unije.</w:t>
      </w:r>
    </w:p>
    <w:p w14:paraId="4D0C467C" w14:textId="77777777" w:rsidR="00695AE2" w:rsidRPr="00503014" w:rsidRDefault="00695AE2" w:rsidP="00695AE2">
      <w:pPr>
        <w:spacing w:line="240" w:lineRule="auto"/>
        <w:jc w:val="both"/>
      </w:pPr>
    </w:p>
    <w:p w14:paraId="6AF8D70A" w14:textId="77777777" w:rsidR="00695AE2" w:rsidRPr="00503014" w:rsidRDefault="00695AE2" w:rsidP="00695AE2">
      <w:pPr>
        <w:spacing w:line="240" w:lineRule="auto"/>
        <w:jc w:val="both"/>
      </w:pPr>
      <w:r w:rsidRPr="00503014">
        <w:t>Sodelovanje na dogodku je prispevalo k večji prepoznavnosti strokovnega znanja Državnega odvetništva RS na področju varnostnega in obrambnega prava ter krepitvi povezav z raziskovalno, akademsko in obrambno skupnostjo.</w:t>
      </w:r>
    </w:p>
    <w:p w14:paraId="675E8C39" w14:textId="77777777" w:rsidR="00695AE2" w:rsidRPr="00503014" w:rsidRDefault="00695AE2" w:rsidP="00695AE2">
      <w:pPr>
        <w:spacing w:line="240" w:lineRule="auto"/>
        <w:jc w:val="both"/>
        <w:rPr>
          <w:b/>
          <w:bCs/>
          <w:color w:val="007466"/>
          <w:sz w:val="28"/>
          <w:szCs w:val="28"/>
        </w:rPr>
      </w:pPr>
    </w:p>
    <w:p w14:paraId="31364EA2" w14:textId="77777777" w:rsidR="00695AE2" w:rsidRPr="00503014" w:rsidRDefault="00695AE2" w:rsidP="00695AE2">
      <w:pPr>
        <w:pStyle w:val="Naslov3"/>
        <w:rPr>
          <w:rFonts w:eastAsia="Calibri"/>
        </w:rPr>
      </w:pPr>
      <w:r>
        <w:rPr>
          <w:rFonts w:eastAsia="Calibri"/>
        </w:rPr>
        <w:t xml:space="preserve"> </w:t>
      </w:r>
      <w:bookmarkStart w:id="88" w:name="_Toc223093729"/>
      <w:r w:rsidRPr="00503014">
        <w:rPr>
          <w:rFonts w:eastAsia="Calibri"/>
        </w:rPr>
        <w:t>51. Dnevi slovenskih pravnikov (16. in 17. oktober 2025)</w:t>
      </w:r>
      <w:bookmarkEnd w:id="88"/>
      <w:r w:rsidRPr="00503014">
        <w:rPr>
          <w:rFonts w:eastAsia="Calibri"/>
        </w:rPr>
        <w:t xml:space="preserve">  </w:t>
      </w:r>
    </w:p>
    <w:p w14:paraId="0B737439" w14:textId="77777777" w:rsidR="00695AE2" w:rsidRPr="00503014" w:rsidRDefault="00695AE2" w:rsidP="00695AE2">
      <w:pPr>
        <w:spacing w:line="240" w:lineRule="auto"/>
        <w:rPr>
          <w:b/>
          <w:bCs/>
          <w:color w:val="007466"/>
          <w:sz w:val="28"/>
          <w:szCs w:val="28"/>
        </w:rPr>
      </w:pPr>
    </w:p>
    <w:p w14:paraId="673E5A3D" w14:textId="77777777" w:rsidR="00695AE2" w:rsidRPr="00503014" w:rsidRDefault="00695AE2" w:rsidP="00695AE2">
      <w:pPr>
        <w:spacing w:line="240" w:lineRule="auto"/>
        <w:jc w:val="both"/>
      </w:pPr>
      <w:r w:rsidRPr="00503014">
        <w:t xml:space="preserve">Na tradicionalnih Dnevih slovenskih pravnikov, na katerih so se v desetih programskih sekcijah in na dveh okroglih mizah obravnavali trendi razvoja v pravni znanosti in praksi na številnih pravnih področjih, je generalna državna odvetnica dr. Ana Kerševan sodelovala v sekciji z naslovom </w:t>
      </w:r>
      <w:r w:rsidRPr="00503014">
        <w:rPr>
          <w:i/>
          <w:iCs/>
        </w:rPr>
        <w:t xml:space="preserve">Delovna razmerja v javnem in zasebnem sektorju. </w:t>
      </w:r>
      <w:r w:rsidRPr="00503014">
        <w:t xml:space="preserve"> V svojem prispevku o delovnopravnem položaju funkcionarjev po novi ureditvi je med drugim izpostavila tveganja, ki jih za delovnopravni položaj funkcionarjev v pravosodju lahko pomenijo nepremišljeni posegi v zakonodajo, ki ureja delovanje posameznih organov pravosodja. Ob tem je primeroma predstavila škodljive posledice na delovnopravnem področju, ki zaradi ZDOdv že </w:t>
      </w:r>
      <w:r w:rsidRPr="00503014">
        <w:lastRenderedPageBreak/>
        <w:t>več let nastajajo za državne odvetnike, kot nekdanje funkcionarje, ter opozorila na tveganja v zvezi s pospešenim sprejemanjem t. i. sodniške zakonodaje, na katera opozarja tudi stroka.</w:t>
      </w:r>
    </w:p>
    <w:p w14:paraId="5E18C474" w14:textId="77777777" w:rsidR="00695AE2" w:rsidRPr="00503014" w:rsidRDefault="00695AE2" w:rsidP="00695AE2">
      <w:pPr>
        <w:spacing w:line="240" w:lineRule="auto"/>
        <w:jc w:val="both"/>
        <w:rPr>
          <w:b/>
          <w:bCs/>
          <w:color w:val="007466"/>
          <w:sz w:val="28"/>
          <w:szCs w:val="28"/>
        </w:rPr>
      </w:pPr>
    </w:p>
    <w:p w14:paraId="77357E5D" w14:textId="77777777" w:rsidR="00695AE2" w:rsidRPr="00503014" w:rsidRDefault="00695AE2" w:rsidP="00695AE2">
      <w:pPr>
        <w:pStyle w:val="Naslov3"/>
        <w:rPr>
          <w:rFonts w:eastAsia="Calibri"/>
        </w:rPr>
      </w:pPr>
      <w:r>
        <w:rPr>
          <w:rFonts w:eastAsia="Calibri"/>
        </w:rPr>
        <w:t xml:space="preserve"> </w:t>
      </w:r>
      <w:bookmarkStart w:id="89" w:name="_Toc223093730"/>
      <w:r w:rsidRPr="00503014">
        <w:rPr>
          <w:rFonts w:eastAsia="Calibri"/>
        </w:rPr>
        <w:t>Predavanje na Gospodarskopravni šoli</w:t>
      </w:r>
      <w:r w:rsidRPr="00AF63E6">
        <w:rPr>
          <w:rFonts w:eastAsia="Calibri"/>
        </w:rPr>
        <w:t xml:space="preserve"> </w:t>
      </w:r>
      <w:r w:rsidRPr="00503014">
        <w:rPr>
          <w:rFonts w:eastAsia="Calibri"/>
        </w:rPr>
        <w:t>(22.  oktober 2025)</w:t>
      </w:r>
      <w:bookmarkEnd w:id="89"/>
    </w:p>
    <w:p w14:paraId="5A3DA906" w14:textId="77777777" w:rsidR="00695AE2" w:rsidRPr="00503014" w:rsidRDefault="00695AE2" w:rsidP="00695AE2">
      <w:pPr>
        <w:spacing w:line="240" w:lineRule="auto"/>
        <w:jc w:val="both"/>
        <w:rPr>
          <w:b/>
          <w:bCs/>
          <w:color w:val="007466"/>
          <w:sz w:val="28"/>
          <w:szCs w:val="28"/>
        </w:rPr>
      </w:pPr>
    </w:p>
    <w:p w14:paraId="0A8A331C" w14:textId="77777777" w:rsidR="00695AE2" w:rsidRDefault="00695AE2" w:rsidP="00695AE2">
      <w:pPr>
        <w:spacing w:line="240" w:lineRule="auto"/>
        <w:jc w:val="both"/>
      </w:pPr>
      <w:r w:rsidRPr="00503014">
        <w:t xml:space="preserve">Generalna državna odvetnica dr. Ana Kerševan je na Gospodarskopravni šoli v Ankaranu predstavila prispevek z naslovom Umetna inteligenca v rokah strank v pravdnem postopku, v katerem je predstavila izzive uvajanja rešitev umetne inteligence v državnih organih, zaradi katerih je uvajanje rešitev informacijske tehnologije v državnem odvetništvu nujno počasnejše kot v konkurenčnem zasebnem odvetništvu. Opozorila je, da sta državno in zasebno odvetništvo v tem oziru svetova dveh hitrosti in da je enakost orožij tudi s tega vidika vse težje </w:t>
      </w:r>
      <w:r w:rsidRPr="00503014" w:rsidDel="003B2F3E">
        <w:t xml:space="preserve"> </w:t>
      </w:r>
      <w:r w:rsidRPr="00503014">
        <w:t xml:space="preserve">zagotavljati. </w:t>
      </w:r>
    </w:p>
    <w:p w14:paraId="72D76A2C" w14:textId="77777777" w:rsidR="00695AE2" w:rsidRPr="00AF63E6" w:rsidRDefault="00695AE2" w:rsidP="00695AE2">
      <w:pPr>
        <w:spacing w:line="240" w:lineRule="auto"/>
        <w:jc w:val="both"/>
        <w:rPr>
          <w:b/>
          <w:bCs/>
          <w:color w:val="007466"/>
          <w:sz w:val="28"/>
          <w:szCs w:val="28"/>
        </w:rPr>
      </w:pPr>
    </w:p>
    <w:p w14:paraId="4D11123E" w14:textId="77777777" w:rsidR="00695AE2" w:rsidRPr="00503014" w:rsidRDefault="00695AE2" w:rsidP="00695AE2">
      <w:pPr>
        <w:pStyle w:val="Naslov3"/>
        <w:ind w:left="0" w:firstLine="0"/>
        <w:rPr>
          <w:rFonts w:eastAsia="Calibri"/>
        </w:rPr>
      </w:pPr>
      <w:bookmarkStart w:id="90" w:name="_Toc223093731"/>
      <w:r w:rsidRPr="00503014">
        <w:rPr>
          <w:rFonts w:eastAsia="Calibri"/>
        </w:rPr>
        <w:t>Sodelovanje na okrogli mizi ob 75. obletnici Konvencije o varstvu človekovih pravic (25. november 2025)</w:t>
      </w:r>
      <w:bookmarkEnd w:id="90"/>
    </w:p>
    <w:p w14:paraId="22F5C2E5" w14:textId="77777777" w:rsidR="00695AE2" w:rsidRPr="00503014" w:rsidRDefault="00695AE2" w:rsidP="00695AE2">
      <w:pPr>
        <w:spacing w:line="240" w:lineRule="auto"/>
        <w:jc w:val="both"/>
        <w:rPr>
          <w:b/>
          <w:bCs/>
          <w:color w:val="007466"/>
          <w:sz w:val="28"/>
          <w:szCs w:val="28"/>
        </w:rPr>
      </w:pPr>
    </w:p>
    <w:p w14:paraId="49429405" w14:textId="77777777" w:rsidR="00695AE2" w:rsidRPr="00503014" w:rsidRDefault="00695AE2" w:rsidP="00695AE2">
      <w:pPr>
        <w:spacing w:line="240" w:lineRule="auto"/>
        <w:jc w:val="both"/>
      </w:pPr>
      <w:r w:rsidRPr="00503014">
        <w:t xml:space="preserve">Na okrogli mizi sta na povabilo dekanje Evropske pravne fakultete, doc. dr. Katarine Vatovec, ki je okroglo mizo tudi moderirala, sodelovali generalna državna odvetnica dr. Ana Kerševan in vodja Mednarodnega oddelka, višja državna odvetnica mag. Nataša Pintar Gosenca. </w:t>
      </w:r>
    </w:p>
    <w:p w14:paraId="1A3572F0" w14:textId="77777777" w:rsidR="00695AE2" w:rsidRPr="00503014" w:rsidRDefault="00695AE2" w:rsidP="00695AE2">
      <w:pPr>
        <w:spacing w:line="240" w:lineRule="auto"/>
        <w:jc w:val="both"/>
      </w:pPr>
    </w:p>
    <w:p w14:paraId="0F8722FA" w14:textId="77777777" w:rsidR="00695AE2" w:rsidRPr="00503014" w:rsidRDefault="00695AE2" w:rsidP="00695AE2">
      <w:pPr>
        <w:spacing w:line="240" w:lineRule="auto"/>
        <w:jc w:val="both"/>
      </w:pPr>
      <w:r w:rsidRPr="00503014">
        <w:t>Predstavnici Državnega odvetništva RS sta v svojem prispevku predstavili pristojnosti Državnega odvetništva RS na področju zastopanja pred Evropskega sodišča za človekove pravice, izvrševanja sodb tega sodišča ter svetovanja različnim državnim organom na tem področju. Osvetlili sta zgodovinski razvoj ter predvsem izkušnje državnih odvetnikov iz prve roke, od obravnave prve pritožbe zoper Republiko Slovenijo pred Evropskim sodiščem za človekove pravice do danes. Glede na različna razumevanja statističnih podatkov Evropskega sodišča za človekove pravice, ki jih je včasih zaznati v javnosti, sta predstavili tudi svoj pogled na pravilno interpretacijo statističnih podatkov, ki se nanašajo na udeležbo Republike Slovenije pred tem mednarodnim sodiščem.</w:t>
      </w:r>
    </w:p>
    <w:p w14:paraId="4E5596BA" w14:textId="77777777" w:rsidR="00695AE2" w:rsidRPr="00503014" w:rsidRDefault="00695AE2" w:rsidP="00695AE2">
      <w:pPr>
        <w:spacing w:line="240" w:lineRule="auto"/>
        <w:jc w:val="both"/>
      </w:pPr>
    </w:p>
    <w:p w14:paraId="44844978" w14:textId="77777777" w:rsidR="00695AE2" w:rsidRPr="00503014" w:rsidRDefault="00695AE2" w:rsidP="00695AE2">
      <w:pPr>
        <w:spacing w:line="240" w:lineRule="auto"/>
        <w:jc w:val="both"/>
      </w:pPr>
      <w:r w:rsidRPr="00503014">
        <w:t xml:space="preserve">Sklepno sta skupaj z ostalimi sogovorniki razpravljali o možnostih za izboljšanje izpolnjevanja konvencijskih zavez v Republiki Sloveniji, in sicer tako v okviru delovanja Državnega odvetništva RS kot na strani različnih državnih organov, ki so subjekt njegovega zastopanja oziroma pravnega svetovanja. </w:t>
      </w:r>
    </w:p>
    <w:p w14:paraId="220349A7" w14:textId="77777777" w:rsidR="00695AE2" w:rsidRPr="00F217C0" w:rsidRDefault="00695AE2" w:rsidP="00695AE2">
      <w:pPr>
        <w:spacing w:line="240" w:lineRule="auto"/>
        <w:jc w:val="both"/>
        <w:rPr>
          <w:rFonts w:eastAsia="Calibri"/>
          <w:sz w:val="28"/>
          <w:szCs w:val="28"/>
        </w:rPr>
      </w:pPr>
    </w:p>
    <w:p w14:paraId="732D42F6" w14:textId="77777777" w:rsidR="00695AE2" w:rsidRPr="00503014" w:rsidRDefault="00695AE2" w:rsidP="00695AE2">
      <w:pPr>
        <w:pStyle w:val="Naslov3"/>
        <w:rPr>
          <w:rFonts w:eastAsia="Calibri"/>
        </w:rPr>
      </w:pPr>
      <w:bookmarkStart w:id="91" w:name="_Hlk222818202"/>
      <w:r>
        <w:rPr>
          <w:rFonts w:cs="Times New Roman"/>
        </w:rPr>
        <w:t xml:space="preserve"> </w:t>
      </w:r>
      <w:bookmarkStart w:id="92" w:name="_Toc223093732"/>
      <w:r w:rsidRPr="00F217C0">
        <w:rPr>
          <w:rFonts w:cs="Times New Roman"/>
        </w:rPr>
        <w:t>S</w:t>
      </w:r>
      <w:r w:rsidRPr="00503014">
        <w:rPr>
          <w:rFonts w:eastAsia="Calibri"/>
        </w:rPr>
        <w:t>lovenska arbitražna konferenca 2025</w:t>
      </w:r>
      <w:r w:rsidRPr="00F217C0">
        <w:rPr>
          <w:rFonts w:eastAsia="Calibri"/>
        </w:rPr>
        <w:t xml:space="preserve"> (26. november 2025)</w:t>
      </w:r>
      <w:bookmarkEnd w:id="92"/>
    </w:p>
    <w:p w14:paraId="2A6ED985" w14:textId="77777777" w:rsidR="00695AE2" w:rsidRPr="00503014" w:rsidRDefault="00695AE2" w:rsidP="00695AE2">
      <w:pPr>
        <w:spacing w:line="240" w:lineRule="auto"/>
        <w:jc w:val="both"/>
        <w:rPr>
          <w:rFonts w:eastAsia="Calibri"/>
          <w:sz w:val="28"/>
          <w:szCs w:val="28"/>
        </w:rPr>
      </w:pPr>
    </w:p>
    <w:p w14:paraId="799B8A6C" w14:textId="77777777" w:rsidR="00695AE2" w:rsidRDefault="00695AE2" w:rsidP="00695AE2">
      <w:pPr>
        <w:spacing w:line="240" w:lineRule="auto"/>
        <w:jc w:val="both"/>
        <w:rPr>
          <w:rFonts w:eastAsia="Calibri"/>
        </w:rPr>
      </w:pPr>
      <w:bookmarkStart w:id="93" w:name="_Hlk222754846"/>
      <w:r w:rsidRPr="00503014">
        <w:rPr>
          <w:rFonts w:eastAsia="Calibri"/>
        </w:rPr>
        <w:t>Na osrednjem dogodku na področju arbitraže v Sloveniji je</w:t>
      </w:r>
      <w:r>
        <w:rPr>
          <w:rFonts w:eastAsia="Calibri"/>
        </w:rPr>
        <w:t xml:space="preserve"> </w:t>
      </w:r>
      <w:r w:rsidRPr="00503014">
        <w:rPr>
          <w:rFonts w:eastAsia="Calibri"/>
        </w:rPr>
        <w:t>s prispevkom</w:t>
      </w:r>
      <w:r w:rsidRPr="00503014">
        <w:rPr>
          <w:rFonts w:eastAsia="Calibri"/>
          <w:lang w:val="en-GB"/>
        </w:rPr>
        <w:t xml:space="preserve"> State in International Arbitration – experience and challenges of State Attorney </w:t>
      </w:r>
      <w:r w:rsidRPr="00503014">
        <w:rPr>
          <w:rFonts w:eastAsia="Calibri"/>
        </w:rPr>
        <w:t>sodelovala</w:t>
      </w:r>
      <w:r w:rsidRPr="00503014">
        <w:rPr>
          <w:rFonts w:eastAsia="Calibri"/>
        </w:rPr>
        <w:br/>
        <w:t>mag. Nataša Pintar Gosenca, višja državna odvetnica, vodja Mednarodnega oddelka Državnega odvetništva RS.</w:t>
      </w:r>
    </w:p>
    <w:p w14:paraId="5F1A3988" w14:textId="77777777" w:rsidR="00695AE2" w:rsidRPr="00F217C0" w:rsidRDefault="00695AE2" w:rsidP="00695AE2">
      <w:pPr>
        <w:spacing w:line="240" w:lineRule="auto"/>
        <w:jc w:val="both"/>
        <w:rPr>
          <w:rFonts w:eastAsia="Calibri"/>
          <w:sz w:val="32"/>
          <w:szCs w:val="32"/>
        </w:rPr>
      </w:pPr>
    </w:p>
    <w:p w14:paraId="0C1E109E" w14:textId="77777777" w:rsidR="00695AE2" w:rsidRPr="00503014" w:rsidRDefault="00695AE2" w:rsidP="00695AE2">
      <w:pPr>
        <w:pStyle w:val="Naslov2"/>
        <w:rPr>
          <w:lang w:eastAsia="sl-SI"/>
        </w:rPr>
      </w:pPr>
      <w:bookmarkStart w:id="94" w:name="_Toc223093733"/>
      <w:r w:rsidRPr="00503014">
        <w:rPr>
          <w:lang w:eastAsia="sl-SI"/>
        </w:rPr>
        <w:t>Prispevki Državnega odvetništva RS v strokovni literaturi</w:t>
      </w:r>
      <w:bookmarkEnd w:id="94"/>
    </w:p>
    <w:p w14:paraId="78703AB0" w14:textId="77777777" w:rsidR="00695AE2" w:rsidRPr="00503014" w:rsidRDefault="00695AE2" w:rsidP="00695AE2">
      <w:pPr>
        <w:spacing w:line="240" w:lineRule="auto"/>
        <w:jc w:val="both"/>
        <w:rPr>
          <w:rFonts w:eastAsia="Times New Roman"/>
          <w:b/>
          <w:bCs/>
          <w:sz w:val="32"/>
          <w:szCs w:val="32"/>
          <w:lang w:eastAsia="sl-SI"/>
        </w:rPr>
      </w:pPr>
    </w:p>
    <w:p w14:paraId="0488621C"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lastRenderedPageBreak/>
        <w:t xml:space="preserve">Predstavniki Državnega odvetništva RS tudi z objavami prispevkov v strokovnih publikacijah prispevajo k oblikovanju oziroma razlagi ter razumevanju prava. V letu 2025 so bili tako v strokovnih publikacijah objavljeni naslednji prispevki državnih odvetnikov: </w:t>
      </w:r>
    </w:p>
    <w:p w14:paraId="7F287C7F" w14:textId="77777777" w:rsidR="00695AE2" w:rsidRPr="00503014" w:rsidRDefault="00695AE2" w:rsidP="00695AE2">
      <w:pPr>
        <w:spacing w:line="240" w:lineRule="auto"/>
        <w:jc w:val="both"/>
        <w:rPr>
          <w:rFonts w:eastAsia="Times New Roman"/>
          <w:lang w:eastAsia="sl-SI"/>
        </w:rPr>
      </w:pPr>
    </w:p>
    <w:p w14:paraId="4F3D1A68" w14:textId="77777777" w:rsidR="00695AE2" w:rsidRPr="00503014" w:rsidRDefault="00695AE2" w:rsidP="00695AE2">
      <w:pPr>
        <w:numPr>
          <w:ilvl w:val="0"/>
          <w:numId w:val="94"/>
        </w:numPr>
        <w:spacing w:line="240" w:lineRule="auto"/>
        <w:jc w:val="both"/>
        <w:rPr>
          <w:rFonts w:eastAsia="Times New Roman"/>
          <w:lang w:eastAsia="sl-SI"/>
        </w:rPr>
      </w:pPr>
      <w:r w:rsidRPr="00503014">
        <w:rPr>
          <w:rFonts w:eastAsia="Times New Roman"/>
          <w:lang w:eastAsia="sl-SI"/>
        </w:rPr>
        <w:t>Ali investicijski standard poštene in enakopravne obravnave kot izraz vladavine prava nasprotuje pravici do pitne vode?  (višji državni odvetnik mag. Simon Umek, Pravna praksa,  46-47/2025);</w:t>
      </w:r>
    </w:p>
    <w:p w14:paraId="762AF4CD" w14:textId="77777777" w:rsidR="00695AE2" w:rsidRPr="00503014" w:rsidRDefault="00695AE2" w:rsidP="00695AE2">
      <w:pPr>
        <w:numPr>
          <w:ilvl w:val="0"/>
          <w:numId w:val="94"/>
        </w:numPr>
        <w:spacing w:line="240" w:lineRule="auto"/>
        <w:jc w:val="both"/>
        <w:rPr>
          <w:rFonts w:eastAsia="Times New Roman"/>
          <w:lang w:eastAsia="sl-SI"/>
        </w:rPr>
      </w:pPr>
      <w:hyperlink r:id="rId30" w:history="1">
        <w:r w:rsidRPr="00503014">
          <w:rPr>
            <w:rFonts w:eastAsia="Times New Roman"/>
            <w:lang w:eastAsia="sl-SI"/>
          </w:rPr>
          <w:t>Varovanje koristi otrok v sodnih postopkih in vloga Državnega odvetništva Republike Slovenije</w:t>
        </w:r>
      </w:hyperlink>
      <w:r w:rsidRPr="00503014">
        <w:rPr>
          <w:rFonts w:eastAsia="Times New Roman"/>
          <w:lang w:eastAsia="sl-SI"/>
        </w:rPr>
        <w:t xml:space="preserve"> (višja državna odvetnica mag. Jana Morela, Pravosodni bilten, št. 2/2025);</w:t>
      </w:r>
    </w:p>
    <w:p w14:paraId="68FE4153" w14:textId="77777777" w:rsidR="00695AE2" w:rsidRPr="00503014" w:rsidRDefault="00695AE2" w:rsidP="00695AE2">
      <w:pPr>
        <w:numPr>
          <w:ilvl w:val="0"/>
          <w:numId w:val="94"/>
        </w:numPr>
        <w:spacing w:line="240" w:lineRule="auto"/>
        <w:jc w:val="both"/>
        <w:rPr>
          <w:rFonts w:eastAsia="Times New Roman"/>
          <w:lang w:eastAsia="sl-SI"/>
        </w:rPr>
      </w:pPr>
      <w:r w:rsidRPr="00503014">
        <w:rPr>
          <w:rFonts w:eastAsia="Times New Roman"/>
          <w:lang w:eastAsia="sl-SI"/>
        </w:rPr>
        <w:t>Uspešno državno odvetništvo ni nekaj samoumevnega (generalna državna odvetnica dr. Ana Kerševan, uvodnik v reviji Pravnik, št. 7-8/2025)</w:t>
      </w:r>
    </w:p>
    <w:p w14:paraId="7D1CF9DF" w14:textId="77777777" w:rsidR="00695AE2" w:rsidRPr="00503014" w:rsidRDefault="00695AE2" w:rsidP="00695AE2">
      <w:pPr>
        <w:numPr>
          <w:ilvl w:val="0"/>
          <w:numId w:val="94"/>
        </w:numPr>
        <w:spacing w:line="240" w:lineRule="auto"/>
        <w:jc w:val="both"/>
        <w:rPr>
          <w:rFonts w:eastAsia="Calibri"/>
        </w:rPr>
      </w:pPr>
      <w:r w:rsidRPr="00503014">
        <w:rPr>
          <w:rFonts w:eastAsia="Times New Roman"/>
          <w:lang w:val="en-GB" w:eastAsia="sl-SI"/>
        </w:rPr>
        <w:t xml:space="preserve">Between Individual Rights and State Responsibility: </w:t>
      </w:r>
      <w:proofErr w:type="gramStart"/>
      <w:r w:rsidRPr="00503014">
        <w:rPr>
          <w:rFonts w:eastAsia="Times New Roman"/>
          <w:lang w:val="en-GB" w:eastAsia="sl-SI"/>
        </w:rPr>
        <w:t>the</w:t>
      </w:r>
      <w:proofErr w:type="gramEnd"/>
      <w:r w:rsidRPr="00503014">
        <w:rPr>
          <w:rFonts w:eastAsia="Times New Roman"/>
          <w:lang w:val="en-GB" w:eastAsia="sl-SI"/>
        </w:rPr>
        <w:t xml:space="preserve"> Role of the State Attorney’s Office as the Protector of Property and Other Interests of the Republic of Slovenia before the European Court of Human Rights </w:t>
      </w:r>
      <w:r w:rsidRPr="00503014">
        <w:rPr>
          <w:rFonts w:eastAsia="Times New Roman"/>
          <w:lang w:eastAsia="sl-SI"/>
        </w:rPr>
        <w:t>(generalna državna odvetnica dr. Ana Kerševan in višja državna odvetnica mag. Nataša Pintar Gosenca, Dignitas 104/2025).</w:t>
      </w:r>
    </w:p>
    <w:bookmarkEnd w:id="91"/>
    <w:bookmarkEnd w:id="93"/>
    <w:p w14:paraId="5BAACF5B" w14:textId="77777777" w:rsidR="00695AE2" w:rsidRPr="00503014" w:rsidRDefault="00695AE2" w:rsidP="00695AE2">
      <w:pPr>
        <w:spacing w:line="240" w:lineRule="auto"/>
        <w:jc w:val="both"/>
        <w:rPr>
          <w:rFonts w:eastAsia="Calibri"/>
          <w:iCs/>
          <w:sz w:val="32"/>
          <w:szCs w:val="32"/>
        </w:rPr>
      </w:pPr>
    </w:p>
    <w:p w14:paraId="42E1ACE7" w14:textId="77777777" w:rsidR="00695AE2" w:rsidRPr="00503014" w:rsidRDefault="00695AE2" w:rsidP="00695AE2">
      <w:pPr>
        <w:pStyle w:val="Naslov2"/>
        <w:ind w:left="0" w:firstLine="0"/>
      </w:pPr>
      <w:bookmarkStart w:id="95" w:name="_Toc223093734"/>
      <w:r w:rsidRPr="00503014">
        <w:t>Pobuda Državnega odvetništva RS za organizacijo Šole pravosodnega osebja</w:t>
      </w:r>
      <w:bookmarkEnd w:id="95"/>
      <w:r w:rsidRPr="00503014">
        <w:t xml:space="preserve"> </w:t>
      </w:r>
    </w:p>
    <w:p w14:paraId="66B2E166" w14:textId="77777777" w:rsidR="00695AE2" w:rsidRPr="00503014" w:rsidRDefault="00695AE2" w:rsidP="00695AE2">
      <w:pPr>
        <w:spacing w:line="240" w:lineRule="auto"/>
        <w:jc w:val="both"/>
        <w:rPr>
          <w:rFonts w:eastAsia="Calibri"/>
          <w:sz w:val="32"/>
          <w:szCs w:val="32"/>
        </w:rPr>
      </w:pPr>
    </w:p>
    <w:p w14:paraId="777DEAD5"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Državno odvetništvo RS se zaveda pomembnosti prispevka administrativnega oziroma podpornega osebja pri izvajanju nalog  pravosodnih organov. Njihova vloga presega zgolj administrativne naloge, s svojim strokovnim znanjem, izkušnjami in predanostjo pomembno prispevajo k zagotavljanju pravne varnosti. Zato je vlaganje v njihovo usposabljanje, povezovanje in strokovno rast nujno za tudi krepitev pravne države. </w:t>
      </w:r>
    </w:p>
    <w:p w14:paraId="34A6D2FC" w14:textId="77777777" w:rsidR="00695AE2" w:rsidRPr="00503014" w:rsidRDefault="00695AE2" w:rsidP="00695AE2">
      <w:pPr>
        <w:spacing w:line="240" w:lineRule="auto"/>
        <w:jc w:val="both"/>
        <w:rPr>
          <w:rFonts w:eastAsia="Times New Roman"/>
          <w:lang w:eastAsia="sl-SI"/>
        </w:rPr>
      </w:pPr>
    </w:p>
    <w:p w14:paraId="7EF8CCB5"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Center za izobraževanje v pravosodju v svojem obširnem programu ni imelo uvrščenega izobraževalnega dne za pravosodno osebje, na katerem bi se lahko srečali in izmenjali izkušnje različnih pravosodnih organov. Srečanja in seminarji omogočajo izmenjavo dobrih praks, reševanje skupnih izzivov ter vzpostavljanje boljšega razumevanja med različnimi pravosodnimi organi. Pravosodno osebje pogosto razpolaga z dragocenimi praktičnimi izkušnjami, ki so ključne za usposabljanje novih kadrov in izboljšanje obstoječih praks. </w:t>
      </w:r>
    </w:p>
    <w:p w14:paraId="29D240AE" w14:textId="77777777" w:rsidR="00695AE2" w:rsidRPr="00503014" w:rsidRDefault="00695AE2" w:rsidP="00695AE2">
      <w:pPr>
        <w:spacing w:line="240" w:lineRule="auto"/>
        <w:jc w:val="both"/>
        <w:rPr>
          <w:rFonts w:eastAsia="Times New Roman"/>
          <w:lang w:eastAsia="sl-SI"/>
        </w:rPr>
      </w:pPr>
    </w:p>
    <w:p w14:paraId="02080FAF"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Osebni podatki, tajni podatki, umetna inteligenca, poslovanje s težavnimi strankami, komunikacija s podrejenimi in nadrejenimi, pravilna raba slovenščine, varnostna tveganja, pomen letnih razgovorov, možnosti za izobraževanje, strateški razvoj pravosodnih organov je na primer le nekaj primeroma naštetih tem, ki bi bile lahko zanimive za osebje vseh pravosodnih organov. </w:t>
      </w:r>
    </w:p>
    <w:p w14:paraId="0A4E5018" w14:textId="77777777" w:rsidR="00695AE2" w:rsidRPr="00503014" w:rsidRDefault="00695AE2" w:rsidP="00695AE2">
      <w:pPr>
        <w:spacing w:line="240" w:lineRule="auto"/>
        <w:jc w:val="both"/>
        <w:rPr>
          <w:rFonts w:eastAsia="Times New Roman"/>
          <w:lang w:eastAsia="sl-SI"/>
        </w:rPr>
      </w:pPr>
    </w:p>
    <w:p w14:paraId="79635FF1"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Z organizacijo takšnega izobraževanja bi se lahko povečala privlačnost delovnih mest, oblikovanih za pravosodno osebje, poleg tega pa bi ti zaposleni prejeli jasno sporočilo o pomenu vsakega zaposlenega v pravosodju, s čimer bi se krepil občutek pripadnosti.</w:t>
      </w:r>
    </w:p>
    <w:p w14:paraId="74648C5C" w14:textId="77777777" w:rsidR="00695AE2" w:rsidRPr="00503014" w:rsidRDefault="00695AE2" w:rsidP="00695AE2">
      <w:pPr>
        <w:spacing w:line="240" w:lineRule="auto"/>
        <w:jc w:val="both"/>
        <w:rPr>
          <w:rFonts w:eastAsia="Times New Roman"/>
          <w:lang w:eastAsia="sl-SI"/>
        </w:rPr>
      </w:pPr>
    </w:p>
    <w:p w14:paraId="5069A506" w14:textId="77777777" w:rsidR="00695AE2" w:rsidRDefault="00695AE2" w:rsidP="00695AE2">
      <w:pPr>
        <w:spacing w:line="240" w:lineRule="auto"/>
        <w:jc w:val="both"/>
        <w:rPr>
          <w:rFonts w:eastAsia="Times New Roman"/>
          <w:lang w:eastAsia="sl-SI"/>
        </w:rPr>
      </w:pPr>
      <w:r w:rsidRPr="00503014">
        <w:rPr>
          <w:rFonts w:eastAsia="Times New Roman"/>
          <w:lang w:eastAsia="sl-SI"/>
        </w:rPr>
        <w:t xml:space="preserve">Glede na vse navedeno je Državno odvetništvo RS v oktobru 2025 na CIP naslovilo pobudo za organizacijo Šole pravosodnega osebja. V času priprave tega poročila o delu je Državno odvetništvo RS že prejelo informacijo, da je bila njegova pobuda sprejeta ter bo predlagana oblika izobraževanja dejansko organizirana, in sicer predvidoma v mesecu juniju 2026.  </w:t>
      </w:r>
    </w:p>
    <w:p w14:paraId="383E483F" w14:textId="77777777" w:rsidR="00695AE2" w:rsidRPr="00503014" w:rsidRDefault="00695AE2" w:rsidP="00695AE2">
      <w:pPr>
        <w:pStyle w:val="Naslov1"/>
        <w:rPr>
          <w:rFonts w:eastAsia="Times New Roman"/>
        </w:rPr>
      </w:pPr>
      <w:bookmarkStart w:id="96" w:name="_Toc160097142"/>
      <w:bookmarkStart w:id="97" w:name="_Toc191561754"/>
      <w:bookmarkStart w:id="98" w:name="_Toc223093735"/>
      <w:r w:rsidRPr="00503014">
        <w:rPr>
          <w:rFonts w:eastAsia="Times New Roman"/>
        </w:rPr>
        <w:lastRenderedPageBreak/>
        <w:t>IZVAJANJE NALOG</w:t>
      </w:r>
      <w:bookmarkEnd w:id="96"/>
      <w:bookmarkEnd w:id="97"/>
      <w:bookmarkEnd w:id="98"/>
    </w:p>
    <w:p w14:paraId="48666025" w14:textId="77777777" w:rsidR="00695AE2" w:rsidRPr="00503014" w:rsidRDefault="00695AE2" w:rsidP="00695AE2">
      <w:pPr>
        <w:spacing w:line="240" w:lineRule="auto"/>
        <w:rPr>
          <w:rFonts w:eastAsia="Calibri"/>
          <w:sz w:val="36"/>
          <w:szCs w:val="36"/>
        </w:rPr>
      </w:pPr>
    </w:p>
    <w:p w14:paraId="1A833B51" w14:textId="77777777" w:rsidR="00695AE2" w:rsidRPr="00503014" w:rsidRDefault="00695AE2" w:rsidP="00695AE2">
      <w:pPr>
        <w:pStyle w:val="Naslov2"/>
      </w:pPr>
      <w:bookmarkStart w:id="99" w:name="_Toc160097143"/>
      <w:bookmarkStart w:id="100" w:name="_Toc191561755"/>
      <w:bookmarkStart w:id="101" w:name="_Toc223093736"/>
      <w:r w:rsidRPr="00503014">
        <w:t>Problematika s področja poslovanja Državnega odvetništva RS</w:t>
      </w:r>
      <w:bookmarkEnd w:id="99"/>
      <w:bookmarkEnd w:id="100"/>
      <w:bookmarkEnd w:id="101"/>
    </w:p>
    <w:p w14:paraId="37875E07" w14:textId="77777777" w:rsidR="00695AE2" w:rsidRPr="00503014" w:rsidRDefault="00695AE2" w:rsidP="00695AE2">
      <w:pPr>
        <w:overflowPunct w:val="0"/>
        <w:autoSpaceDE w:val="0"/>
        <w:autoSpaceDN w:val="0"/>
        <w:adjustRightInd w:val="0"/>
        <w:spacing w:line="240" w:lineRule="auto"/>
        <w:jc w:val="both"/>
        <w:textAlignment w:val="baseline"/>
        <w:rPr>
          <w:rFonts w:eastAsia="Calibri"/>
          <w:sz w:val="32"/>
          <w:szCs w:val="32"/>
          <w:lang w:eastAsia="sl-SI"/>
        </w:rPr>
      </w:pPr>
    </w:p>
    <w:p w14:paraId="5F2F16F2" w14:textId="77777777" w:rsidR="00695AE2" w:rsidRPr="00503014" w:rsidRDefault="00695AE2" w:rsidP="00695AE2">
      <w:pPr>
        <w:pStyle w:val="Naslov3"/>
      </w:pPr>
      <w:bookmarkStart w:id="102" w:name="_Toc160097144"/>
      <w:bookmarkStart w:id="103" w:name="_Toc191561756"/>
      <w:bookmarkStart w:id="104" w:name="_Toc223093737"/>
      <w:r w:rsidRPr="00503014">
        <w:t>Uvod</w:t>
      </w:r>
      <w:bookmarkEnd w:id="102"/>
      <w:bookmarkEnd w:id="103"/>
      <w:bookmarkEnd w:id="104"/>
    </w:p>
    <w:p w14:paraId="2C902B0A" w14:textId="77777777" w:rsidR="00695AE2" w:rsidRPr="00503014" w:rsidRDefault="00695AE2" w:rsidP="00695AE2">
      <w:pPr>
        <w:overflowPunct w:val="0"/>
        <w:autoSpaceDE w:val="0"/>
        <w:autoSpaceDN w:val="0"/>
        <w:adjustRightInd w:val="0"/>
        <w:spacing w:line="240" w:lineRule="auto"/>
        <w:jc w:val="both"/>
        <w:textAlignment w:val="baseline"/>
        <w:rPr>
          <w:rFonts w:eastAsia="Calibri"/>
          <w:sz w:val="28"/>
          <w:szCs w:val="28"/>
          <w:lang w:eastAsia="sl-SI"/>
        </w:rPr>
      </w:pPr>
    </w:p>
    <w:p w14:paraId="31CFF267" w14:textId="77777777" w:rsidR="00695AE2" w:rsidRPr="00503014" w:rsidRDefault="00695AE2" w:rsidP="00695AE2">
      <w:pPr>
        <w:spacing w:line="240" w:lineRule="auto"/>
        <w:jc w:val="both"/>
        <w:rPr>
          <w:rFonts w:eastAsia="Calibri"/>
          <w:szCs w:val="20"/>
          <w:lang w:eastAsia="sl-SI"/>
        </w:rPr>
      </w:pPr>
      <w:r w:rsidRPr="00503014">
        <w:rPr>
          <w:rFonts w:eastAsia="Calibri"/>
          <w:szCs w:val="20"/>
          <w:lang w:eastAsia="sl-SI"/>
        </w:rPr>
        <w:t xml:space="preserve">Dinamika in obseg dela Državnega odvetništva RS sta v veliki meri odvisna od dela sodišč, pravosodnih in državnih organov ter od družbenih razmer v državi, ki neposredno ali posredno vplivajo na večje število sporov z državo ali na nastanek novih vrst sporov. Zaradi hitrih in nepredvidljivih sprememb v družbi se pričakuje nadaljnje povečanje števila in raznolikosti zadev, s katerimi se ukvarja Državno odvetništvo RS. </w:t>
      </w:r>
    </w:p>
    <w:p w14:paraId="1193361C" w14:textId="77777777" w:rsidR="00695AE2" w:rsidRPr="00503014" w:rsidRDefault="00695AE2" w:rsidP="00695AE2">
      <w:pPr>
        <w:spacing w:line="240" w:lineRule="auto"/>
        <w:jc w:val="both"/>
        <w:rPr>
          <w:rFonts w:eastAsia="Calibri"/>
          <w:szCs w:val="20"/>
          <w:lang w:eastAsia="sl-SI"/>
        </w:rPr>
      </w:pPr>
    </w:p>
    <w:p w14:paraId="578F77BC" w14:textId="77777777" w:rsidR="00695AE2" w:rsidRPr="00503014" w:rsidRDefault="00695AE2" w:rsidP="00695AE2">
      <w:pPr>
        <w:spacing w:line="240" w:lineRule="auto"/>
        <w:jc w:val="both"/>
        <w:rPr>
          <w:rFonts w:eastAsia="Calibri"/>
          <w:szCs w:val="20"/>
          <w:lang w:eastAsia="sl-SI"/>
        </w:rPr>
      </w:pPr>
      <w:r w:rsidRPr="00503014">
        <w:rPr>
          <w:rFonts w:eastAsia="Calibri"/>
          <w:szCs w:val="20"/>
          <w:lang w:eastAsia="sl-SI"/>
        </w:rPr>
        <w:t>Da bi Državno odvetništvo RS lahko svoje naloge in pristojnosti, ki jih ima na podlagi ZDOdv in druge zakonodaje, še naprej opravljalo v skladu z najvišjimi strokovnimi in poklicnimi standardi ter učinkovito zagotavljalo pravni servis države, ščitilo premoženjske in druge interese Republike Slovenije, varovalo javni interes in ugled države ter krepilo svoj lasten ugled, je nujno zagotoviti ustrezne pogoje za delo in zadostna finančna sredstva. Za uspešno izvajanje nalog so ključnega pomena pregledna in stabilna zakonodaja, visoka usposobljenost zadostnega števila zaposlenih ter dobra tehnična opremljenost.</w:t>
      </w:r>
    </w:p>
    <w:p w14:paraId="35F13D8A" w14:textId="77777777" w:rsidR="00695AE2" w:rsidRPr="00F2597D" w:rsidRDefault="00695AE2" w:rsidP="00695AE2">
      <w:pPr>
        <w:pStyle w:val="Jasna"/>
        <w:rPr>
          <w:sz w:val="28"/>
          <w:szCs w:val="28"/>
        </w:rPr>
      </w:pPr>
    </w:p>
    <w:p w14:paraId="02D2B399" w14:textId="77777777" w:rsidR="00695AE2" w:rsidRPr="00503014" w:rsidRDefault="00695AE2" w:rsidP="00695AE2">
      <w:pPr>
        <w:pStyle w:val="Naslov3"/>
      </w:pPr>
      <w:bookmarkStart w:id="105" w:name="_Toc223093738"/>
      <w:bookmarkStart w:id="106" w:name="_Toc160097146"/>
      <w:bookmarkStart w:id="107" w:name="_Toc191561757"/>
      <w:bookmarkStart w:id="108" w:name="_Toc160097145"/>
      <w:r w:rsidRPr="00503014">
        <w:t>Področje kadrovskih zadev</w:t>
      </w:r>
      <w:bookmarkEnd w:id="105"/>
      <w:r w:rsidRPr="00503014">
        <w:t xml:space="preserve"> </w:t>
      </w:r>
    </w:p>
    <w:p w14:paraId="6840AD9A" w14:textId="77777777" w:rsidR="00695AE2" w:rsidRPr="00503014" w:rsidRDefault="00695AE2" w:rsidP="00695AE2">
      <w:pPr>
        <w:overflowPunct w:val="0"/>
        <w:autoSpaceDE w:val="0"/>
        <w:autoSpaceDN w:val="0"/>
        <w:adjustRightInd w:val="0"/>
        <w:spacing w:line="240" w:lineRule="auto"/>
        <w:jc w:val="both"/>
        <w:textAlignment w:val="baseline"/>
        <w:rPr>
          <w:rFonts w:eastAsia="Calibri"/>
          <w:sz w:val="28"/>
          <w:szCs w:val="28"/>
        </w:rPr>
      </w:pPr>
    </w:p>
    <w:p w14:paraId="1450CF8E" w14:textId="77777777" w:rsidR="00695AE2" w:rsidRPr="00503014" w:rsidRDefault="00695AE2" w:rsidP="00695AE2">
      <w:pPr>
        <w:pStyle w:val="Naslov4"/>
        <w:rPr>
          <w:lang w:eastAsia="sl-SI"/>
        </w:rPr>
      </w:pPr>
      <w:bookmarkStart w:id="109" w:name="_Toc223093739"/>
      <w:r w:rsidRPr="00503014">
        <w:t>Uvod</w:t>
      </w:r>
      <w:bookmarkEnd w:id="109"/>
    </w:p>
    <w:p w14:paraId="7B37468F"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129AE333"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 xml:space="preserve">Naloge Državnega odvetništva Republike Slovenije opravljajo generalni državni odvetnik, namestnik generalnega državnega odvetnika, višji državni odvetniki, državni odvetniki in kandidati za državne odvetnike. </w:t>
      </w:r>
    </w:p>
    <w:p w14:paraId="5B0AC9C2"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47EAF416"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Generalnega državnega odvetnika, ki je funkcionar, za obdobje šestih let z možnostjo ponovnega imenovanja imenuje Vlada RS na obrazloženi predlog ministra za pravosodje, ob predhodnem mnenju komisije za presojo ustreznosti kandidatov. Namestnika generalnega državnega odvetnika, ki je prav tako funkcionar, imenuje Vlada RS, prav tako za obdobje šestih let, na predlog generalnega državnega odvetnika in s soglasjem ministra za pravosodje.</w:t>
      </w:r>
    </w:p>
    <w:p w14:paraId="1BA2DD51"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5211206D"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 xml:space="preserve">Višji državni odvetniki in državni odvetniki opravljajo vse strokovne naloge v okviru pristojnosti državnega odvetništva, če zakon ne določa drugače. </w:t>
      </w:r>
    </w:p>
    <w:p w14:paraId="7615D1AE"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3E1A097B"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 xml:space="preserve">Državni odvetniki zastopajo subjekte po določbah ZDOdv v zadevah, ki spadajo v pristojnost splošnih sodišč prve stopnje, delovnih in socialnih sodišč ter upravnih organov. V drugih zadevah zastopajo subjekte po določbah tega zakona le v okviru pooblastila generalnega državnega odvetnika ali višjega državnega odvetnika. </w:t>
      </w:r>
    </w:p>
    <w:p w14:paraId="07EA8489"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4AEB2EDF"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 xml:space="preserve">Višji državni odvetniki zastopajo subjekte tudi pred višjimi sodišči, Vrhovnim sodiščem Republike Slovenije, tujimi sodišči in tujimi arbitražami ter mednarodnimi sodišči in mednarodnimi arbitražami, lahko pa tudi pred Ustavnim sodiščem Republike Slovenije. </w:t>
      </w:r>
    </w:p>
    <w:p w14:paraId="1DFF16E3"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lastRenderedPageBreak/>
        <w:t>Kandidati za državne odvetnike pripravljajo strokovne podlage za delo državnih odvetnikov, nadomeščajo državne odvetnike pri zastopanju pred splošnimi sodišči prve stopnje, delovnimi in socialnimi sodišči prve stopnje ter upravnimi organi prve stopnje, spremljajo in proučujejo prakso sodišč in arbitraž ter opravljajo druge strokovne naloge po navodilu državnih odvetnikov.</w:t>
      </w:r>
    </w:p>
    <w:p w14:paraId="5E1DCED1"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3894054A"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Delovno razmerje za opravljanje nalog višjega državnega odvetnika, državnega odvetnika in kandidata za državnega odvetnika lahko sklene oseba, ki izpolnjuje naslednje pogoje:</w:t>
      </w:r>
    </w:p>
    <w:p w14:paraId="219BA7CD" w14:textId="77777777" w:rsidR="00695AE2" w:rsidRPr="00503014" w:rsidRDefault="00695AE2" w:rsidP="00695AE2">
      <w:pPr>
        <w:numPr>
          <w:ilvl w:val="0"/>
          <w:numId w:val="26"/>
        </w:numPr>
        <w:spacing w:line="240" w:lineRule="auto"/>
        <w:ind w:left="714" w:hanging="357"/>
        <w:jc w:val="both"/>
        <w:rPr>
          <w:rFonts w:eastAsia="Times New Roman"/>
          <w:color w:val="000000"/>
          <w:lang w:eastAsia="sl-SI"/>
        </w:rPr>
      </w:pPr>
      <w:r w:rsidRPr="00503014">
        <w:rPr>
          <w:rFonts w:eastAsia="Times New Roman"/>
          <w:color w:val="000000"/>
          <w:lang w:eastAsia="sl-SI"/>
        </w:rPr>
        <w:t>visokošolska univerzitetna izobrazba (prejšnja) – pravo, magistrska izobrazba (druga bolonjska stopnja) – pravo (diplomirani pravnik (UN) in magister prava ali magister prava na podlagi enovitega magistrskega študijskega programa) ali v tujini končano primerljivo izobraževanje s področja prava, ki se dokazuje s tujo listino o izobraževanju in priloženim mnenjem o izobraževanju ali z odločbo o priznavanju izobraževanja za namen zaposlitve ali z odločbo o nostrifikaciji;</w:t>
      </w:r>
    </w:p>
    <w:p w14:paraId="6B8114A0" w14:textId="77777777" w:rsidR="00695AE2" w:rsidRPr="00503014" w:rsidRDefault="00695AE2" w:rsidP="00695AE2">
      <w:pPr>
        <w:numPr>
          <w:ilvl w:val="0"/>
          <w:numId w:val="26"/>
        </w:numPr>
        <w:spacing w:line="240" w:lineRule="auto"/>
        <w:ind w:left="714" w:hanging="357"/>
        <w:jc w:val="both"/>
        <w:rPr>
          <w:rFonts w:eastAsia="Times New Roman"/>
          <w:color w:val="000000"/>
          <w:lang w:eastAsia="sl-SI"/>
        </w:rPr>
      </w:pPr>
      <w:r w:rsidRPr="00503014">
        <w:rPr>
          <w:rFonts w:eastAsia="Times New Roman"/>
          <w:color w:val="000000"/>
          <w:lang w:eastAsia="sl-SI"/>
        </w:rPr>
        <w:t>pravniški državni izpit;</w:t>
      </w:r>
    </w:p>
    <w:p w14:paraId="52011DF5" w14:textId="77777777" w:rsidR="00695AE2" w:rsidRPr="00503014" w:rsidRDefault="00695AE2" w:rsidP="00695AE2">
      <w:pPr>
        <w:numPr>
          <w:ilvl w:val="0"/>
          <w:numId w:val="26"/>
        </w:numPr>
        <w:spacing w:line="240" w:lineRule="auto"/>
        <w:ind w:left="714" w:hanging="357"/>
        <w:jc w:val="both"/>
        <w:rPr>
          <w:rFonts w:eastAsia="Times New Roman"/>
          <w:iCs/>
          <w:color w:val="000000"/>
          <w:lang w:eastAsia="sl-SI"/>
        </w:rPr>
      </w:pPr>
      <w:r w:rsidRPr="00503014">
        <w:rPr>
          <w:rFonts w:eastAsia="Times New Roman"/>
          <w:iCs/>
          <w:color w:val="000000"/>
          <w:lang w:eastAsia="sl-SI"/>
        </w:rPr>
        <w:t>opravljeno obvezno usposabljanje za imenovanje v naziv (če ga kandidat nima, ga lahko opravi najkasneje v enem letu od sklenitve pogodbe o zaposlitvi – prvi odstavek 89. člena ZJU);</w:t>
      </w:r>
    </w:p>
    <w:p w14:paraId="0FE72622" w14:textId="77777777" w:rsidR="00695AE2" w:rsidRPr="00503014" w:rsidRDefault="00695AE2" w:rsidP="00695AE2">
      <w:pPr>
        <w:numPr>
          <w:ilvl w:val="0"/>
          <w:numId w:val="26"/>
        </w:numPr>
        <w:spacing w:line="240" w:lineRule="auto"/>
        <w:ind w:left="714" w:hanging="357"/>
        <w:jc w:val="both"/>
        <w:rPr>
          <w:rFonts w:eastAsia="Times New Roman"/>
          <w:color w:val="000000"/>
          <w:lang w:eastAsia="sl-SI"/>
        </w:rPr>
      </w:pPr>
      <w:r w:rsidRPr="00503014">
        <w:rPr>
          <w:rFonts w:eastAsia="Times New Roman"/>
          <w:color w:val="000000"/>
          <w:lang w:eastAsia="sl-SI"/>
        </w:rPr>
        <w:t>znanje uradnega jezika;</w:t>
      </w:r>
    </w:p>
    <w:p w14:paraId="31AEAFEF" w14:textId="77777777" w:rsidR="00695AE2" w:rsidRPr="00503014" w:rsidRDefault="00695AE2" w:rsidP="00695AE2">
      <w:pPr>
        <w:numPr>
          <w:ilvl w:val="0"/>
          <w:numId w:val="26"/>
        </w:numPr>
        <w:spacing w:line="240" w:lineRule="auto"/>
        <w:ind w:left="714" w:hanging="357"/>
        <w:jc w:val="both"/>
        <w:rPr>
          <w:rFonts w:eastAsia="Times New Roman"/>
          <w:color w:val="000000"/>
          <w:lang w:eastAsia="sl-SI"/>
        </w:rPr>
      </w:pPr>
      <w:r w:rsidRPr="00503014">
        <w:rPr>
          <w:rFonts w:eastAsia="Times New Roman"/>
          <w:color w:val="000000"/>
          <w:lang w:eastAsia="sl-SI"/>
        </w:rPr>
        <w:t>državljanstvo Republike Slovenije;</w:t>
      </w:r>
    </w:p>
    <w:p w14:paraId="15A0258A" w14:textId="77777777" w:rsidR="00695AE2" w:rsidRPr="00503014" w:rsidRDefault="00695AE2" w:rsidP="00695AE2">
      <w:pPr>
        <w:numPr>
          <w:ilvl w:val="0"/>
          <w:numId w:val="26"/>
        </w:numPr>
        <w:spacing w:line="240" w:lineRule="auto"/>
        <w:ind w:left="714" w:hanging="357"/>
        <w:jc w:val="both"/>
        <w:rPr>
          <w:rFonts w:eastAsia="Times New Roman"/>
          <w:color w:val="000000"/>
          <w:lang w:eastAsia="sl-SI"/>
        </w:rPr>
      </w:pPr>
      <w:r w:rsidRPr="00503014">
        <w:rPr>
          <w:rFonts w:eastAsia="Times New Roman"/>
          <w:color w:val="000000"/>
          <w:lang w:eastAsia="sl-SI"/>
        </w:rPr>
        <w:t>da niso pravnomočno obsojeni zaradi naklepnega kaznivega dejanja, ki se preganja po uradni dolžnosti in da niso bili obsojeni na nepogojno kazen zapora v trajanju več kot šest mesecev;</w:t>
      </w:r>
    </w:p>
    <w:p w14:paraId="3BCCDE13" w14:textId="77777777" w:rsidR="00695AE2" w:rsidRPr="00503014" w:rsidRDefault="00695AE2" w:rsidP="00695AE2">
      <w:pPr>
        <w:numPr>
          <w:ilvl w:val="0"/>
          <w:numId w:val="26"/>
        </w:numPr>
        <w:spacing w:line="240" w:lineRule="auto"/>
        <w:ind w:left="714" w:hanging="357"/>
        <w:jc w:val="both"/>
        <w:rPr>
          <w:rFonts w:eastAsia="Times New Roman"/>
          <w:color w:val="000000"/>
          <w:lang w:eastAsia="sl-SI"/>
        </w:rPr>
      </w:pPr>
      <w:r w:rsidRPr="00503014">
        <w:rPr>
          <w:rFonts w:eastAsia="Times New Roman"/>
          <w:color w:val="000000"/>
          <w:lang w:eastAsia="sl-SI"/>
        </w:rPr>
        <w:t>da zoper njih ni vložena pravnomočna obtožnica zaradi naklepnega kaznivega dejanja, ki se preganja po uradni dolžnosti.</w:t>
      </w:r>
    </w:p>
    <w:p w14:paraId="3D70488F"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179C5EA2" w14:textId="77777777" w:rsidR="00695AE2" w:rsidRPr="00503014" w:rsidRDefault="00695AE2" w:rsidP="00695AE2">
      <w:pPr>
        <w:spacing w:line="240" w:lineRule="auto"/>
        <w:jc w:val="both"/>
        <w:rPr>
          <w:rFonts w:eastAsia="Calibri"/>
        </w:rPr>
      </w:pPr>
      <w:r w:rsidRPr="00503014">
        <w:rPr>
          <w:rFonts w:eastAsia="Calibri"/>
          <w:lang w:eastAsia="sl-SI"/>
        </w:rPr>
        <w:t xml:space="preserve">Kandidat, ki izpolnjuje zgoraj navedene pogoje, lahko sklene delovno razmerje za opravljanje nalog višjega državnega odvetnika, če ima </w:t>
      </w:r>
      <w:r w:rsidRPr="00503014">
        <w:rPr>
          <w:rFonts w:eastAsia="Calibri"/>
        </w:rPr>
        <w:t xml:space="preserve">najmanj 10 let delovnih izkušenj, od tega </w:t>
      </w:r>
      <w:r w:rsidRPr="00503014">
        <w:rPr>
          <w:rFonts w:eastAsia="Calibri"/>
          <w:lang w:eastAsia="sl-SI"/>
        </w:rPr>
        <w:t xml:space="preserve">najmanj devet let delovnih izkušenj na pravniških delih po opravljenem pravniškem državnem izpitu </w:t>
      </w:r>
    </w:p>
    <w:p w14:paraId="64E727AB"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 xml:space="preserve">ali je najmanj tri leta opravljal naloge državnega odvetnika. </w:t>
      </w:r>
    </w:p>
    <w:p w14:paraId="12E9BB84"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2BCB7C1D" w14:textId="77777777" w:rsidR="00695AE2" w:rsidRPr="00503014" w:rsidRDefault="00695AE2" w:rsidP="00695AE2">
      <w:pPr>
        <w:spacing w:line="240" w:lineRule="auto"/>
        <w:jc w:val="both"/>
        <w:rPr>
          <w:rFonts w:eastAsia="Calibri"/>
          <w:lang w:eastAsia="sl-SI"/>
        </w:rPr>
      </w:pPr>
      <w:r w:rsidRPr="00503014">
        <w:rPr>
          <w:rFonts w:eastAsia="Calibri"/>
          <w:lang w:eastAsia="sl-SI"/>
        </w:rPr>
        <w:t xml:space="preserve">Delovno razmerje za opravljanje nalog državnega odvetnika pa lahko sklene kandidat, ki izpolnjuje prej navedene pogoje, če ima najmanj </w:t>
      </w:r>
      <w:r w:rsidRPr="00503014">
        <w:rPr>
          <w:rFonts w:eastAsia="Calibri"/>
        </w:rPr>
        <w:t xml:space="preserve">10 let delovnih izkušenj, od tega najmanj </w:t>
      </w:r>
      <w:r w:rsidRPr="00503014">
        <w:rPr>
          <w:rFonts w:eastAsia="Calibri"/>
          <w:lang w:eastAsia="sl-SI"/>
        </w:rPr>
        <w:t>tri leta delovnih izkušenj na pravniških delih po opravljenem pravniškem državnem izpitu.</w:t>
      </w:r>
    </w:p>
    <w:p w14:paraId="3865311D"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p>
    <w:p w14:paraId="1D19F171" w14:textId="77777777" w:rsidR="00695AE2" w:rsidRPr="00503014" w:rsidRDefault="00695AE2" w:rsidP="00695AE2">
      <w:pPr>
        <w:overflowPunct w:val="0"/>
        <w:autoSpaceDE w:val="0"/>
        <w:autoSpaceDN w:val="0"/>
        <w:adjustRightInd w:val="0"/>
        <w:spacing w:line="240" w:lineRule="auto"/>
        <w:jc w:val="both"/>
        <w:textAlignment w:val="baseline"/>
        <w:rPr>
          <w:rFonts w:eastAsia="Calibri"/>
          <w:lang w:eastAsia="sl-SI"/>
        </w:rPr>
      </w:pPr>
      <w:r w:rsidRPr="00503014">
        <w:rPr>
          <w:rFonts w:eastAsia="Calibri"/>
          <w:lang w:eastAsia="sl-SI"/>
        </w:rPr>
        <w:t>Delo v mednarodnem oddelku lahko opravlja oseba, ki poleg vseh zgoraj navedenih pogojev  izpolnjuje še naslednja pogoja:</w:t>
      </w:r>
    </w:p>
    <w:p w14:paraId="07502F9B" w14:textId="77777777" w:rsidR="00695AE2" w:rsidRPr="00503014" w:rsidRDefault="00695AE2" w:rsidP="00695AE2">
      <w:pPr>
        <w:numPr>
          <w:ilvl w:val="0"/>
          <w:numId w:val="27"/>
        </w:numPr>
        <w:overflowPunct w:val="0"/>
        <w:autoSpaceDE w:val="0"/>
        <w:autoSpaceDN w:val="0"/>
        <w:adjustRightInd w:val="0"/>
        <w:spacing w:line="240" w:lineRule="auto"/>
        <w:contextualSpacing/>
        <w:jc w:val="both"/>
        <w:textAlignment w:val="baseline"/>
        <w:rPr>
          <w:rFonts w:eastAsia="Calibri"/>
          <w:lang w:eastAsia="sl-SI"/>
        </w:rPr>
      </w:pPr>
      <w:r w:rsidRPr="00503014">
        <w:rPr>
          <w:rFonts w:eastAsia="Calibri"/>
          <w:lang w:eastAsia="sl-SI"/>
        </w:rPr>
        <w:t>da izkazuje višjo raven znanja angleškega ali francoskega jezika po evropski jezikovni lestvici in</w:t>
      </w:r>
    </w:p>
    <w:p w14:paraId="2A3EFF96" w14:textId="77777777" w:rsidR="00695AE2" w:rsidRPr="00503014" w:rsidRDefault="00695AE2" w:rsidP="00695AE2">
      <w:pPr>
        <w:numPr>
          <w:ilvl w:val="0"/>
          <w:numId w:val="27"/>
        </w:numPr>
        <w:overflowPunct w:val="0"/>
        <w:autoSpaceDE w:val="0"/>
        <w:autoSpaceDN w:val="0"/>
        <w:adjustRightInd w:val="0"/>
        <w:spacing w:line="240" w:lineRule="auto"/>
        <w:contextualSpacing/>
        <w:jc w:val="both"/>
        <w:textAlignment w:val="baseline"/>
        <w:rPr>
          <w:rFonts w:eastAsia="Calibri"/>
          <w:lang w:eastAsia="sl-SI"/>
        </w:rPr>
      </w:pPr>
      <w:r w:rsidRPr="00503014">
        <w:rPr>
          <w:rFonts w:eastAsia="Calibri"/>
          <w:lang w:eastAsia="sl-SI"/>
        </w:rPr>
        <w:t>da ima znanja ali tri leta delovnih izkušenj s področja mednarodnega prava, evropskega prava človekovih pravic ali prava Evropske unije.</w:t>
      </w:r>
    </w:p>
    <w:p w14:paraId="4DDFF2C3" w14:textId="77777777" w:rsidR="00695AE2" w:rsidRPr="00503014" w:rsidRDefault="00695AE2" w:rsidP="00695AE2">
      <w:pPr>
        <w:overflowPunct w:val="0"/>
        <w:autoSpaceDE w:val="0"/>
        <w:autoSpaceDN w:val="0"/>
        <w:adjustRightInd w:val="0"/>
        <w:spacing w:line="240" w:lineRule="auto"/>
        <w:jc w:val="both"/>
        <w:textAlignment w:val="baseline"/>
        <w:rPr>
          <w:rFonts w:eastAsia="Calibri"/>
          <w:szCs w:val="20"/>
          <w:lang w:eastAsia="sl-SI"/>
        </w:rPr>
      </w:pPr>
    </w:p>
    <w:p w14:paraId="2370F171" w14:textId="77777777" w:rsidR="00695AE2" w:rsidRPr="00503014" w:rsidRDefault="00695AE2" w:rsidP="00695AE2">
      <w:pPr>
        <w:pStyle w:val="Naslov4"/>
        <w:rPr>
          <w:lang w:eastAsia="sl-SI"/>
        </w:rPr>
      </w:pPr>
      <w:bookmarkStart w:id="110" w:name="_Toc223093740"/>
      <w:r w:rsidRPr="00503014">
        <w:t>Struktura zaposlenih na Državnem odvetništvu RS</w:t>
      </w:r>
      <w:bookmarkEnd w:id="110"/>
    </w:p>
    <w:p w14:paraId="3EEB4448" w14:textId="77777777" w:rsidR="00695AE2" w:rsidRPr="00503014" w:rsidRDefault="00695AE2" w:rsidP="00695AE2">
      <w:pPr>
        <w:spacing w:line="240" w:lineRule="auto"/>
        <w:jc w:val="both"/>
        <w:rPr>
          <w:rFonts w:eastAsia="Calibri"/>
        </w:rPr>
      </w:pPr>
    </w:p>
    <w:p w14:paraId="62A75BE4" w14:textId="77777777" w:rsidR="00695AE2" w:rsidRPr="00503014" w:rsidRDefault="00695AE2" w:rsidP="00695AE2">
      <w:pPr>
        <w:spacing w:line="240" w:lineRule="auto"/>
        <w:jc w:val="both"/>
        <w:rPr>
          <w:rFonts w:eastAsia="Calibri"/>
        </w:rPr>
      </w:pPr>
      <w:r w:rsidRPr="00503014">
        <w:rPr>
          <w:rFonts w:eastAsia="Calibri"/>
        </w:rPr>
        <w:t>Na dan 31. 12. 2025 je imelo Državno odvetništvo RS 216 zaposlenih, in sicer:</w:t>
      </w:r>
    </w:p>
    <w:p w14:paraId="497D1C95" w14:textId="77777777" w:rsidR="00695AE2" w:rsidRPr="00503014" w:rsidRDefault="00695AE2" w:rsidP="00695AE2">
      <w:pPr>
        <w:spacing w:line="240" w:lineRule="auto"/>
        <w:jc w:val="both"/>
        <w:rPr>
          <w:rFonts w:eastAsia="Calibri"/>
        </w:rPr>
      </w:pPr>
    </w:p>
    <w:p w14:paraId="5FBE6967" w14:textId="77777777" w:rsidR="00695AE2" w:rsidRPr="00503014" w:rsidRDefault="00695AE2" w:rsidP="00695AE2">
      <w:pPr>
        <w:numPr>
          <w:ilvl w:val="0"/>
          <w:numId w:val="80"/>
        </w:numPr>
        <w:spacing w:line="240" w:lineRule="auto"/>
        <w:contextualSpacing/>
        <w:jc w:val="both"/>
        <w:rPr>
          <w:rFonts w:eastAsia="Calibri"/>
        </w:rPr>
      </w:pPr>
      <w:r w:rsidRPr="00503014">
        <w:rPr>
          <w:rFonts w:eastAsia="Calibri"/>
        </w:rPr>
        <w:lastRenderedPageBreak/>
        <w:t>generalno državno odvetnico in namestnico generalne državne odvetnice (ki se v nadaljnjih statističnih predstavitvah upoštevata kot višji državni odvetnici),</w:t>
      </w:r>
    </w:p>
    <w:p w14:paraId="26DE7620" w14:textId="77777777" w:rsidR="00695AE2" w:rsidRPr="00503014" w:rsidRDefault="00695AE2" w:rsidP="00695AE2">
      <w:pPr>
        <w:numPr>
          <w:ilvl w:val="0"/>
          <w:numId w:val="80"/>
        </w:numPr>
        <w:spacing w:line="240" w:lineRule="auto"/>
        <w:contextualSpacing/>
        <w:jc w:val="both"/>
        <w:rPr>
          <w:rFonts w:eastAsia="Calibri"/>
        </w:rPr>
      </w:pPr>
      <w:r w:rsidRPr="00503014">
        <w:rPr>
          <w:rFonts w:eastAsia="Calibri"/>
        </w:rPr>
        <w:t xml:space="preserve">54 višjih državnih odvetnikov, </w:t>
      </w:r>
    </w:p>
    <w:p w14:paraId="3F667E12" w14:textId="77777777" w:rsidR="00695AE2" w:rsidRPr="00503014" w:rsidRDefault="00695AE2" w:rsidP="00695AE2">
      <w:pPr>
        <w:numPr>
          <w:ilvl w:val="0"/>
          <w:numId w:val="80"/>
        </w:numPr>
        <w:spacing w:line="240" w:lineRule="auto"/>
        <w:contextualSpacing/>
        <w:jc w:val="both"/>
        <w:rPr>
          <w:rFonts w:eastAsia="Calibri"/>
        </w:rPr>
      </w:pPr>
      <w:r w:rsidRPr="00503014">
        <w:rPr>
          <w:rFonts w:eastAsia="Calibri"/>
        </w:rPr>
        <w:t xml:space="preserve">27 državnih odvetnikov, </w:t>
      </w:r>
    </w:p>
    <w:p w14:paraId="59FF4736" w14:textId="77777777" w:rsidR="00695AE2" w:rsidRPr="00503014" w:rsidRDefault="00695AE2" w:rsidP="00695AE2">
      <w:pPr>
        <w:numPr>
          <w:ilvl w:val="0"/>
          <w:numId w:val="80"/>
        </w:numPr>
        <w:spacing w:line="240" w:lineRule="auto"/>
        <w:contextualSpacing/>
        <w:jc w:val="both"/>
        <w:rPr>
          <w:rFonts w:eastAsia="Calibri"/>
        </w:rPr>
      </w:pPr>
      <w:r w:rsidRPr="00503014">
        <w:rPr>
          <w:rFonts w:eastAsia="Calibri"/>
        </w:rPr>
        <w:t xml:space="preserve">20 kandidatov za državne odvetnike,  </w:t>
      </w:r>
    </w:p>
    <w:p w14:paraId="315BD82E" w14:textId="77777777" w:rsidR="00695AE2" w:rsidRPr="00503014" w:rsidRDefault="00695AE2" w:rsidP="00695AE2">
      <w:pPr>
        <w:numPr>
          <w:ilvl w:val="0"/>
          <w:numId w:val="80"/>
        </w:numPr>
        <w:spacing w:line="240" w:lineRule="auto"/>
        <w:contextualSpacing/>
        <w:jc w:val="both"/>
        <w:rPr>
          <w:rFonts w:eastAsia="Calibri"/>
        </w:rPr>
      </w:pPr>
      <w:r w:rsidRPr="00503014">
        <w:rPr>
          <w:rFonts w:eastAsia="Calibri"/>
        </w:rPr>
        <w:t xml:space="preserve">8 pravnikov, </w:t>
      </w:r>
    </w:p>
    <w:p w14:paraId="2B813654" w14:textId="77777777" w:rsidR="00695AE2" w:rsidRPr="00503014" w:rsidRDefault="00695AE2" w:rsidP="00695AE2">
      <w:pPr>
        <w:numPr>
          <w:ilvl w:val="0"/>
          <w:numId w:val="80"/>
        </w:numPr>
        <w:spacing w:line="240" w:lineRule="auto"/>
        <w:contextualSpacing/>
        <w:jc w:val="both"/>
        <w:rPr>
          <w:rFonts w:eastAsia="Calibri"/>
          <w:b/>
          <w:bCs/>
          <w:color w:val="007466"/>
          <w:sz w:val="20"/>
          <w:szCs w:val="20"/>
        </w:rPr>
      </w:pPr>
      <w:r w:rsidRPr="00503014">
        <w:rPr>
          <w:rFonts w:eastAsia="Calibri"/>
        </w:rPr>
        <w:t>105 drugih javnih uslužbencev.</w:t>
      </w:r>
    </w:p>
    <w:p w14:paraId="170DF149" w14:textId="77777777" w:rsidR="00695AE2" w:rsidRPr="00503014" w:rsidRDefault="00695AE2" w:rsidP="00695AE2">
      <w:pPr>
        <w:spacing w:line="240" w:lineRule="auto"/>
        <w:ind w:left="720"/>
        <w:contextualSpacing/>
        <w:jc w:val="both"/>
        <w:rPr>
          <w:rFonts w:eastAsia="Calibri"/>
          <w:b/>
          <w:bCs/>
          <w:color w:val="007466"/>
          <w:sz w:val="20"/>
          <w:szCs w:val="20"/>
        </w:rPr>
      </w:pPr>
    </w:p>
    <w:p w14:paraId="0CEE3CEA" w14:textId="77777777" w:rsidR="00695AE2" w:rsidRDefault="00695AE2" w:rsidP="00695AE2">
      <w:pPr>
        <w:spacing w:line="240" w:lineRule="auto"/>
        <w:contextualSpacing/>
        <w:jc w:val="both"/>
        <w:rPr>
          <w:rFonts w:eastAsia="Calibri"/>
          <w:b/>
          <w:bCs/>
          <w:color w:val="007466"/>
          <w:sz w:val="20"/>
          <w:szCs w:val="20"/>
        </w:rPr>
      </w:pPr>
      <w:r w:rsidRPr="00503014">
        <w:rPr>
          <w:rFonts w:eastAsia="Calibri"/>
          <w:b/>
          <w:bCs/>
          <w:color w:val="007466"/>
          <w:sz w:val="20"/>
          <w:szCs w:val="20"/>
        </w:rPr>
        <w:t xml:space="preserve">Grafikon: Struktura zaposlenih na dan 31. 12. 2025 </w:t>
      </w:r>
    </w:p>
    <w:p w14:paraId="2AA383BF" w14:textId="77777777" w:rsidR="00695AE2" w:rsidRPr="00503014" w:rsidRDefault="00695AE2" w:rsidP="00695AE2">
      <w:pPr>
        <w:spacing w:line="240" w:lineRule="auto"/>
        <w:contextualSpacing/>
        <w:jc w:val="both"/>
        <w:rPr>
          <w:rFonts w:eastAsia="Calibri"/>
          <w:b/>
          <w:bCs/>
          <w:color w:val="007466"/>
          <w:sz w:val="20"/>
          <w:szCs w:val="20"/>
        </w:rPr>
      </w:pPr>
    </w:p>
    <w:p w14:paraId="5E020CB4" w14:textId="77777777" w:rsidR="00695AE2" w:rsidRPr="00503014" w:rsidRDefault="00695AE2" w:rsidP="00695AE2">
      <w:pPr>
        <w:spacing w:line="240" w:lineRule="auto"/>
        <w:jc w:val="center"/>
        <w:rPr>
          <w:rFonts w:eastAsia="Calibri"/>
        </w:rPr>
      </w:pPr>
      <w:r w:rsidRPr="00503014">
        <w:rPr>
          <w:noProof/>
        </w:rPr>
        <w:drawing>
          <wp:inline distT="0" distB="0" distL="0" distR="0" wp14:anchorId="79E2C884" wp14:editId="0C335AA8">
            <wp:extent cx="5743575" cy="2814955"/>
            <wp:effectExtent l="0" t="0" r="9525" b="4445"/>
            <wp:docPr id="671916171" name="Grafikon 1">
              <a:extLst xmlns:a="http://schemas.openxmlformats.org/drawingml/2006/main">
                <a:ext uri="{FF2B5EF4-FFF2-40B4-BE49-F238E27FC236}">
                  <a16:creationId xmlns:a16="http://schemas.microsoft.com/office/drawing/2014/main" id="{90EEC5C5-BAC7-067F-F38E-4C564515B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E38D3" w14:textId="77777777" w:rsidR="00695AE2" w:rsidRPr="00503014" w:rsidRDefault="00695AE2" w:rsidP="00695AE2">
      <w:pPr>
        <w:spacing w:line="240" w:lineRule="auto"/>
        <w:jc w:val="both"/>
        <w:rPr>
          <w:rFonts w:eastAsia="Calibri"/>
        </w:rPr>
      </w:pPr>
    </w:p>
    <w:p w14:paraId="29C6AB8E" w14:textId="77777777" w:rsidR="00695AE2" w:rsidRPr="00503014" w:rsidRDefault="00695AE2" w:rsidP="00695AE2">
      <w:pPr>
        <w:spacing w:line="240" w:lineRule="auto"/>
        <w:jc w:val="both"/>
        <w:rPr>
          <w:rFonts w:eastAsia="Calibri"/>
        </w:rPr>
      </w:pPr>
      <w:r w:rsidRPr="00503014">
        <w:rPr>
          <w:rFonts w:eastAsia="Calibri"/>
        </w:rPr>
        <w:t xml:space="preserve">Na Državnem odvetništvu RS je od skupno 216 zaposlenih 193 žensk in 23 moških. </w:t>
      </w:r>
    </w:p>
    <w:p w14:paraId="45B02334" w14:textId="77777777" w:rsidR="00695AE2" w:rsidRPr="00503014" w:rsidRDefault="00695AE2" w:rsidP="00695AE2">
      <w:pPr>
        <w:spacing w:line="240" w:lineRule="auto"/>
        <w:jc w:val="both"/>
        <w:rPr>
          <w:rFonts w:eastAsia="Calibri"/>
        </w:rPr>
      </w:pPr>
    </w:p>
    <w:p w14:paraId="114359B6" w14:textId="77777777" w:rsidR="00695AE2" w:rsidRPr="00503014" w:rsidRDefault="00695AE2" w:rsidP="00695AE2">
      <w:pPr>
        <w:spacing w:line="240" w:lineRule="auto"/>
        <w:jc w:val="both"/>
        <w:rPr>
          <w:rFonts w:eastAsia="Calibri"/>
        </w:rPr>
      </w:pPr>
      <w:r w:rsidRPr="00503014">
        <w:rPr>
          <w:rFonts w:eastAsia="Calibri"/>
        </w:rPr>
        <w:t xml:space="preserve">Od 193 zaposlenih žensk je 95 pravnic, 98 pa drugih javnih uslužbenk. Od 23 moških je 14 pravnikov in 9 drugih javnih uslužbencev.  </w:t>
      </w:r>
    </w:p>
    <w:p w14:paraId="5FD54A18" w14:textId="77777777" w:rsidR="00695AE2" w:rsidRPr="00503014" w:rsidRDefault="00695AE2" w:rsidP="00695AE2">
      <w:pPr>
        <w:spacing w:line="240" w:lineRule="auto"/>
        <w:jc w:val="both"/>
        <w:rPr>
          <w:rFonts w:eastAsia="Calibri"/>
        </w:rPr>
      </w:pPr>
      <w:r w:rsidRPr="00503014">
        <w:rPr>
          <w:rFonts w:eastAsia="Calibri"/>
        </w:rPr>
        <w:t xml:space="preserve"> </w:t>
      </w:r>
    </w:p>
    <w:p w14:paraId="148876A7" w14:textId="77777777" w:rsidR="00695AE2" w:rsidRPr="00503014" w:rsidRDefault="00695AE2" w:rsidP="00695AE2">
      <w:pPr>
        <w:spacing w:line="240" w:lineRule="auto"/>
        <w:jc w:val="both"/>
        <w:rPr>
          <w:rFonts w:eastAsia="Calibri"/>
        </w:rPr>
      </w:pPr>
      <w:r w:rsidRPr="00503014">
        <w:rPr>
          <w:rFonts w:eastAsia="Calibri"/>
          <w:b/>
          <w:bCs/>
          <w:color w:val="007466"/>
          <w:sz w:val="20"/>
          <w:szCs w:val="20"/>
        </w:rPr>
        <w:t>Grafikon: Struktura zaposlenih po spolu</w:t>
      </w:r>
    </w:p>
    <w:p w14:paraId="523CA8C7" w14:textId="77777777" w:rsidR="00695AE2" w:rsidRPr="00503014" w:rsidRDefault="00695AE2" w:rsidP="00695AE2">
      <w:pPr>
        <w:spacing w:line="240" w:lineRule="auto"/>
        <w:jc w:val="both"/>
        <w:rPr>
          <w:rFonts w:eastAsia="Calibri"/>
          <w:b/>
          <w:bCs/>
          <w:color w:val="007466"/>
          <w:sz w:val="20"/>
          <w:szCs w:val="20"/>
        </w:rPr>
      </w:pPr>
    </w:p>
    <w:p w14:paraId="7C23B866" w14:textId="77777777" w:rsidR="00695AE2" w:rsidRPr="00503014" w:rsidRDefault="00695AE2" w:rsidP="00695AE2">
      <w:pPr>
        <w:spacing w:line="240" w:lineRule="auto"/>
        <w:jc w:val="both"/>
        <w:rPr>
          <w:rFonts w:eastAsia="Calibri"/>
          <w:b/>
          <w:bCs/>
          <w:color w:val="007466"/>
          <w:sz w:val="20"/>
          <w:szCs w:val="20"/>
        </w:rPr>
      </w:pPr>
      <w:r w:rsidRPr="00503014">
        <w:rPr>
          <w:noProof/>
        </w:rPr>
        <w:drawing>
          <wp:inline distT="0" distB="0" distL="0" distR="0" wp14:anchorId="29298552" wp14:editId="38EC6DA9">
            <wp:extent cx="5743978" cy="2852671"/>
            <wp:effectExtent l="0" t="0" r="9525" b="5080"/>
            <wp:docPr id="2097532405" name="Grafikon 1">
              <a:extLst xmlns:a="http://schemas.openxmlformats.org/drawingml/2006/main">
                <a:ext uri="{FF2B5EF4-FFF2-40B4-BE49-F238E27FC236}">
                  <a16:creationId xmlns:a16="http://schemas.microsoft.com/office/drawing/2014/main" id="{FD0ABC88-75A7-A628-D4F8-9B3C1F934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E5A969" w14:textId="42F02BF1" w:rsidR="00695AE2" w:rsidRPr="00503014" w:rsidRDefault="00695AE2" w:rsidP="00695AE2">
      <w:pPr>
        <w:spacing w:line="240" w:lineRule="auto"/>
        <w:jc w:val="both"/>
        <w:rPr>
          <w:rFonts w:eastAsia="Calibri"/>
          <w:b/>
          <w:bCs/>
          <w:color w:val="007466"/>
          <w:sz w:val="20"/>
          <w:szCs w:val="20"/>
        </w:rPr>
      </w:pPr>
      <w:r w:rsidRPr="00503014">
        <w:rPr>
          <w:rFonts w:eastAsia="Calibri"/>
        </w:rPr>
        <w:lastRenderedPageBreak/>
        <w:t xml:space="preserve">Povprečna starost vseh zaposlenih na Državnem odvetništvu RS znaša 45,66 let. Povprečna starost žensk je 45,68 let, moških pa 45,43 let. </w:t>
      </w:r>
    </w:p>
    <w:p w14:paraId="73A10BB1" w14:textId="77777777" w:rsidR="00695AE2" w:rsidRDefault="00695AE2" w:rsidP="00695AE2">
      <w:pPr>
        <w:spacing w:line="240" w:lineRule="auto"/>
        <w:jc w:val="both"/>
        <w:rPr>
          <w:rFonts w:eastAsia="Calibri"/>
          <w:b/>
          <w:bCs/>
          <w:color w:val="007466"/>
        </w:rPr>
      </w:pPr>
    </w:p>
    <w:p w14:paraId="044A75D9" w14:textId="77777777" w:rsidR="00695AE2" w:rsidRPr="00503014" w:rsidRDefault="00695AE2" w:rsidP="00695AE2">
      <w:pPr>
        <w:spacing w:line="240" w:lineRule="auto"/>
        <w:jc w:val="both"/>
        <w:rPr>
          <w:rFonts w:eastAsia="Calibri"/>
          <w:b/>
          <w:bCs/>
          <w:color w:val="007466"/>
          <w:sz w:val="20"/>
          <w:szCs w:val="20"/>
        </w:rPr>
      </w:pPr>
      <w:r w:rsidRPr="00503014">
        <w:rPr>
          <w:rFonts w:eastAsia="Calibri"/>
          <w:b/>
          <w:bCs/>
          <w:color w:val="007466"/>
          <w:sz w:val="20"/>
          <w:szCs w:val="20"/>
        </w:rPr>
        <w:t>Grafikon: Povprečna starost zaposlenih glede na spol</w:t>
      </w:r>
    </w:p>
    <w:p w14:paraId="3797B2B7" w14:textId="77777777" w:rsidR="00695AE2" w:rsidRPr="00503014" w:rsidRDefault="00695AE2" w:rsidP="00695AE2">
      <w:pPr>
        <w:spacing w:line="240" w:lineRule="auto"/>
        <w:jc w:val="both"/>
        <w:rPr>
          <w:rFonts w:eastAsia="Calibri"/>
          <w:sz w:val="20"/>
          <w:szCs w:val="20"/>
        </w:rPr>
      </w:pPr>
    </w:p>
    <w:p w14:paraId="51AFE8C0" w14:textId="77777777" w:rsidR="00695AE2" w:rsidRPr="00503014" w:rsidRDefault="00695AE2" w:rsidP="00695AE2">
      <w:pPr>
        <w:spacing w:line="240" w:lineRule="auto"/>
        <w:jc w:val="both"/>
        <w:rPr>
          <w:rFonts w:eastAsia="Calibri"/>
        </w:rPr>
      </w:pPr>
      <w:r w:rsidRPr="00503014">
        <w:rPr>
          <w:noProof/>
        </w:rPr>
        <w:drawing>
          <wp:inline distT="0" distB="0" distL="0" distR="0" wp14:anchorId="6137C230" wp14:editId="33218474">
            <wp:extent cx="5769735" cy="2774405"/>
            <wp:effectExtent l="0" t="0" r="2540" b="6985"/>
            <wp:docPr id="269124977" name="Grafikon 1">
              <a:extLst xmlns:a="http://schemas.openxmlformats.org/drawingml/2006/main">
                <a:ext uri="{FF2B5EF4-FFF2-40B4-BE49-F238E27FC236}">
                  <a16:creationId xmlns:a16="http://schemas.microsoft.com/office/drawing/2014/main" id="{A804FE77-45A0-DAB9-600C-3412DA44B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0F885" w14:textId="77777777" w:rsidR="00695AE2" w:rsidRPr="00503014" w:rsidRDefault="00695AE2" w:rsidP="00695AE2">
      <w:pPr>
        <w:spacing w:line="240" w:lineRule="auto"/>
        <w:jc w:val="both"/>
        <w:rPr>
          <w:rFonts w:eastAsia="Calibri"/>
        </w:rPr>
      </w:pPr>
    </w:p>
    <w:p w14:paraId="42CB004D" w14:textId="77777777" w:rsidR="00695AE2" w:rsidRPr="00503014" w:rsidRDefault="00695AE2" w:rsidP="00695AE2">
      <w:pPr>
        <w:spacing w:line="240" w:lineRule="auto"/>
        <w:jc w:val="both"/>
        <w:rPr>
          <w:rFonts w:eastAsia="Calibri"/>
        </w:rPr>
      </w:pPr>
      <w:r w:rsidRPr="00503014">
        <w:rPr>
          <w:rFonts w:eastAsia="Calibri"/>
        </w:rPr>
        <w:t xml:space="preserve">Povprečna starost zaposlenih na pravniških delovnih mestih je pri moških 47,21 let, pri ženskah pa 46,36 let. Povprečna starost drugih javnih uslužbencev je pri moških 42,67 let, pri ženskah pa 45,01 let. </w:t>
      </w:r>
    </w:p>
    <w:p w14:paraId="00D758BA" w14:textId="77777777" w:rsidR="00695AE2" w:rsidRPr="00503014" w:rsidRDefault="00695AE2" w:rsidP="00695AE2">
      <w:pPr>
        <w:spacing w:line="240" w:lineRule="auto"/>
        <w:jc w:val="both"/>
        <w:rPr>
          <w:rFonts w:eastAsia="Calibri"/>
          <w:b/>
          <w:bCs/>
          <w:color w:val="007466"/>
        </w:rPr>
      </w:pPr>
    </w:p>
    <w:p w14:paraId="6073875F" w14:textId="77777777" w:rsidR="00695AE2" w:rsidRDefault="00695AE2" w:rsidP="00695AE2">
      <w:pPr>
        <w:spacing w:line="240" w:lineRule="auto"/>
        <w:jc w:val="both"/>
        <w:rPr>
          <w:rFonts w:eastAsia="Calibri"/>
          <w:b/>
          <w:bCs/>
          <w:color w:val="007466"/>
          <w:sz w:val="20"/>
          <w:szCs w:val="20"/>
        </w:rPr>
      </w:pPr>
    </w:p>
    <w:p w14:paraId="4B1D435E" w14:textId="77777777" w:rsidR="00695AE2" w:rsidRPr="00503014" w:rsidRDefault="00695AE2" w:rsidP="00695AE2">
      <w:pPr>
        <w:spacing w:line="240" w:lineRule="auto"/>
        <w:jc w:val="both"/>
        <w:rPr>
          <w:rFonts w:eastAsia="Calibri"/>
          <w:b/>
          <w:bCs/>
          <w:color w:val="007466"/>
          <w:sz w:val="20"/>
          <w:szCs w:val="20"/>
        </w:rPr>
      </w:pPr>
      <w:r w:rsidRPr="00503014">
        <w:rPr>
          <w:rFonts w:eastAsia="Calibri"/>
          <w:b/>
          <w:bCs/>
          <w:color w:val="007466"/>
          <w:sz w:val="20"/>
          <w:szCs w:val="20"/>
        </w:rPr>
        <w:t>Grafikon: Povprečna starost zaposlenih glede na profil zaposlitve</w:t>
      </w:r>
    </w:p>
    <w:p w14:paraId="3CAE5C1E" w14:textId="77777777" w:rsidR="00695AE2" w:rsidRPr="00503014" w:rsidRDefault="00695AE2" w:rsidP="00695AE2">
      <w:pPr>
        <w:spacing w:line="240" w:lineRule="auto"/>
        <w:jc w:val="center"/>
        <w:rPr>
          <w:rFonts w:eastAsia="Calibri"/>
          <w:b/>
          <w:bCs/>
          <w:color w:val="007466"/>
          <w:sz w:val="20"/>
          <w:szCs w:val="20"/>
        </w:rPr>
      </w:pPr>
    </w:p>
    <w:p w14:paraId="0810C51E" w14:textId="77777777" w:rsidR="00695AE2" w:rsidRPr="00503014" w:rsidRDefault="00695AE2" w:rsidP="00695AE2">
      <w:pPr>
        <w:spacing w:line="240" w:lineRule="auto"/>
        <w:jc w:val="center"/>
        <w:rPr>
          <w:rFonts w:eastAsia="Calibri"/>
          <w:noProof/>
          <w:lang w:eastAsia="sl-SI"/>
        </w:rPr>
      </w:pPr>
      <w:r w:rsidRPr="00503014">
        <w:rPr>
          <w:noProof/>
        </w:rPr>
        <w:drawing>
          <wp:inline distT="0" distB="0" distL="0" distR="0" wp14:anchorId="27E327E4" wp14:editId="507E0FD2">
            <wp:extent cx="5782006" cy="2755641"/>
            <wp:effectExtent l="0" t="0" r="9525" b="6985"/>
            <wp:docPr id="1961502622" name="Grafikon 1">
              <a:extLst xmlns:a="http://schemas.openxmlformats.org/drawingml/2006/main">
                <a:ext uri="{FF2B5EF4-FFF2-40B4-BE49-F238E27FC236}">
                  <a16:creationId xmlns:a16="http://schemas.microsoft.com/office/drawing/2014/main" id="{BF42FD13-D618-F8FB-F0AA-771F6CC04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66B7B0" w14:textId="77777777" w:rsidR="00695AE2" w:rsidRPr="00503014" w:rsidRDefault="00695AE2" w:rsidP="00695AE2">
      <w:pPr>
        <w:pStyle w:val="Jasna"/>
        <w:rPr>
          <w:highlight w:val="yellow"/>
        </w:rPr>
      </w:pPr>
    </w:p>
    <w:p w14:paraId="2DA19FB9" w14:textId="77777777" w:rsidR="00695AE2" w:rsidRPr="00503014" w:rsidRDefault="00695AE2" w:rsidP="00695AE2">
      <w:pPr>
        <w:pStyle w:val="Naslov4"/>
      </w:pPr>
      <w:bookmarkStart w:id="111" w:name="_Toc223093741"/>
      <w:r w:rsidRPr="00503014">
        <w:t>Statistika objav prostih delovnih mest</w:t>
      </w:r>
      <w:bookmarkEnd w:id="111"/>
    </w:p>
    <w:p w14:paraId="2C794C4F" w14:textId="77777777" w:rsidR="00695AE2" w:rsidRPr="00503014" w:rsidRDefault="00695AE2" w:rsidP="00695AE2">
      <w:pPr>
        <w:spacing w:line="240" w:lineRule="auto"/>
        <w:jc w:val="both"/>
        <w:rPr>
          <w:rFonts w:eastAsia="Calibri"/>
        </w:rPr>
      </w:pPr>
    </w:p>
    <w:p w14:paraId="44712CD8" w14:textId="77777777" w:rsidR="00695AE2" w:rsidRPr="00503014" w:rsidRDefault="00695AE2" w:rsidP="00695AE2">
      <w:pPr>
        <w:spacing w:line="240" w:lineRule="auto"/>
        <w:jc w:val="both"/>
        <w:rPr>
          <w:rFonts w:eastAsia="Calibri"/>
        </w:rPr>
      </w:pPr>
      <w:r w:rsidRPr="00503014">
        <w:rPr>
          <w:rFonts w:eastAsia="Calibri"/>
        </w:rPr>
        <w:t>V letu 2025 je bilo objavljenih 14 javnih natečajev za 14 uradniških delovnih mest, in sicer za:</w:t>
      </w:r>
    </w:p>
    <w:p w14:paraId="44D23282" w14:textId="77777777" w:rsidR="00695AE2" w:rsidRPr="00503014" w:rsidRDefault="00695AE2" w:rsidP="00695AE2">
      <w:pPr>
        <w:spacing w:line="240" w:lineRule="auto"/>
        <w:jc w:val="both"/>
        <w:rPr>
          <w:rFonts w:eastAsia="Calibri"/>
        </w:rPr>
      </w:pPr>
    </w:p>
    <w:p w14:paraId="4EE88F79"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lastRenderedPageBreak/>
        <w:t>1 delovno mesto višji državni odvetnik na Zunanjem oddelku državnega odvetništva v Novem mestu (januar; javni natečaj je bil uspešno zaključen z izbiro kandidata);</w:t>
      </w:r>
    </w:p>
    <w:p w14:paraId="4AD50486"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II na Zunanjem oddelku državnega odvetništva v Murski Soboti (januar; javni natečaj je bil uspešno zaključen z izbiro kandidata);</w:t>
      </w:r>
    </w:p>
    <w:p w14:paraId="691B7446"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II na Zunanjem oddelku državnega odvetništva v Kopru (februar; javni natečaj je bil uspešno zaključen z izbiro kandidata);</w:t>
      </w:r>
    </w:p>
    <w:p w14:paraId="5D489B56"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generalni sekretar državnega odvetništva na sedežu državnega odvetništva v Ljubljani (marec; javni natečaj je bil uspešno zaključen z izbiro kandidata);</w:t>
      </w:r>
    </w:p>
    <w:p w14:paraId="457C2063"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II na Zunanjem oddelku državnega odvetništva v Celju (april; javni natečaj je bil uspešno zaključen z izbiro kandidata);</w:t>
      </w:r>
    </w:p>
    <w:p w14:paraId="45F35041"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II na sedežu državnega odvetništva v Ljubljani (junij; neuspešna objava – izbran ni bil noben kandidat);</w:t>
      </w:r>
    </w:p>
    <w:p w14:paraId="225AA2BC"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II na Zunanjem oddelku državnega odvetništva v Novem mestu (avgust; neuspešna objava – nobene prijave);</w:t>
      </w:r>
    </w:p>
    <w:p w14:paraId="0A21C6F7"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 na Zunanjem oddelku državnega odvetništva v Mariboru (september; javni natečaj je bil uspešno zaključen z izbiro kandidata);</w:t>
      </w:r>
    </w:p>
    <w:p w14:paraId="4CDA9BD7"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v Sekretariatu  na sedežu Državnega odvetništva RS v Ljubljani, (september; javni natečaj je bil uspešno zaključen z izbiro kandidata);</w:t>
      </w:r>
    </w:p>
    <w:p w14:paraId="79996417"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 na Zunanjem oddelku državnega odvetništva v Novem mestu (september; javni natečaj je bil uspešno zaključen z izbiro kandidata);</w:t>
      </w:r>
    </w:p>
    <w:p w14:paraId="0CA1B028"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 na Zunanjem oddelku državnega odvetništva v Kranju (september; javni natečaj je bil uspešno zaključen z izbiro kandidata);</w:t>
      </w:r>
    </w:p>
    <w:p w14:paraId="31EFB44A"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 na Zunanjem oddelku državnega odvetništva v Kopru (oktober; javni natečaj je bil uspešno zaključen z izbiro kandidata);</w:t>
      </w:r>
    </w:p>
    <w:p w14:paraId="53E458D8"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kandidat za državnega odvetnika I na sedežu Državnega odvetništva RS v Ljubljani (december, javni natečaj v času priprave tega poročila še ni zaključen);</w:t>
      </w:r>
    </w:p>
    <w:p w14:paraId="7A3127C3" w14:textId="77777777" w:rsidR="00695AE2" w:rsidRPr="00503014" w:rsidRDefault="00695AE2" w:rsidP="00695AE2">
      <w:pPr>
        <w:numPr>
          <w:ilvl w:val="0"/>
          <w:numId w:val="81"/>
        </w:numPr>
        <w:spacing w:line="240" w:lineRule="auto"/>
        <w:contextualSpacing/>
        <w:jc w:val="both"/>
        <w:rPr>
          <w:rFonts w:eastAsia="Calibri"/>
        </w:rPr>
      </w:pPr>
      <w:r w:rsidRPr="00503014">
        <w:rPr>
          <w:rFonts w:eastAsia="Calibri"/>
        </w:rPr>
        <w:t>1 delovno mesto referent - analitik na sedežu Državnega odvetništva RS v Ljubljani (december, javni natečaj v času priprave tega poročila še ni zaključen).</w:t>
      </w:r>
    </w:p>
    <w:p w14:paraId="4ACF671D" w14:textId="77777777" w:rsidR="00695AE2" w:rsidRPr="00503014" w:rsidRDefault="00695AE2" w:rsidP="00695AE2">
      <w:pPr>
        <w:spacing w:line="240" w:lineRule="auto"/>
        <w:jc w:val="both"/>
        <w:rPr>
          <w:rFonts w:eastAsia="Calibri"/>
        </w:rPr>
      </w:pPr>
    </w:p>
    <w:p w14:paraId="11B3A65E" w14:textId="77777777" w:rsidR="00695AE2" w:rsidRPr="00503014" w:rsidRDefault="00695AE2" w:rsidP="00695AE2">
      <w:pPr>
        <w:spacing w:line="240" w:lineRule="auto"/>
        <w:jc w:val="both"/>
        <w:rPr>
          <w:rFonts w:eastAsia="Calibri"/>
        </w:rPr>
      </w:pPr>
      <w:r w:rsidRPr="00503014">
        <w:rPr>
          <w:rFonts w:eastAsia="Calibri"/>
        </w:rPr>
        <w:t>V letu 2025 je bilo na podlagi sedmega odstavka 57. člena in prvega odstavka 70. člena ZJU objavljeno tudi naslednjih 24 prostih delovnih mest, in sicer:</w:t>
      </w:r>
    </w:p>
    <w:p w14:paraId="34022E07" w14:textId="77777777" w:rsidR="00695AE2" w:rsidRPr="00503014" w:rsidRDefault="00695AE2" w:rsidP="00695AE2">
      <w:pPr>
        <w:spacing w:line="240" w:lineRule="auto"/>
        <w:jc w:val="both"/>
        <w:rPr>
          <w:rFonts w:eastAsia="Calibri"/>
        </w:rPr>
      </w:pPr>
    </w:p>
    <w:p w14:paraId="52ACA021" w14:textId="77777777" w:rsidR="00695AE2" w:rsidRPr="00503014" w:rsidRDefault="00695AE2" w:rsidP="00695AE2">
      <w:pPr>
        <w:numPr>
          <w:ilvl w:val="0"/>
          <w:numId w:val="82"/>
        </w:numPr>
        <w:spacing w:line="240" w:lineRule="auto"/>
        <w:contextualSpacing/>
        <w:jc w:val="both"/>
        <w:rPr>
          <w:rFonts w:eastAsia="Calibri"/>
        </w:rPr>
      </w:pPr>
      <w:bookmarkStart w:id="112" w:name="_Hlk219963546"/>
      <w:r w:rsidRPr="00503014">
        <w:rPr>
          <w:rFonts w:eastAsia="Calibri"/>
        </w:rPr>
        <w:t>1 delovno mesto pravnik VII/2 na Zunanjem oddelku državnega odvetništva v Murski Soboti (februar; uspešna objava – izbran kandidat);</w:t>
      </w:r>
    </w:p>
    <w:bookmarkEnd w:id="112"/>
    <w:p w14:paraId="4387E6CF"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sodelavec vpisnika VII/1 na sedežu Državnega odvetništva RS v Ljubljani (april, uspešna objava – izbran kandidat);</w:t>
      </w:r>
    </w:p>
    <w:p w14:paraId="4FAE5E5A"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skrbnik inventarja (april, uspešna objava – izbran kandidat);</w:t>
      </w:r>
    </w:p>
    <w:p w14:paraId="6F6683A6"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kandidat za državnega odvetnika I na sedežu Državnega odvetništva RS v Ljubljani (maj, neuspešna objava – izbran ni bil noben kandidat);</w:t>
      </w:r>
    </w:p>
    <w:p w14:paraId="4AD57928"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sodelavec vpisnika VII/1 na Zunanjem oddelku državnega odvetništva v Novem mestu (maj, uspešna objava – izbran kandidat);</w:t>
      </w:r>
    </w:p>
    <w:p w14:paraId="7A95C520"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lastRenderedPageBreak/>
        <w:t>1 delovno mesto DODV pravnik VII/1 na sedežu Državnega odvetništva RS v Ljubljani (maj, uspešna objava – izbran kandidat);</w:t>
      </w:r>
    </w:p>
    <w:p w14:paraId="5EB85568"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2 delovni mesti sodelavec vpisnika VII/1 na sedežu Državnega odvetništva RS v Ljubljani (junij, uspešna objava – izbrana kandidata);</w:t>
      </w:r>
    </w:p>
    <w:p w14:paraId="60B16F7D"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DODV pravnik VII/2 na sedežu Državnega odvetništva RS v Ljubljani (junij, neuspešna objava – izbran ni bil noben kandidat);</w:t>
      </w:r>
    </w:p>
    <w:p w14:paraId="120F0028"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sodelavec vpisnika VII/1 na Zunanjem oddelku državnega odvetništva v Mariboru (julij, uspešna objava – izbran kandidat);</w:t>
      </w:r>
    </w:p>
    <w:p w14:paraId="6485A7AA"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kandidat za državnega odvetnika I na Zunanjem oddelku državnega odvetništva v Mariboru (julij, neuspešna objava – nobene prijave);</w:t>
      </w:r>
    </w:p>
    <w:p w14:paraId="767E1A3E"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predstavnik za odnose z javnostmi na sedežu Državnega odvetništva RS v Ljubljani (julij, uspešna objava – izbran kandidat);</w:t>
      </w:r>
    </w:p>
    <w:p w14:paraId="5EC1B588"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2 delovni mesti sodelavec vpisnika VII/1 na sedežu Državnega odvetništva RS v Ljubljani (junij, uspešna objava – izbrana kandidata);</w:t>
      </w:r>
    </w:p>
    <w:p w14:paraId="485E09BB"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sodelavec vpisnika VII/1 na Zunanjem oddelku državnega odvetništva v Novem mestu (avgust, neuspešna objava – izbran ni bil noben kandidat);</w:t>
      </w:r>
    </w:p>
    <w:p w14:paraId="5AA83747"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DODV pravnik VII/2 na sedežu Državnega odvetništva RS v Ljubljani (avgust, neuspešna objava – izbran ni bil noben kandidat);</w:t>
      </w:r>
    </w:p>
    <w:p w14:paraId="025D91AA"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sodelavec vpisnika VII/1 na Zunanjem oddelku državnega odvetništva v Kopru (avgust, uspešna objava – izbran kandidat);</w:t>
      </w:r>
    </w:p>
    <w:p w14:paraId="5AA9C554"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sodelavec vpisnika VII/1 na Zunanjem oddelku državnega odvetništva v Novem mestu (oktober, uspešna objava – izbran kandidat);</w:t>
      </w:r>
    </w:p>
    <w:p w14:paraId="3E04058E"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3 delovna mesta sodelavec vpisnika VII/1 na sedežu Državnega odvetništva RS v Ljubljani (oktober, delno uspešna objava – izbran en kandidat);</w:t>
      </w:r>
    </w:p>
    <w:p w14:paraId="3B55E17E"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1 delovno mesto DODV pravnik VII/2 na sedežu Državnega odvetništva RS v Ljubljani (oktober, neuspešna objava – izbran ni bil noben kandidat);</w:t>
      </w:r>
    </w:p>
    <w:p w14:paraId="68B86E7F" w14:textId="77777777" w:rsidR="00695AE2" w:rsidRPr="00503014" w:rsidRDefault="00695AE2" w:rsidP="00695AE2">
      <w:pPr>
        <w:numPr>
          <w:ilvl w:val="0"/>
          <w:numId w:val="82"/>
        </w:numPr>
        <w:spacing w:line="240" w:lineRule="auto"/>
        <w:contextualSpacing/>
        <w:jc w:val="both"/>
        <w:rPr>
          <w:rFonts w:eastAsia="Calibri"/>
        </w:rPr>
      </w:pPr>
      <w:r w:rsidRPr="00503014">
        <w:rPr>
          <w:rFonts w:eastAsia="Calibri"/>
        </w:rPr>
        <w:t>2 delovni mesti sodelavec vpisnika VII/1 na sedežu Državnega odvetništva RS v Ljubljani (november, delno uspešna objava – izbran en kandidat).</w:t>
      </w:r>
    </w:p>
    <w:p w14:paraId="0673E22B" w14:textId="77777777" w:rsidR="00695AE2" w:rsidRPr="00503014" w:rsidRDefault="00695AE2" w:rsidP="00695AE2">
      <w:pPr>
        <w:spacing w:line="240" w:lineRule="auto"/>
        <w:jc w:val="both"/>
        <w:rPr>
          <w:rFonts w:eastAsia="Calibri"/>
          <w:b/>
          <w:bCs/>
          <w:color w:val="007466"/>
        </w:rPr>
      </w:pPr>
    </w:p>
    <w:p w14:paraId="26B851E8" w14:textId="77777777" w:rsidR="00695AE2" w:rsidRPr="00503014" w:rsidRDefault="00695AE2" w:rsidP="00695AE2">
      <w:pPr>
        <w:spacing w:line="240" w:lineRule="auto"/>
        <w:jc w:val="both"/>
        <w:rPr>
          <w:rFonts w:eastAsia="Calibri"/>
          <w:b/>
          <w:bCs/>
          <w:color w:val="007466"/>
          <w:sz w:val="20"/>
          <w:szCs w:val="20"/>
        </w:rPr>
      </w:pPr>
      <w:r w:rsidRPr="00503014">
        <w:rPr>
          <w:rFonts w:eastAsia="Calibri"/>
          <w:b/>
          <w:bCs/>
          <w:color w:val="007466"/>
          <w:sz w:val="20"/>
          <w:szCs w:val="20"/>
        </w:rPr>
        <w:t>Preglednica: Objave prostih DM na Državnem odvetništvu RS v letu 2025</w:t>
      </w:r>
    </w:p>
    <w:p w14:paraId="082AF34C" w14:textId="77777777" w:rsidR="00695AE2" w:rsidRPr="00503014" w:rsidRDefault="00695AE2" w:rsidP="00695AE2">
      <w:pPr>
        <w:spacing w:line="240" w:lineRule="auto"/>
        <w:jc w:val="both"/>
        <w:rPr>
          <w:rFonts w:eastAsia="Calibri"/>
          <w:sz w:val="20"/>
          <w:szCs w:val="20"/>
        </w:rPr>
      </w:pPr>
    </w:p>
    <w:tbl>
      <w:tblPr>
        <w:tblW w:w="9072" w:type="dxa"/>
        <w:tblLayout w:type="fixed"/>
        <w:tblCellMar>
          <w:left w:w="70" w:type="dxa"/>
          <w:right w:w="70" w:type="dxa"/>
        </w:tblCellMar>
        <w:tblLook w:val="04A0" w:firstRow="1" w:lastRow="0" w:firstColumn="1" w:lastColumn="0" w:noHBand="0" w:noVBand="1"/>
      </w:tblPr>
      <w:tblGrid>
        <w:gridCol w:w="160"/>
        <w:gridCol w:w="1966"/>
        <w:gridCol w:w="1275"/>
        <w:gridCol w:w="1419"/>
        <w:gridCol w:w="1559"/>
        <w:gridCol w:w="1418"/>
        <w:gridCol w:w="1275"/>
      </w:tblGrid>
      <w:tr w:rsidR="00695AE2" w:rsidRPr="00503014" w14:paraId="54C2DC34" w14:textId="77777777" w:rsidTr="00980493">
        <w:trPr>
          <w:trHeight w:val="300"/>
        </w:trPr>
        <w:tc>
          <w:tcPr>
            <w:tcW w:w="160" w:type="dxa"/>
            <w:tcBorders>
              <w:top w:val="nil"/>
              <w:left w:val="nil"/>
              <w:bottom w:val="nil"/>
              <w:right w:val="nil"/>
            </w:tcBorders>
            <w:noWrap/>
            <w:vAlign w:val="bottom"/>
            <w:hideMark/>
          </w:tcPr>
          <w:p w14:paraId="72C45F0E" w14:textId="77777777" w:rsidR="00695AE2" w:rsidRPr="00503014" w:rsidRDefault="00695AE2" w:rsidP="00980493">
            <w:pPr>
              <w:spacing w:line="240" w:lineRule="auto"/>
              <w:rPr>
                <w:rFonts w:eastAsia="Times New Roman"/>
                <w:sz w:val="20"/>
                <w:lang w:eastAsia="sl-SI"/>
              </w:rPr>
            </w:pPr>
          </w:p>
        </w:tc>
        <w:tc>
          <w:tcPr>
            <w:tcW w:w="196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27FA1FB"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Vrsta objave prostega DM</w:t>
            </w:r>
          </w:p>
        </w:tc>
        <w:tc>
          <w:tcPr>
            <w:tcW w:w="1275" w:type="dxa"/>
            <w:tcBorders>
              <w:top w:val="single" w:sz="4" w:space="0" w:color="auto"/>
              <w:left w:val="nil"/>
              <w:bottom w:val="single" w:sz="4" w:space="0" w:color="auto"/>
              <w:right w:val="single" w:sz="4" w:space="0" w:color="auto"/>
            </w:tcBorders>
            <w:shd w:val="clear" w:color="000000" w:fill="E7E6E6"/>
            <w:noWrap/>
            <w:vAlign w:val="bottom"/>
            <w:hideMark/>
          </w:tcPr>
          <w:p w14:paraId="25760ACE"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št. objav prostih DM</w:t>
            </w:r>
          </w:p>
        </w:tc>
        <w:tc>
          <w:tcPr>
            <w:tcW w:w="1419" w:type="dxa"/>
            <w:tcBorders>
              <w:top w:val="single" w:sz="4" w:space="0" w:color="auto"/>
              <w:left w:val="nil"/>
              <w:bottom w:val="single" w:sz="4" w:space="0" w:color="auto"/>
              <w:right w:val="single" w:sz="4" w:space="0" w:color="auto"/>
            </w:tcBorders>
            <w:shd w:val="clear" w:color="000000" w:fill="E7E6E6"/>
            <w:noWrap/>
            <w:vAlign w:val="bottom"/>
            <w:hideMark/>
          </w:tcPr>
          <w:p w14:paraId="3C89349D"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št. objavljenih prostih DM</w:t>
            </w:r>
          </w:p>
        </w:tc>
        <w:tc>
          <w:tcPr>
            <w:tcW w:w="1559" w:type="dxa"/>
            <w:tcBorders>
              <w:top w:val="single" w:sz="4" w:space="0" w:color="auto"/>
              <w:left w:val="nil"/>
              <w:bottom w:val="single" w:sz="4" w:space="0" w:color="auto"/>
              <w:right w:val="single" w:sz="4" w:space="0" w:color="auto"/>
            </w:tcBorders>
            <w:shd w:val="clear" w:color="000000" w:fill="E7E6E6"/>
          </w:tcPr>
          <w:p w14:paraId="76B43237"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 xml:space="preserve">št. </w:t>
            </w:r>
          </w:p>
          <w:p w14:paraId="79F7573F"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uspešno zaključenih JN oz. objav na dan 31.12.2025</w:t>
            </w:r>
          </w:p>
        </w:tc>
        <w:tc>
          <w:tcPr>
            <w:tcW w:w="1418" w:type="dxa"/>
            <w:tcBorders>
              <w:top w:val="single" w:sz="4" w:space="0" w:color="auto"/>
              <w:left w:val="nil"/>
              <w:bottom w:val="single" w:sz="4" w:space="0" w:color="auto"/>
              <w:right w:val="single" w:sz="4" w:space="0" w:color="auto"/>
            </w:tcBorders>
            <w:shd w:val="clear" w:color="000000" w:fill="E7E6E6"/>
          </w:tcPr>
          <w:p w14:paraId="20DB020D" w14:textId="77777777" w:rsidR="00695AE2" w:rsidRPr="00503014" w:rsidRDefault="00695AE2" w:rsidP="00980493">
            <w:pPr>
              <w:spacing w:line="240" w:lineRule="auto"/>
              <w:rPr>
                <w:rFonts w:eastAsia="Times New Roman"/>
                <w:color w:val="000000"/>
                <w:lang w:eastAsia="sl-SI"/>
              </w:rPr>
            </w:pPr>
          </w:p>
          <w:p w14:paraId="0CEA716F"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št.</w:t>
            </w:r>
          </w:p>
          <w:p w14:paraId="190E7875"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JN oz. ostalih objav v teku na dan 31.12.2025</w:t>
            </w:r>
          </w:p>
        </w:tc>
        <w:tc>
          <w:tcPr>
            <w:tcW w:w="1275" w:type="dxa"/>
            <w:tcBorders>
              <w:top w:val="single" w:sz="4" w:space="0" w:color="auto"/>
              <w:left w:val="single" w:sz="4" w:space="0" w:color="auto"/>
              <w:bottom w:val="single" w:sz="4" w:space="0" w:color="auto"/>
              <w:right w:val="single" w:sz="4" w:space="0" w:color="auto"/>
            </w:tcBorders>
            <w:shd w:val="clear" w:color="000000" w:fill="E7E6E6"/>
          </w:tcPr>
          <w:p w14:paraId="5B2FDEC5" w14:textId="77777777" w:rsidR="00695AE2" w:rsidRPr="00503014" w:rsidRDefault="00695AE2" w:rsidP="00980493">
            <w:pPr>
              <w:spacing w:line="240" w:lineRule="auto"/>
              <w:rPr>
                <w:rFonts w:eastAsia="Times New Roman"/>
                <w:color w:val="000000"/>
                <w:lang w:eastAsia="sl-SI"/>
              </w:rPr>
            </w:pPr>
          </w:p>
          <w:p w14:paraId="5682033B"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št. že zasedenih objavljenih dm na dan 31.12.2025</w:t>
            </w:r>
          </w:p>
        </w:tc>
      </w:tr>
      <w:tr w:rsidR="00695AE2" w:rsidRPr="00503014" w14:paraId="03AEEA7E" w14:textId="77777777" w:rsidTr="00980493">
        <w:trPr>
          <w:trHeight w:val="300"/>
        </w:trPr>
        <w:tc>
          <w:tcPr>
            <w:tcW w:w="160" w:type="dxa"/>
            <w:tcBorders>
              <w:top w:val="nil"/>
              <w:left w:val="nil"/>
              <w:bottom w:val="nil"/>
              <w:right w:val="nil"/>
            </w:tcBorders>
            <w:noWrap/>
            <w:vAlign w:val="bottom"/>
            <w:hideMark/>
          </w:tcPr>
          <w:p w14:paraId="528694B3" w14:textId="77777777" w:rsidR="00695AE2" w:rsidRPr="00503014" w:rsidRDefault="00695AE2" w:rsidP="00980493">
            <w:pPr>
              <w:spacing w:line="240" w:lineRule="auto"/>
              <w:rPr>
                <w:rFonts w:eastAsia="Times New Roman"/>
                <w:color w:val="000000"/>
                <w:lang w:eastAsia="sl-SI"/>
              </w:rPr>
            </w:pPr>
          </w:p>
        </w:tc>
        <w:tc>
          <w:tcPr>
            <w:tcW w:w="1966" w:type="dxa"/>
            <w:tcBorders>
              <w:top w:val="nil"/>
              <w:left w:val="single" w:sz="4" w:space="0" w:color="auto"/>
              <w:bottom w:val="single" w:sz="4" w:space="0" w:color="auto"/>
              <w:right w:val="single" w:sz="4" w:space="0" w:color="auto"/>
            </w:tcBorders>
            <w:noWrap/>
            <w:vAlign w:val="bottom"/>
            <w:hideMark/>
          </w:tcPr>
          <w:p w14:paraId="100380C1"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javni natečaj</w:t>
            </w:r>
          </w:p>
        </w:tc>
        <w:tc>
          <w:tcPr>
            <w:tcW w:w="1275" w:type="dxa"/>
            <w:tcBorders>
              <w:top w:val="nil"/>
              <w:left w:val="nil"/>
              <w:bottom w:val="single" w:sz="4" w:space="0" w:color="auto"/>
              <w:right w:val="single" w:sz="4" w:space="0" w:color="auto"/>
            </w:tcBorders>
            <w:noWrap/>
            <w:vAlign w:val="bottom"/>
            <w:hideMark/>
          </w:tcPr>
          <w:p w14:paraId="716F2AE7"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14</w:t>
            </w:r>
          </w:p>
        </w:tc>
        <w:tc>
          <w:tcPr>
            <w:tcW w:w="1419" w:type="dxa"/>
            <w:tcBorders>
              <w:top w:val="nil"/>
              <w:left w:val="nil"/>
              <w:bottom w:val="single" w:sz="4" w:space="0" w:color="auto"/>
              <w:right w:val="single" w:sz="4" w:space="0" w:color="auto"/>
            </w:tcBorders>
            <w:noWrap/>
            <w:vAlign w:val="bottom"/>
            <w:hideMark/>
          </w:tcPr>
          <w:p w14:paraId="50CDC200"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14</w:t>
            </w:r>
          </w:p>
        </w:tc>
        <w:tc>
          <w:tcPr>
            <w:tcW w:w="1559" w:type="dxa"/>
            <w:tcBorders>
              <w:top w:val="nil"/>
              <w:left w:val="nil"/>
              <w:bottom w:val="single" w:sz="4" w:space="0" w:color="auto"/>
              <w:right w:val="single" w:sz="4" w:space="0" w:color="auto"/>
            </w:tcBorders>
          </w:tcPr>
          <w:p w14:paraId="00984B00"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10</w:t>
            </w:r>
          </w:p>
        </w:tc>
        <w:tc>
          <w:tcPr>
            <w:tcW w:w="1418" w:type="dxa"/>
            <w:tcBorders>
              <w:top w:val="single" w:sz="4" w:space="0" w:color="auto"/>
              <w:left w:val="nil"/>
              <w:bottom w:val="single" w:sz="4" w:space="0" w:color="auto"/>
              <w:right w:val="single" w:sz="4" w:space="0" w:color="auto"/>
            </w:tcBorders>
          </w:tcPr>
          <w:p w14:paraId="6D820009"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2</w:t>
            </w:r>
          </w:p>
        </w:tc>
        <w:tc>
          <w:tcPr>
            <w:tcW w:w="1275" w:type="dxa"/>
            <w:tcBorders>
              <w:top w:val="nil"/>
              <w:left w:val="single" w:sz="4" w:space="0" w:color="auto"/>
              <w:bottom w:val="single" w:sz="4" w:space="0" w:color="auto"/>
              <w:right w:val="single" w:sz="4" w:space="0" w:color="auto"/>
            </w:tcBorders>
          </w:tcPr>
          <w:p w14:paraId="2F484C96"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5</w:t>
            </w:r>
          </w:p>
        </w:tc>
      </w:tr>
      <w:tr w:rsidR="00695AE2" w:rsidRPr="00503014" w14:paraId="46169DA7" w14:textId="77777777" w:rsidTr="00980493">
        <w:trPr>
          <w:trHeight w:val="300"/>
        </w:trPr>
        <w:tc>
          <w:tcPr>
            <w:tcW w:w="160" w:type="dxa"/>
            <w:tcBorders>
              <w:top w:val="nil"/>
              <w:left w:val="nil"/>
              <w:bottom w:val="nil"/>
              <w:right w:val="nil"/>
            </w:tcBorders>
            <w:noWrap/>
            <w:vAlign w:val="bottom"/>
            <w:hideMark/>
          </w:tcPr>
          <w:p w14:paraId="686688A3" w14:textId="77777777" w:rsidR="00695AE2" w:rsidRPr="00503014" w:rsidRDefault="00695AE2" w:rsidP="00980493">
            <w:pPr>
              <w:spacing w:line="240" w:lineRule="auto"/>
              <w:jc w:val="right"/>
              <w:rPr>
                <w:rFonts w:eastAsia="Times New Roman"/>
                <w:color w:val="000000"/>
                <w:lang w:eastAsia="sl-SI"/>
              </w:rPr>
            </w:pPr>
          </w:p>
        </w:tc>
        <w:tc>
          <w:tcPr>
            <w:tcW w:w="1966" w:type="dxa"/>
            <w:tcBorders>
              <w:top w:val="nil"/>
              <w:left w:val="single" w:sz="4" w:space="0" w:color="auto"/>
              <w:bottom w:val="single" w:sz="4" w:space="0" w:color="auto"/>
              <w:right w:val="single" w:sz="4" w:space="0" w:color="auto"/>
            </w:tcBorders>
            <w:noWrap/>
            <w:vAlign w:val="bottom"/>
            <w:hideMark/>
          </w:tcPr>
          <w:p w14:paraId="4094BD24"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interni natečaj</w:t>
            </w:r>
          </w:p>
        </w:tc>
        <w:tc>
          <w:tcPr>
            <w:tcW w:w="1275" w:type="dxa"/>
            <w:tcBorders>
              <w:top w:val="nil"/>
              <w:left w:val="nil"/>
              <w:bottom w:val="single" w:sz="4" w:space="0" w:color="auto"/>
              <w:right w:val="single" w:sz="4" w:space="0" w:color="auto"/>
            </w:tcBorders>
            <w:noWrap/>
            <w:vAlign w:val="bottom"/>
            <w:hideMark/>
          </w:tcPr>
          <w:p w14:paraId="2528E572"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0</w:t>
            </w:r>
          </w:p>
        </w:tc>
        <w:tc>
          <w:tcPr>
            <w:tcW w:w="1419" w:type="dxa"/>
            <w:tcBorders>
              <w:top w:val="nil"/>
              <w:left w:val="nil"/>
              <w:bottom w:val="single" w:sz="4" w:space="0" w:color="auto"/>
              <w:right w:val="single" w:sz="4" w:space="0" w:color="auto"/>
            </w:tcBorders>
            <w:noWrap/>
            <w:vAlign w:val="bottom"/>
            <w:hideMark/>
          </w:tcPr>
          <w:p w14:paraId="2CF71850"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0</w:t>
            </w:r>
          </w:p>
        </w:tc>
        <w:tc>
          <w:tcPr>
            <w:tcW w:w="1559" w:type="dxa"/>
            <w:tcBorders>
              <w:top w:val="nil"/>
              <w:left w:val="nil"/>
              <w:bottom w:val="single" w:sz="4" w:space="0" w:color="auto"/>
              <w:right w:val="single" w:sz="4" w:space="0" w:color="auto"/>
            </w:tcBorders>
          </w:tcPr>
          <w:p w14:paraId="1E6C7CFF"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0</w:t>
            </w:r>
          </w:p>
        </w:tc>
        <w:tc>
          <w:tcPr>
            <w:tcW w:w="1418" w:type="dxa"/>
            <w:tcBorders>
              <w:top w:val="single" w:sz="4" w:space="0" w:color="auto"/>
              <w:left w:val="nil"/>
              <w:bottom w:val="single" w:sz="4" w:space="0" w:color="auto"/>
              <w:right w:val="single" w:sz="4" w:space="0" w:color="auto"/>
            </w:tcBorders>
          </w:tcPr>
          <w:p w14:paraId="43040480"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0</w:t>
            </w:r>
          </w:p>
        </w:tc>
        <w:tc>
          <w:tcPr>
            <w:tcW w:w="1275" w:type="dxa"/>
            <w:tcBorders>
              <w:top w:val="nil"/>
              <w:left w:val="single" w:sz="4" w:space="0" w:color="auto"/>
              <w:bottom w:val="single" w:sz="4" w:space="0" w:color="auto"/>
              <w:right w:val="single" w:sz="4" w:space="0" w:color="auto"/>
            </w:tcBorders>
          </w:tcPr>
          <w:p w14:paraId="0C2D6F61"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0</w:t>
            </w:r>
          </w:p>
        </w:tc>
      </w:tr>
      <w:tr w:rsidR="00695AE2" w:rsidRPr="00503014" w14:paraId="1EB3BCE7" w14:textId="77777777" w:rsidTr="00980493">
        <w:trPr>
          <w:trHeight w:val="300"/>
        </w:trPr>
        <w:tc>
          <w:tcPr>
            <w:tcW w:w="160" w:type="dxa"/>
            <w:tcBorders>
              <w:top w:val="nil"/>
              <w:left w:val="nil"/>
              <w:bottom w:val="nil"/>
              <w:right w:val="nil"/>
            </w:tcBorders>
            <w:noWrap/>
            <w:vAlign w:val="bottom"/>
            <w:hideMark/>
          </w:tcPr>
          <w:p w14:paraId="6CAAD918" w14:textId="77777777" w:rsidR="00695AE2" w:rsidRPr="00503014" w:rsidRDefault="00695AE2" w:rsidP="00980493">
            <w:pPr>
              <w:spacing w:line="240" w:lineRule="auto"/>
              <w:jc w:val="right"/>
              <w:rPr>
                <w:rFonts w:eastAsia="Times New Roman"/>
                <w:color w:val="000000"/>
                <w:lang w:eastAsia="sl-SI"/>
              </w:rPr>
            </w:pPr>
          </w:p>
        </w:tc>
        <w:tc>
          <w:tcPr>
            <w:tcW w:w="1966" w:type="dxa"/>
            <w:tcBorders>
              <w:top w:val="nil"/>
              <w:left w:val="single" w:sz="4" w:space="0" w:color="auto"/>
              <w:bottom w:val="single" w:sz="4" w:space="0" w:color="auto"/>
              <w:right w:val="single" w:sz="4" w:space="0" w:color="auto"/>
            </w:tcBorders>
            <w:noWrap/>
            <w:vAlign w:val="bottom"/>
            <w:hideMark/>
          </w:tcPr>
          <w:p w14:paraId="71576E38"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ostale objave prostih dm</w:t>
            </w:r>
          </w:p>
        </w:tc>
        <w:tc>
          <w:tcPr>
            <w:tcW w:w="1275" w:type="dxa"/>
            <w:tcBorders>
              <w:top w:val="nil"/>
              <w:left w:val="nil"/>
              <w:bottom w:val="single" w:sz="4" w:space="0" w:color="auto"/>
              <w:right w:val="single" w:sz="4" w:space="0" w:color="auto"/>
            </w:tcBorders>
            <w:noWrap/>
            <w:vAlign w:val="bottom"/>
            <w:hideMark/>
          </w:tcPr>
          <w:p w14:paraId="422C47F7"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19</w:t>
            </w:r>
          </w:p>
        </w:tc>
        <w:tc>
          <w:tcPr>
            <w:tcW w:w="1419" w:type="dxa"/>
            <w:tcBorders>
              <w:top w:val="nil"/>
              <w:left w:val="nil"/>
              <w:bottom w:val="single" w:sz="4" w:space="0" w:color="auto"/>
              <w:right w:val="single" w:sz="4" w:space="0" w:color="auto"/>
            </w:tcBorders>
            <w:noWrap/>
            <w:vAlign w:val="bottom"/>
            <w:hideMark/>
          </w:tcPr>
          <w:p w14:paraId="37D19EAE"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24</w:t>
            </w:r>
          </w:p>
        </w:tc>
        <w:tc>
          <w:tcPr>
            <w:tcW w:w="1559" w:type="dxa"/>
            <w:tcBorders>
              <w:top w:val="nil"/>
              <w:left w:val="nil"/>
              <w:bottom w:val="single" w:sz="4" w:space="0" w:color="auto"/>
              <w:right w:val="single" w:sz="4" w:space="0" w:color="auto"/>
            </w:tcBorders>
          </w:tcPr>
          <w:p w14:paraId="7FC14BC7" w14:textId="77777777" w:rsidR="00695AE2" w:rsidRPr="00503014" w:rsidRDefault="00695AE2" w:rsidP="00980493">
            <w:pPr>
              <w:spacing w:line="240" w:lineRule="auto"/>
              <w:jc w:val="center"/>
              <w:rPr>
                <w:rFonts w:eastAsia="Times New Roman"/>
                <w:color w:val="000000"/>
                <w:lang w:eastAsia="sl-SI"/>
              </w:rPr>
            </w:pPr>
          </w:p>
          <w:p w14:paraId="358517F1"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14</w:t>
            </w:r>
          </w:p>
        </w:tc>
        <w:tc>
          <w:tcPr>
            <w:tcW w:w="1418" w:type="dxa"/>
            <w:tcBorders>
              <w:top w:val="single" w:sz="4" w:space="0" w:color="auto"/>
              <w:left w:val="nil"/>
              <w:bottom w:val="single" w:sz="4" w:space="0" w:color="auto"/>
              <w:right w:val="single" w:sz="4" w:space="0" w:color="auto"/>
            </w:tcBorders>
          </w:tcPr>
          <w:p w14:paraId="4DF43BC3" w14:textId="77777777" w:rsidR="00695AE2" w:rsidRPr="00503014" w:rsidRDefault="00695AE2" w:rsidP="00980493">
            <w:pPr>
              <w:spacing w:line="240" w:lineRule="auto"/>
              <w:jc w:val="center"/>
              <w:rPr>
                <w:rFonts w:eastAsia="Times New Roman"/>
                <w:color w:val="000000"/>
                <w:lang w:eastAsia="sl-SI"/>
              </w:rPr>
            </w:pPr>
          </w:p>
          <w:p w14:paraId="2DA57F0F"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w:t>
            </w:r>
          </w:p>
        </w:tc>
        <w:tc>
          <w:tcPr>
            <w:tcW w:w="1275" w:type="dxa"/>
            <w:tcBorders>
              <w:top w:val="nil"/>
              <w:left w:val="single" w:sz="4" w:space="0" w:color="auto"/>
              <w:bottom w:val="single" w:sz="4" w:space="0" w:color="auto"/>
              <w:right w:val="single" w:sz="4" w:space="0" w:color="auto"/>
            </w:tcBorders>
          </w:tcPr>
          <w:p w14:paraId="41082669" w14:textId="77777777" w:rsidR="00695AE2" w:rsidRPr="00503014" w:rsidRDefault="00695AE2" w:rsidP="00980493">
            <w:pPr>
              <w:spacing w:line="240" w:lineRule="auto"/>
              <w:jc w:val="center"/>
              <w:rPr>
                <w:rFonts w:eastAsia="Times New Roman"/>
                <w:color w:val="000000"/>
                <w:lang w:eastAsia="sl-SI"/>
              </w:rPr>
            </w:pPr>
          </w:p>
          <w:p w14:paraId="70B65A51"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16</w:t>
            </w:r>
          </w:p>
        </w:tc>
      </w:tr>
      <w:tr w:rsidR="00695AE2" w:rsidRPr="00503014" w14:paraId="20AC6A52" w14:textId="77777777" w:rsidTr="00980493">
        <w:trPr>
          <w:trHeight w:val="300"/>
        </w:trPr>
        <w:tc>
          <w:tcPr>
            <w:tcW w:w="160" w:type="dxa"/>
            <w:tcBorders>
              <w:top w:val="nil"/>
              <w:left w:val="nil"/>
              <w:bottom w:val="nil"/>
              <w:right w:val="nil"/>
            </w:tcBorders>
            <w:noWrap/>
            <w:vAlign w:val="bottom"/>
            <w:hideMark/>
          </w:tcPr>
          <w:p w14:paraId="7062BDE9" w14:textId="77777777" w:rsidR="00695AE2" w:rsidRPr="00503014" w:rsidRDefault="00695AE2" w:rsidP="00980493">
            <w:pPr>
              <w:spacing w:line="240" w:lineRule="auto"/>
              <w:jc w:val="right"/>
              <w:rPr>
                <w:rFonts w:eastAsia="Times New Roman"/>
                <w:color w:val="000000"/>
                <w:lang w:eastAsia="sl-SI"/>
              </w:rPr>
            </w:pPr>
          </w:p>
        </w:tc>
        <w:tc>
          <w:tcPr>
            <w:tcW w:w="1966" w:type="dxa"/>
            <w:tcBorders>
              <w:top w:val="nil"/>
              <w:left w:val="single" w:sz="4" w:space="0" w:color="auto"/>
              <w:bottom w:val="single" w:sz="4" w:space="0" w:color="auto"/>
              <w:right w:val="single" w:sz="4" w:space="0" w:color="auto"/>
            </w:tcBorders>
            <w:shd w:val="clear" w:color="000000" w:fill="E7E6E6"/>
            <w:noWrap/>
            <w:vAlign w:val="bottom"/>
            <w:hideMark/>
          </w:tcPr>
          <w:p w14:paraId="171C853D" w14:textId="77777777" w:rsidR="00695AE2" w:rsidRPr="00503014" w:rsidRDefault="00695AE2" w:rsidP="00980493">
            <w:pPr>
              <w:spacing w:line="240" w:lineRule="auto"/>
              <w:rPr>
                <w:rFonts w:eastAsia="Times New Roman"/>
                <w:color w:val="000000"/>
                <w:lang w:eastAsia="sl-SI"/>
              </w:rPr>
            </w:pPr>
            <w:r w:rsidRPr="00503014">
              <w:rPr>
                <w:rFonts w:eastAsia="Times New Roman"/>
                <w:color w:val="000000"/>
                <w:lang w:eastAsia="sl-SI"/>
              </w:rPr>
              <w:t>skupaj</w:t>
            </w:r>
          </w:p>
        </w:tc>
        <w:tc>
          <w:tcPr>
            <w:tcW w:w="1275" w:type="dxa"/>
            <w:tcBorders>
              <w:top w:val="nil"/>
              <w:left w:val="nil"/>
              <w:bottom w:val="single" w:sz="4" w:space="0" w:color="auto"/>
              <w:right w:val="single" w:sz="4" w:space="0" w:color="auto"/>
            </w:tcBorders>
            <w:shd w:val="clear" w:color="000000" w:fill="E7E6E6"/>
            <w:noWrap/>
            <w:vAlign w:val="bottom"/>
            <w:hideMark/>
          </w:tcPr>
          <w:p w14:paraId="3C3036B9"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33</w:t>
            </w:r>
          </w:p>
        </w:tc>
        <w:tc>
          <w:tcPr>
            <w:tcW w:w="1419" w:type="dxa"/>
            <w:tcBorders>
              <w:top w:val="nil"/>
              <w:left w:val="nil"/>
              <w:bottom w:val="single" w:sz="4" w:space="0" w:color="auto"/>
              <w:right w:val="single" w:sz="4" w:space="0" w:color="auto"/>
            </w:tcBorders>
            <w:shd w:val="clear" w:color="000000" w:fill="E7E6E6"/>
            <w:noWrap/>
            <w:vAlign w:val="bottom"/>
            <w:hideMark/>
          </w:tcPr>
          <w:p w14:paraId="20B02E93"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38</w:t>
            </w:r>
          </w:p>
        </w:tc>
        <w:tc>
          <w:tcPr>
            <w:tcW w:w="1559" w:type="dxa"/>
            <w:tcBorders>
              <w:top w:val="nil"/>
              <w:left w:val="nil"/>
              <w:bottom w:val="single" w:sz="4" w:space="0" w:color="auto"/>
              <w:right w:val="single" w:sz="4" w:space="0" w:color="auto"/>
            </w:tcBorders>
            <w:shd w:val="clear" w:color="000000" w:fill="E7E6E6"/>
          </w:tcPr>
          <w:p w14:paraId="21F78F4D"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24</w:t>
            </w:r>
          </w:p>
        </w:tc>
        <w:tc>
          <w:tcPr>
            <w:tcW w:w="1418" w:type="dxa"/>
            <w:tcBorders>
              <w:top w:val="single" w:sz="4" w:space="0" w:color="auto"/>
              <w:left w:val="nil"/>
              <w:bottom w:val="single" w:sz="4" w:space="0" w:color="auto"/>
              <w:right w:val="single" w:sz="4" w:space="0" w:color="auto"/>
            </w:tcBorders>
            <w:shd w:val="clear" w:color="000000" w:fill="E7E6E6"/>
          </w:tcPr>
          <w:p w14:paraId="314144E8"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3</w:t>
            </w:r>
          </w:p>
        </w:tc>
        <w:tc>
          <w:tcPr>
            <w:tcW w:w="1275" w:type="dxa"/>
            <w:tcBorders>
              <w:top w:val="nil"/>
              <w:left w:val="single" w:sz="4" w:space="0" w:color="auto"/>
              <w:bottom w:val="single" w:sz="4" w:space="0" w:color="auto"/>
              <w:right w:val="single" w:sz="4" w:space="0" w:color="auto"/>
            </w:tcBorders>
            <w:shd w:val="clear" w:color="000000" w:fill="E7E6E6"/>
          </w:tcPr>
          <w:p w14:paraId="2FFD3A25" w14:textId="77777777" w:rsidR="00695AE2" w:rsidRPr="00503014" w:rsidRDefault="00695AE2" w:rsidP="00980493">
            <w:pPr>
              <w:spacing w:line="240" w:lineRule="auto"/>
              <w:jc w:val="center"/>
              <w:rPr>
                <w:rFonts w:eastAsia="Times New Roman"/>
                <w:color w:val="000000"/>
                <w:lang w:eastAsia="sl-SI"/>
              </w:rPr>
            </w:pPr>
            <w:r w:rsidRPr="00503014">
              <w:rPr>
                <w:rFonts w:eastAsia="Times New Roman"/>
                <w:color w:val="000000"/>
                <w:lang w:eastAsia="sl-SI"/>
              </w:rPr>
              <w:t>21</w:t>
            </w:r>
          </w:p>
        </w:tc>
      </w:tr>
    </w:tbl>
    <w:p w14:paraId="11778D34" w14:textId="77777777" w:rsidR="00695AE2" w:rsidRPr="00503014" w:rsidRDefault="00695AE2" w:rsidP="00695AE2">
      <w:pPr>
        <w:pStyle w:val="Jasna"/>
      </w:pPr>
    </w:p>
    <w:p w14:paraId="3270CD52" w14:textId="77777777" w:rsidR="00695AE2" w:rsidRPr="00503014" w:rsidRDefault="00695AE2" w:rsidP="00695AE2">
      <w:pPr>
        <w:spacing w:line="240" w:lineRule="auto"/>
        <w:jc w:val="both"/>
        <w:rPr>
          <w:rFonts w:cstheme="minorHAnsi"/>
        </w:rPr>
      </w:pPr>
      <w:r w:rsidRPr="00503014">
        <w:rPr>
          <w:rFonts w:cstheme="minorHAnsi"/>
        </w:rPr>
        <w:t>Med pravniškim kadrom je bilo v letu 2025 izvedenih tudi 17 premestitev na zahtevnejša delovna mesta, in sicer:</w:t>
      </w:r>
    </w:p>
    <w:p w14:paraId="2C819CEE" w14:textId="77777777" w:rsidR="00695AE2" w:rsidRPr="00503014" w:rsidRDefault="00695AE2" w:rsidP="00695AE2">
      <w:pPr>
        <w:numPr>
          <w:ilvl w:val="0"/>
          <w:numId w:val="83"/>
        </w:numPr>
        <w:spacing w:line="240" w:lineRule="auto"/>
        <w:contextualSpacing/>
        <w:jc w:val="both"/>
        <w:rPr>
          <w:rFonts w:eastAsia="Calibri"/>
        </w:rPr>
      </w:pPr>
      <w:r w:rsidRPr="00503014">
        <w:rPr>
          <w:rFonts w:eastAsia="Calibri"/>
        </w:rPr>
        <w:lastRenderedPageBreak/>
        <w:t xml:space="preserve">5 premestitev iz delovnega mesta kandidat za državnega odvetnika II na delovno mesto kandidat za državnega odvetnika I; </w:t>
      </w:r>
    </w:p>
    <w:p w14:paraId="036E1DA6" w14:textId="77777777" w:rsidR="00695AE2" w:rsidRPr="00503014" w:rsidRDefault="00695AE2" w:rsidP="00695AE2">
      <w:pPr>
        <w:numPr>
          <w:ilvl w:val="0"/>
          <w:numId w:val="83"/>
        </w:numPr>
        <w:spacing w:line="240" w:lineRule="auto"/>
        <w:contextualSpacing/>
        <w:jc w:val="both"/>
        <w:rPr>
          <w:rFonts w:eastAsia="Calibri"/>
        </w:rPr>
      </w:pPr>
      <w:r w:rsidRPr="00503014">
        <w:rPr>
          <w:rFonts w:eastAsia="Calibri"/>
        </w:rPr>
        <w:t>8 premestitev iz delovnega mesta kandidat za državnega odvetnika I na delovno mesto kandidat za državnega odvetnika;</w:t>
      </w:r>
    </w:p>
    <w:p w14:paraId="32740BD9" w14:textId="77777777" w:rsidR="00695AE2" w:rsidRPr="00503014" w:rsidRDefault="00695AE2" w:rsidP="00695AE2">
      <w:pPr>
        <w:numPr>
          <w:ilvl w:val="0"/>
          <w:numId w:val="83"/>
        </w:numPr>
        <w:spacing w:line="240" w:lineRule="auto"/>
        <w:contextualSpacing/>
        <w:jc w:val="both"/>
        <w:rPr>
          <w:rFonts w:eastAsia="Calibri"/>
        </w:rPr>
      </w:pPr>
      <w:r w:rsidRPr="00503014">
        <w:rPr>
          <w:rFonts w:eastAsia="Calibri"/>
        </w:rPr>
        <w:t>1 premestitev iz delovnega mesta kandidat za državnega odvetnika I na delovno mesto državni odvetnik;</w:t>
      </w:r>
    </w:p>
    <w:p w14:paraId="28F7538F" w14:textId="77777777" w:rsidR="00695AE2" w:rsidRPr="00503014" w:rsidRDefault="00695AE2" w:rsidP="00695AE2">
      <w:pPr>
        <w:numPr>
          <w:ilvl w:val="0"/>
          <w:numId w:val="83"/>
        </w:numPr>
        <w:spacing w:line="240" w:lineRule="auto"/>
        <w:contextualSpacing/>
        <w:jc w:val="both"/>
        <w:rPr>
          <w:rFonts w:eastAsia="Calibri"/>
        </w:rPr>
      </w:pPr>
      <w:r w:rsidRPr="00503014">
        <w:rPr>
          <w:rFonts w:eastAsia="Calibri"/>
        </w:rPr>
        <w:t>1 premestitev iz delovnega mesta kandidat za državnega odvetnika na delovno mesto državni odvetnik;</w:t>
      </w:r>
    </w:p>
    <w:p w14:paraId="334D529E" w14:textId="77777777" w:rsidR="00695AE2" w:rsidRPr="00503014" w:rsidRDefault="00695AE2" w:rsidP="00695AE2">
      <w:pPr>
        <w:numPr>
          <w:ilvl w:val="0"/>
          <w:numId w:val="83"/>
        </w:numPr>
        <w:spacing w:line="240" w:lineRule="auto"/>
        <w:contextualSpacing/>
        <w:jc w:val="both"/>
        <w:rPr>
          <w:rFonts w:eastAsia="Calibri"/>
        </w:rPr>
      </w:pPr>
      <w:r w:rsidRPr="00503014">
        <w:rPr>
          <w:rFonts w:eastAsia="Calibri"/>
        </w:rPr>
        <w:t>1 premestitev iz delovnega mesta sodelavec vpisnika VII/1 na delovno mesto DODV pravnik VII/1;</w:t>
      </w:r>
    </w:p>
    <w:p w14:paraId="38673DAF" w14:textId="77777777" w:rsidR="00695AE2" w:rsidRPr="00503014" w:rsidRDefault="00695AE2" w:rsidP="00695AE2">
      <w:pPr>
        <w:numPr>
          <w:ilvl w:val="0"/>
          <w:numId w:val="83"/>
        </w:numPr>
        <w:spacing w:line="240" w:lineRule="auto"/>
        <w:contextualSpacing/>
        <w:jc w:val="both"/>
        <w:rPr>
          <w:rFonts w:eastAsia="Calibri"/>
        </w:rPr>
      </w:pPr>
      <w:r w:rsidRPr="00503014">
        <w:rPr>
          <w:rFonts w:eastAsia="Calibri"/>
        </w:rPr>
        <w:t xml:space="preserve">1 premestitev iz delovnega mesta DODV pravnik VII/1 na delovno mesto DODV pravnik VII/2.  </w:t>
      </w:r>
    </w:p>
    <w:p w14:paraId="6BB62495" w14:textId="77777777" w:rsidR="00695AE2" w:rsidRPr="00503014" w:rsidRDefault="00695AE2" w:rsidP="00695AE2">
      <w:pPr>
        <w:spacing w:line="240" w:lineRule="auto"/>
        <w:jc w:val="both"/>
        <w:rPr>
          <w:rFonts w:cstheme="minorHAnsi"/>
        </w:rPr>
      </w:pPr>
    </w:p>
    <w:p w14:paraId="45A6694E" w14:textId="77777777" w:rsidR="00695AE2" w:rsidRPr="00503014" w:rsidRDefault="00695AE2" w:rsidP="00695AE2">
      <w:pPr>
        <w:pStyle w:val="Naslov4"/>
        <w:rPr>
          <w:lang w:eastAsia="sl-SI"/>
        </w:rPr>
      </w:pPr>
      <w:bookmarkStart w:id="113" w:name="_Toc160097151"/>
      <w:bookmarkStart w:id="114" w:name="_Toc191561762"/>
      <w:bookmarkStart w:id="115" w:name="_Toc223093742"/>
      <w:r w:rsidRPr="00503014">
        <w:t>Težave pri zaposlovanju novih kadrov na Državnem odvetništvu RS</w:t>
      </w:r>
      <w:bookmarkEnd w:id="113"/>
      <w:bookmarkEnd w:id="114"/>
      <w:bookmarkEnd w:id="115"/>
      <w:r w:rsidRPr="00503014">
        <w:t xml:space="preserve"> </w:t>
      </w:r>
    </w:p>
    <w:p w14:paraId="1C22B4DF" w14:textId="77777777" w:rsidR="00695AE2" w:rsidRPr="00503014" w:rsidRDefault="00695AE2" w:rsidP="00695AE2">
      <w:pPr>
        <w:spacing w:line="240" w:lineRule="auto"/>
        <w:jc w:val="both"/>
        <w:rPr>
          <w:rFonts w:eastAsia="Times New Roman"/>
          <w:lang w:eastAsia="sl-SI"/>
        </w:rPr>
      </w:pPr>
    </w:p>
    <w:p w14:paraId="7A819930"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Državno odvetništvo RS se že več let zapored srečuje s težavami pri zaposlovanju novih kadrov, poleg tega pa že nekaj let opozarja tudi na razhajanje med kadrovskim načrtom in dejansko zasedbo delovnih mest. </w:t>
      </w:r>
    </w:p>
    <w:p w14:paraId="58DEBFE5" w14:textId="77777777" w:rsidR="00695AE2" w:rsidRPr="00503014" w:rsidRDefault="00695AE2" w:rsidP="00695AE2">
      <w:pPr>
        <w:spacing w:line="240" w:lineRule="auto"/>
        <w:jc w:val="both"/>
        <w:rPr>
          <w:rFonts w:eastAsia="Times New Roman"/>
          <w:lang w:eastAsia="sl-SI"/>
        </w:rPr>
      </w:pPr>
    </w:p>
    <w:p w14:paraId="74749EF6"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Na dan 31. 12. 2025 je bilo število aktualnih zaposlenih 216 oseb, kar je v primerjavi z letom 2024, ko je bilo na dan 31. 12. 2024 na Državnem odvetništvu RS zaposlenih 210 oseb, 6 oseb več. Kadrovski načrt predvideva, da naj bi bilo zaposlenih 58 višjih državnih odvetnikov, zasedenih pa jih je 56 mest. Na dan 31. 12. 2025 je zasedenih vseh 27 mest državnih odvetnikov. Predvidena je tudi zasedba 36 kandidatov za državnega odvetnika, vendar jih je trenutno na Državnem odvetništvu RS zaposlenih le 20. </w:t>
      </w:r>
    </w:p>
    <w:p w14:paraId="39033D5A" w14:textId="77777777" w:rsidR="00695AE2" w:rsidRPr="00503014" w:rsidRDefault="00695AE2" w:rsidP="00695AE2">
      <w:pPr>
        <w:spacing w:line="23" w:lineRule="atLeast"/>
        <w:jc w:val="both"/>
        <w:rPr>
          <w:rFonts w:eastAsia="Calibri"/>
        </w:rPr>
      </w:pPr>
    </w:p>
    <w:p w14:paraId="4C557472"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Takšna odstopanja so trenutno predvsem odraz nezanimanja mladih pravnikov za zaposlitev na Državnem odvetništvu RS. Navedeno </w:t>
      </w:r>
      <w:r w:rsidRPr="00503014">
        <w:rPr>
          <w:rFonts w:eastAsia="Calibri"/>
        </w:rPr>
        <w:t>je po oceni Državnega odvetništva RS mogoče pripisati predvsem trenutno veliki ponudbi privlačnih delovnih mest za pravnike v gospodarstvu, kjer se je možno fleksibilneje dogovoriti o pogojih dela ter višini plače, poleg tega pa kakovostne mlade pravnike privlačijo delovna mesta v institucijah z jasnim vrednotenjem poklica, ki se ne soočajo s tveganjem sistemske prezrtosti in v katerih jim je mogoče dolgoročno zagotoviti ustrezno funkcionalno in vrednostno umestitev poklica, ki ga bodo opravljali.</w:t>
      </w:r>
    </w:p>
    <w:p w14:paraId="05610F96" w14:textId="77777777" w:rsidR="00695AE2" w:rsidRPr="00503014" w:rsidRDefault="00695AE2" w:rsidP="00695AE2">
      <w:pPr>
        <w:spacing w:line="240" w:lineRule="auto"/>
        <w:jc w:val="both"/>
        <w:rPr>
          <w:rFonts w:eastAsia="Calibri"/>
        </w:rPr>
      </w:pPr>
    </w:p>
    <w:p w14:paraId="779F9C9E" w14:textId="77777777" w:rsidR="00695AE2" w:rsidRPr="00503014" w:rsidRDefault="00695AE2" w:rsidP="00695AE2">
      <w:pPr>
        <w:spacing w:line="240" w:lineRule="auto"/>
        <w:jc w:val="both"/>
        <w:rPr>
          <w:rFonts w:eastAsia="Calibri"/>
        </w:rPr>
      </w:pPr>
      <w:r w:rsidRPr="00503014">
        <w:rPr>
          <w:rFonts w:eastAsia="Calibri"/>
        </w:rPr>
        <w:t xml:space="preserve">Tudi analiza objav javnih natečajev za uradniška delovna mesta ter objav, izvedenih na podlagi sedmega odstavka 57. člena in prvega odstavka 70. člena ZJU, pokaže, da med pravniki z opravljenim pravniškim državnim izpitom posebnega zanimanja za zasedbo delovnega mesta kandidat za državnega odvetnika ni. Običajno je vloženih le nekaj vlog kandidatov za zasedbo razpisanih prostih delovnih mest v primeru objave za sklenitev delovnega razmerja za nedoločen čas, v primeru objave za sklenitev delovnega razmerja za določen čas pa zanimanja praktično ni. Objave za sklenitev delovnega razmerja za določen čas, do katerih pride predvsem v primeru potrebe po nadomeščanju začasno odsotnega delavca ter izjemoma zaradi povečanega obsega dela, so bile tako v letu 2025 neuspešne, in sicer v zvezi z eno objavo sploh ni bilo vložene nobene prijave, v zvezi z drugo objavo pa ni bil izbran nihče od prijavljenih kandidatov. Podobno velja za objave prostih delovnih mest pravnik, za katerega se ne zahteva </w:t>
      </w:r>
      <w:r w:rsidRPr="00503014">
        <w:rPr>
          <w:rFonts w:eastAsia="Calibri"/>
        </w:rPr>
        <w:lastRenderedPageBreak/>
        <w:t xml:space="preserve">opravljen pravniški državni izpit – od petih objavljenih delovnih mest smo uspešno zasedli samo dve delovni mesti.    </w:t>
      </w:r>
    </w:p>
    <w:p w14:paraId="41486344" w14:textId="77777777" w:rsidR="00695AE2" w:rsidRPr="00503014" w:rsidRDefault="00695AE2" w:rsidP="00695AE2">
      <w:pPr>
        <w:spacing w:line="240" w:lineRule="auto"/>
        <w:jc w:val="both"/>
        <w:rPr>
          <w:rFonts w:eastAsia="Calibri"/>
        </w:rPr>
      </w:pPr>
    </w:p>
    <w:p w14:paraId="111509F0" w14:textId="77777777" w:rsidR="00695AE2" w:rsidRPr="00503014" w:rsidRDefault="00695AE2" w:rsidP="00695AE2">
      <w:pPr>
        <w:spacing w:line="240" w:lineRule="auto"/>
        <w:jc w:val="both"/>
        <w:rPr>
          <w:rFonts w:eastAsia="Calibri"/>
        </w:rPr>
      </w:pPr>
      <w:r w:rsidRPr="00503014">
        <w:rPr>
          <w:rFonts w:eastAsia="Calibri"/>
        </w:rPr>
        <w:t>V prihodnje bo zato nedvomno treba okrepiti aktivnosti, ki bodo povečale zanimanje za poklic državnega odvetnika med mladimi pravniki z opravljenim pravniškim državnim izpitom. Ukrepi, ki bi pripomogli k temu, da bi mladi in uspešni pravniki poklic državnega odvetnika šteli za privlačen in obetaven karierni izziv, tako vključujejo predvsem pogostejšo medijsko prisotnost in obveščanje javnosti o delu Državnega odvetništva RS ter vključitev organa v študijske procese na pravnih fakultetah oziroma izvedbo predstavitvenih srečanj s študenti pravnih fakultet. Študenti bi se tako lahko že med študijem seznanili z nalogami, pristojnostmi in organizacijo organa, kar bi nedvomno pozitivno vplivalo na njihovo odločitev za kariero na Državnem odvetništvu RS. Prizadevanja Državnega odvetništva RS bodo usmerjena tudi v zagotovitev konkurenčnih zaposlitvenih pogojev za pravnike z opravljenim pravniškim državnim izpitom glede na ostale poklice v pravosodju. K temu bodo prispevali raznolika vsebina dela, dostop do strokovnih izobraževanj, jasne možnosti za karierno napredovanje ter ustrezno plačilo.</w:t>
      </w:r>
    </w:p>
    <w:p w14:paraId="6F2AF4AE" w14:textId="77777777" w:rsidR="00695AE2" w:rsidRPr="00503014" w:rsidRDefault="00695AE2" w:rsidP="00695AE2">
      <w:pPr>
        <w:spacing w:line="240" w:lineRule="auto"/>
        <w:jc w:val="both"/>
        <w:rPr>
          <w:rFonts w:eastAsia="Calibri"/>
        </w:rPr>
      </w:pPr>
      <w:r w:rsidRPr="00503014">
        <w:rPr>
          <w:rFonts w:eastAsia="Calibri"/>
        </w:rPr>
        <w:t xml:space="preserve"> </w:t>
      </w:r>
    </w:p>
    <w:p w14:paraId="5DF9B5C3"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Glede na to, da se s podobnimi težavami srečujejo tudi sodišča in državna tožilstva, pa bi bilo po mnenju Državnega odvetništva RS nujno načrtovati tudi sistemske korake v smeri vzpostavitve </w:t>
      </w:r>
      <w:r w:rsidRPr="00503014">
        <w:rPr>
          <w:rFonts w:eastAsia="Times New Roman"/>
          <w:lang w:eastAsia="sl-SI"/>
        </w:rPr>
        <w:t xml:space="preserve">celovitega kariernega sistema za mlade pravnike z opravljenim pravniškim državnim izpitom. Ključno je, da kadrovsko načrtovanje zajema vse pravosodne organe in da sistem usposabljanja omogoča pravnikom s pravniškim državnim izpitom delo v katerem koli pravosodnem organu. Programi usposabljanja morajo biti temu prilagojeni, Državno odvetništvo RS pa je pripravljeno aktivno sodelovati tako pri načrtovanju kot pri izvajanju usposabljanj. Takšen pristop bi omogočil prosto izbiro zaposlitve znotraj pravosodja in neoviran pretok strokovnih kadrov med pravosodnimi organi, hkrati pa bi spodbudil </w:t>
      </w:r>
      <w:r w:rsidRPr="00503014">
        <w:rPr>
          <w:rFonts w:eastAsia="Times New Roman"/>
        </w:rPr>
        <w:t xml:space="preserve">enakovredno konkurenco med pravosodnimi organi za pravnike, ki so pravniški državni izpit naredili po končanem sodnem pripravništvu. </w:t>
      </w:r>
      <w:r w:rsidRPr="00503014">
        <w:rPr>
          <w:rFonts w:eastAsia="Times New Roman"/>
          <w:lang w:eastAsia="sl-SI"/>
        </w:rPr>
        <w:t>Praksa namreč kaže, da sodni pripravniki po opravljenem pravniškem državnem izpitu na podlagi vročenega poziva nadaljujejo zaposlitev na sodiščih, kar Državnemu odvetništvu RS otežuje pridobivanje kandidatov po 11.a členu Zakona o pravniškem državnem izpitu. To poudarja potrebo po spremembi sistema, ki bi omogočil enakomernejšo porazdelitev kadrov.</w:t>
      </w:r>
    </w:p>
    <w:p w14:paraId="4FBEF219" w14:textId="77777777" w:rsidR="00695AE2" w:rsidRPr="00503014" w:rsidRDefault="00695AE2" w:rsidP="00695AE2">
      <w:pPr>
        <w:spacing w:line="240" w:lineRule="auto"/>
        <w:jc w:val="both"/>
        <w:rPr>
          <w:rFonts w:eastAsia="Times New Roman"/>
          <w:lang w:eastAsia="sl-SI"/>
        </w:rPr>
      </w:pPr>
    </w:p>
    <w:p w14:paraId="6B5A9760" w14:textId="77777777" w:rsidR="00695AE2" w:rsidRPr="00503014" w:rsidRDefault="00695AE2" w:rsidP="00695AE2">
      <w:pPr>
        <w:spacing w:line="240" w:lineRule="auto"/>
        <w:jc w:val="both"/>
        <w:rPr>
          <w:rFonts w:eastAsia="Calibri"/>
        </w:rPr>
      </w:pPr>
      <w:r w:rsidRPr="00503014">
        <w:rPr>
          <w:rFonts w:eastAsia="Times New Roman"/>
        </w:rPr>
        <w:t>Na Državnem odvetništvu RS si prizadevamo za čim večjo razbremenitev strokovnega kadra s prenosom tipskih opravil na administrativno osebje, zato je bilo tudi v letu 2025 izvedenih večje število objav delovnih mest, ki so n</w:t>
      </w:r>
      <w:r w:rsidRPr="00503014">
        <w:rPr>
          <w:rFonts w:eastAsia="Calibri"/>
        </w:rPr>
        <w:t xml:space="preserve">a Državnem odvetništvu RS tipična delovna mesta za podporno osebje, razporejeno v posamezne pisarne ali pa v urade zunanjih oddelkov državnega odvetništva, ki nudijo administrativno podporo državnim odvetnikom in kandidatom za državnega odvetnika po posameznih oddelkih. </w:t>
      </w:r>
      <w:r w:rsidRPr="00503014">
        <w:rPr>
          <w:rFonts w:eastAsia="Times New Roman"/>
        </w:rPr>
        <w:t xml:space="preserve">Ker zahtevnost nalog na teh delovnih mest narašča, Državno odvetništvo RS razpisuje </w:t>
      </w:r>
      <w:r w:rsidRPr="00503014">
        <w:rPr>
          <w:rFonts w:eastAsia="Calibri"/>
        </w:rPr>
        <w:t xml:space="preserve">strokovno-tehnična delovna mesta dokumentalist VII/1. Analiza objav teh prostih delovnih mest pokaže, da </w:t>
      </w:r>
      <w:r w:rsidRPr="00503014">
        <w:rPr>
          <w:rFonts w:eastAsia="Times New Roman"/>
        </w:rPr>
        <w:t xml:space="preserve">je bil tudi v letu 2025  zaznan upad </w:t>
      </w:r>
      <w:r w:rsidRPr="00503014">
        <w:rPr>
          <w:rFonts w:eastAsia="Calibri"/>
        </w:rPr>
        <w:t xml:space="preserve">zanimanja tega kadra za zaposlitev na Državnem odvetništvu RS. V letu 2025 tako nismo uspeli tekoče zagotavljati odhoda kadra; za 15 objavljenih delovnih mest je bilo uspešno izbranih samo 9 oseb, v ostalih primerih pa ali ni bil izbran noben kandidat ali pa je izbrani kandidat naknadno odstopil od prijave.   </w:t>
      </w:r>
    </w:p>
    <w:p w14:paraId="0D6E261B" w14:textId="77777777" w:rsidR="00695AE2" w:rsidRPr="00503014" w:rsidRDefault="00695AE2" w:rsidP="00695AE2">
      <w:pPr>
        <w:spacing w:line="240" w:lineRule="auto"/>
        <w:jc w:val="both"/>
        <w:rPr>
          <w:rFonts w:eastAsia="Calibri"/>
          <w:highlight w:val="yellow"/>
        </w:rPr>
      </w:pPr>
    </w:p>
    <w:p w14:paraId="55B88065"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lastRenderedPageBreak/>
        <w:t>Razloge gre iskati v plačni politiki javnega sektorja oziroma ožje državnih organov, saj so umestitve delovnih mest administrativnega kadra v pravosodju v plačne razrede nizke, kar zmanjšuje privlačnost teh delovnih mest, odgovornost za opravljeno delo pa je visoka. Ustrezno reševanje te težave je po mnenju Državnega odvetništva RS bistveno za celoten pravosodni sistem, saj brez ustrezno usposobljenega in motiviranega administrativnega osebja ne more učinkovito delovati.</w:t>
      </w:r>
    </w:p>
    <w:p w14:paraId="22229170" w14:textId="77777777" w:rsidR="00695AE2" w:rsidRPr="00503014" w:rsidRDefault="00695AE2" w:rsidP="00695AE2">
      <w:pPr>
        <w:spacing w:line="240" w:lineRule="auto"/>
        <w:jc w:val="both"/>
        <w:rPr>
          <w:rFonts w:eastAsia="Times New Roman"/>
          <w:highlight w:val="lightGray"/>
          <w:lang w:eastAsia="sl-SI"/>
        </w:rPr>
      </w:pPr>
    </w:p>
    <w:p w14:paraId="23323B00"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Oba izziva – pomanjkanje pravnikov in administrativnega kadra – sta ključna za dolgoročno stabilnost in učinkovitost pravosodnega sistema kot celote.</w:t>
      </w:r>
    </w:p>
    <w:p w14:paraId="590E2326" w14:textId="77777777" w:rsidR="00695AE2" w:rsidRPr="00503014" w:rsidRDefault="00695AE2" w:rsidP="00695AE2">
      <w:pPr>
        <w:spacing w:line="240" w:lineRule="auto"/>
        <w:jc w:val="both"/>
        <w:rPr>
          <w:rFonts w:eastAsia="Times New Roman"/>
          <w:lang w:eastAsia="sl-SI"/>
        </w:rPr>
      </w:pPr>
    </w:p>
    <w:p w14:paraId="0E6752D5" w14:textId="77777777" w:rsidR="00695AE2" w:rsidRPr="00503014" w:rsidRDefault="00695AE2" w:rsidP="00695AE2">
      <w:pPr>
        <w:pStyle w:val="Naslov4"/>
        <w:ind w:left="0" w:firstLine="0"/>
        <w:rPr>
          <w:lang w:eastAsia="sl-SI"/>
        </w:rPr>
      </w:pPr>
      <w:bookmarkStart w:id="116" w:name="_Toc191561763"/>
      <w:bookmarkStart w:id="117" w:name="_Toc223093743"/>
      <w:bookmarkEnd w:id="106"/>
      <w:bookmarkEnd w:id="107"/>
      <w:r w:rsidRPr="00503014">
        <w:t>Enotna obravnava kandidatov za državnega odvetnika in njihova karierna pot na Državnem odvetništvu RS</w:t>
      </w:r>
      <w:bookmarkEnd w:id="116"/>
      <w:bookmarkEnd w:id="117"/>
    </w:p>
    <w:p w14:paraId="2CE169AE" w14:textId="77777777" w:rsidR="00695AE2" w:rsidRPr="00503014" w:rsidRDefault="00695AE2" w:rsidP="00695AE2">
      <w:pPr>
        <w:pStyle w:val="Jasna"/>
      </w:pPr>
    </w:p>
    <w:p w14:paraId="5EA009CE" w14:textId="77777777" w:rsidR="00695AE2" w:rsidRPr="00503014" w:rsidRDefault="00695AE2" w:rsidP="00695AE2">
      <w:pPr>
        <w:overflowPunct w:val="0"/>
        <w:autoSpaceDE w:val="0"/>
        <w:autoSpaceDN w:val="0"/>
        <w:adjustRightInd w:val="0"/>
        <w:spacing w:line="240" w:lineRule="auto"/>
        <w:jc w:val="both"/>
        <w:textAlignment w:val="baseline"/>
        <w:rPr>
          <w:rFonts w:eastAsia="Calibri"/>
        </w:rPr>
      </w:pPr>
      <w:r w:rsidRPr="00503014">
        <w:rPr>
          <w:rFonts w:eastAsia="Calibri"/>
        </w:rPr>
        <w:t xml:space="preserve">Državno odvetništvo RS si ob vsakokratni pripravi proračuna prizadeva, da mu bodo zagotovljena zadostna sredstva za vzpostavitev ustrezne kadrovske strukture, ki med drugim vključuje tudi zaposlitev zadostnega števila novih kandidatov za državnega odvetnika. </w:t>
      </w:r>
    </w:p>
    <w:p w14:paraId="3CA51C9F"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 </w:t>
      </w:r>
    </w:p>
    <w:p w14:paraId="2547D21C" w14:textId="77777777" w:rsidR="00695AE2" w:rsidRPr="00503014" w:rsidRDefault="00695AE2" w:rsidP="00695AE2">
      <w:pPr>
        <w:spacing w:line="240" w:lineRule="auto"/>
        <w:jc w:val="both"/>
        <w:rPr>
          <w:rFonts w:eastAsia="Times New Roman"/>
        </w:rPr>
      </w:pPr>
      <w:r w:rsidRPr="00503014">
        <w:rPr>
          <w:rFonts w:eastAsia="Calibri"/>
          <w:lang w:eastAsia="sl-SI"/>
        </w:rPr>
        <w:t>Kandidati za državnega odvetnika skladno z določbami ZDOdv nadomeščajo državne odvetnike pri zastopanju pred splošnimi sodišči prve stopnje, delovnimi in socialnimi sodišči prve stopnje ter upravnimi organi prve stopnje. Najkasneje po uspešno opravljenem poskusnem delu se za posameznega kandidata na pristojna sodišča, pred katerimi lahko nadomeščajo državne odvetnike, deponira generalno pooblastilo za zastopanje, kar kandidatom za državnega odvetnika omogoča samostojno opravljanje procesnih dejanj v sodnih in upravnih postopkih v zadevah, ki jih obravnavajo.</w:t>
      </w:r>
      <w:r w:rsidRPr="00503014">
        <w:rPr>
          <w:rFonts w:eastAsia="Times New Roman"/>
        </w:rPr>
        <w:t xml:space="preserve"> Takšna samostojnost je tudi razlog, da so začetni plačni razredi in nato razponi plačnih razredov delovnih mest kandidat za državnega odvetnika nekoliko višji (za 2 plačna razreda) kot plačni razredi strokovnih sodelavcev na sodiščih ali državnih tožilstvih. </w:t>
      </w:r>
    </w:p>
    <w:p w14:paraId="4F54478D" w14:textId="77777777" w:rsidR="00695AE2" w:rsidRPr="00503014" w:rsidRDefault="00695AE2" w:rsidP="00695AE2">
      <w:pPr>
        <w:spacing w:line="240" w:lineRule="auto"/>
        <w:jc w:val="both"/>
        <w:rPr>
          <w:rFonts w:eastAsia="Times New Roman"/>
        </w:rPr>
      </w:pPr>
    </w:p>
    <w:p w14:paraId="6F49BBB8" w14:textId="77777777" w:rsidR="00695AE2" w:rsidRPr="00503014" w:rsidRDefault="00695AE2" w:rsidP="00695AE2">
      <w:pPr>
        <w:spacing w:line="240" w:lineRule="auto"/>
        <w:jc w:val="both"/>
        <w:rPr>
          <w:rFonts w:eastAsia="Times New Roman"/>
        </w:rPr>
      </w:pPr>
      <w:r w:rsidRPr="00503014">
        <w:rPr>
          <w:rFonts w:eastAsia="Times New Roman"/>
        </w:rPr>
        <w:t>Število zadev, ki jih na podlagi generalnega pooblastila trenutno samostojno obravnava posamezen kandidat za državnega odvetnika, to so predvsem zadeve izvršbe, postopkov zaradi insolventnosti in postopkov prisilnega prenehanja, nepravdnih oziroma zemljiškoknjižnih postopkov, delovnopravnih zadev ter lažjih civilnopravnih zadev je namreč trenutno tako veliko, da kandidatom za državnega odvetnika zaradi preobremenjenosti ni mogoče v večjem obsegu v samostojno delo ali v delo pod strokovno-mentorskim nadzorom dodeljevati tudi drugih, pravno nekoliko zahtevnejših zadev, ali pa jih v večjem obsegu vključevati v zadolžitve, vezane na pripravo strokovnih podlag za delo državnih odvetnikov oziroma v opravljanje drugih strokovnih nalog po navodilu državnih odvetnikov</w:t>
      </w:r>
      <w:r w:rsidRPr="00503014">
        <w:rPr>
          <w:rFonts w:eastAsia="Calibri"/>
        </w:rPr>
        <w:t xml:space="preserve">. S povečanjem števila zaposlenih kandidatov za državnega odvetnika bi se breme dela na enostavnejših zadevah porazdelilo med več oseb, kandidati za državne odvetnike pa bi </w:t>
      </w:r>
      <w:r w:rsidRPr="00503014">
        <w:rPr>
          <w:rFonts w:eastAsia="Times New Roman"/>
        </w:rPr>
        <w:t xml:space="preserve">svoje časovne kapacitete lahko posvetili obravnavi zahtevnejših zadev, kar bi jim </w:t>
      </w:r>
      <w:r w:rsidRPr="00503014">
        <w:rPr>
          <w:rFonts w:eastAsia="Calibri"/>
        </w:rPr>
        <w:t>o</w:t>
      </w:r>
      <w:r w:rsidRPr="00503014">
        <w:rPr>
          <w:rFonts w:eastAsia="Times New Roman"/>
        </w:rPr>
        <w:t xml:space="preserve">mogočilo stalen in zadosten strokovni napredek ter urjenje v samostojnosti in odgovornosti. S prerazporeditvijo nekaterih zadev v delo kandidatom za državnega odvetnika bi se po drugi strani obravnave teh zadev razbremenilo državne odvetnike in višje državne odvetnike, ki bi svoje časovne kapacitete lahko preusmerili v obravnavo zahtevnejših zadev. </w:t>
      </w:r>
    </w:p>
    <w:p w14:paraId="7AB37754" w14:textId="77777777" w:rsidR="00695AE2" w:rsidRPr="00503014" w:rsidRDefault="00695AE2" w:rsidP="00695AE2">
      <w:pPr>
        <w:spacing w:line="240" w:lineRule="auto"/>
        <w:jc w:val="both"/>
        <w:rPr>
          <w:rFonts w:eastAsia="Calibri"/>
        </w:rPr>
      </w:pPr>
    </w:p>
    <w:p w14:paraId="51F5CA86" w14:textId="77777777" w:rsidR="00695AE2" w:rsidRPr="00503014" w:rsidRDefault="00695AE2" w:rsidP="00695AE2">
      <w:pPr>
        <w:spacing w:line="240" w:lineRule="auto"/>
        <w:ind w:right="-142"/>
        <w:jc w:val="both"/>
      </w:pPr>
      <w:r w:rsidRPr="00503014">
        <w:rPr>
          <w:rFonts w:eastAsia="Calibri"/>
        </w:rPr>
        <w:t xml:space="preserve">Zaradi razlik v kadrovski strukturi posameznih oddelkov je natančnejša razdelitev nalog sicer prepuščena posameznim vodjem oddelkov, ki so odgovorni za organizacijo in nemoten potek </w:t>
      </w:r>
      <w:r w:rsidRPr="00503014">
        <w:rPr>
          <w:rFonts w:eastAsia="Calibri"/>
        </w:rPr>
        <w:lastRenderedPageBreak/>
        <w:t xml:space="preserve">dela, vendar pa je znotraj Državnega odvetništva RS kljub posebnostim v poslovnih procesih posameznih oddelkov kandidate za državne odvetnike treba obravnavati enotno in jim zagotoviti primerljive položaje glede obsega in vsebine dela (določitev pravnih področij oziroma temeljev zadev in obsega pripada zadev oziroma vključenosti na posamezne sezname dodeljevanja zadev ter določitev vsebine pooblastila za nadomeščanje državnih odvetnikov). Zaradi zagotavljanja enakopravnih izhodiščnih položajev kandidatov za državne odvetnike pri njihovem kariernem napredku je na Državnem odvetništvu RS v veljavi </w:t>
      </w:r>
      <w:r w:rsidRPr="00503014">
        <w:rPr>
          <w:color w:val="000000" w:themeColor="text1"/>
        </w:rPr>
        <w:t>»Koncept usklajenega delovanja kandidatov za državne odvetnike na Državnem odvetništvu Republike Slovenije«, ki se od dne 10. 3. 2023 uporablja kot splošno navodilo generalnega državnega odvetnika, sprejeto na podlagi tretjega odstavka 50. člena ZDOdv.</w:t>
      </w:r>
    </w:p>
    <w:p w14:paraId="5D675E01" w14:textId="77777777" w:rsidR="00695AE2" w:rsidRPr="00503014" w:rsidRDefault="00695AE2" w:rsidP="00695AE2">
      <w:pPr>
        <w:overflowPunct w:val="0"/>
        <w:autoSpaceDE w:val="0"/>
        <w:autoSpaceDN w:val="0"/>
        <w:adjustRightInd w:val="0"/>
        <w:spacing w:line="240" w:lineRule="auto"/>
        <w:jc w:val="both"/>
        <w:textAlignment w:val="baseline"/>
        <w:rPr>
          <w:rFonts w:eastAsia="Calibri"/>
        </w:rPr>
      </w:pPr>
    </w:p>
    <w:p w14:paraId="618E38B5" w14:textId="77777777" w:rsidR="00695AE2" w:rsidRPr="00503014" w:rsidRDefault="00695AE2" w:rsidP="00695AE2">
      <w:pPr>
        <w:spacing w:line="240" w:lineRule="auto"/>
        <w:ind w:right="-142"/>
        <w:jc w:val="both"/>
        <w:rPr>
          <w:rFonts w:eastAsia="Times New Roman"/>
          <w:lang w:eastAsia="sl-SI"/>
        </w:rPr>
      </w:pPr>
      <w:r w:rsidRPr="00503014">
        <w:rPr>
          <w:rFonts w:eastAsia="Times New Roman"/>
          <w:lang w:eastAsia="sl-SI"/>
        </w:rPr>
        <w:t>Posebna pozornost</w:t>
      </w:r>
      <w:r w:rsidRPr="00503014">
        <w:rPr>
          <w:rFonts w:eastAsia="Calibri"/>
        </w:rPr>
        <w:t xml:space="preserve"> je </w:t>
      </w:r>
      <w:r w:rsidRPr="00503014">
        <w:rPr>
          <w:rFonts w:eastAsia="Times New Roman"/>
          <w:lang w:eastAsia="sl-SI"/>
        </w:rPr>
        <w:t>na Državnem odvetništvu RS posvečena</w:t>
      </w:r>
      <w:r w:rsidRPr="00503014">
        <w:rPr>
          <w:rFonts w:eastAsia="Calibri"/>
        </w:rPr>
        <w:t xml:space="preserve"> </w:t>
      </w:r>
      <w:r w:rsidRPr="00503014">
        <w:rPr>
          <w:rFonts w:eastAsia="Times New Roman"/>
          <w:lang w:eastAsia="sl-SI"/>
        </w:rPr>
        <w:t xml:space="preserve">kariernemu napredku kandidatov za državnega odvetnika. Prehodi z delovnega mesta kandidat za državnega odvetnika na delovno mesto državnega odvetnika niso avtomatični, temveč temeljijo na preverjanju sposobnosti posameznika za opravljanje nalog na zahtevnejšem delovnem mestu. Zaradi zagotavljanja preglednosti, predvidljivosti in vnaprejšnje seznanjenosti kandidatov za državnega odvetnika s postopkom, merili in kriteriji, ki jih morajo izpolnjevati za premestitev na zahtevnejše delovno mesto, je generalna državna odvetnica na podlagi 50. člena ZDOdv sprejela </w:t>
      </w:r>
      <w:r w:rsidRPr="00503014">
        <w:rPr>
          <w:color w:val="000000" w:themeColor="text1"/>
        </w:rPr>
        <w:t>Postopkovnik za sprejem odločitve o premestitvi kandidata za državnega odvetnika na zahtevnejše delovno mesto državnega odvetnika</w:t>
      </w:r>
      <w:r>
        <w:rPr>
          <w:color w:val="000000" w:themeColor="text1"/>
        </w:rPr>
        <w:t>, ki se bo že uporabljal za v</w:t>
      </w:r>
      <w:r w:rsidRPr="00503014">
        <w:rPr>
          <w:color w:val="000000" w:themeColor="text1"/>
        </w:rPr>
        <w:t>se postopke</w:t>
      </w:r>
      <w:r>
        <w:rPr>
          <w:color w:val="000000" w:themeColor="text1"/>
        </w:rPr>
        <w:t xml:space="preserve">, ki se bodo začeli v letu 2026. </w:t>
      </w:r>
      <w:r w:rsidRPr="00503014">
        <w:rPr>
          <w:color w:val="000000" w:themeColor="text1"/>
        </w:rPr>
        <w:t xml:space="preserve"> </w:t>
      </w:r>
    </w:p>
    <w:p w14:paraId="28226A9F" w14:textId="77777777" w:rsidR="00695AE2" w:rsidRPr="00503014" w:rsidRDefault="00695AE2" w:rsidP="00695AE2">
      <w:pPr>
        <w:spacing w:line="240" w:lineRule="auto"/>
        <w:jc w:val="both"/>
        <w:rPr>
          <w:color w:val="000000" w:themeColor="text1"/>
        </w:rPr>
      </w:pPr>
    </w:p>
    <w:p w14:paraId="4B611AB2" w14:textId="77777777" w:rsidR="00695AE2" w:rsidRPr="00503014" w:rsidRDefault="00695AE2" w:rsidP="00695AE2">
      <w:pPr>
        <w:widowControl w:val="0"/>
        <w:spacing w:line="240" w:lineRule="auto"/>
        <w:ind w:right="-142"/>
        <w:jc w:val="both"/>
        <w:rPr>
          <w:color w:val="000000" w:themeColor="text1"/>
        </w:rPr>
      </w:pPr>
      <w:r w:rsidRPr="00503014">
        <w:rPr>
          <w:color w:val="000000" w:themeColor="text1"/>
        </w:rPr>
        <w:t xml:space="preserve">Postopkovnik tako predvideva, da se v primeru ugotovljene potrebe za opravljanje dela na delovnem mestu državni odvetnik oziroma prostem delovnem mestu državni odvetnik na sedežu Državnega odvetništva RS ali na zunanjih oddelkih Državnega odvetništva RS najprej preveri možnosti, ali je to delovno mesto mogoče zasesti z javnim uslužbencem, ki ima na Državnem odvetništvu RS že sklenjeno delovno razmerje za nedoločen čas za delovno mesto kandidat za državnega odvetnika in izpolnjuje predpisane pogoje za zasedbo delovnega mesta državni odvetnik. V preverjanje izpolnjevanja predpisanih pogojev se v primeru ugotovljene potrebe za opravljanje dela na delovnem mestu državni odvetnik oziroma v primeru prostega delovnega mesta državni odvetnik na specializiranem oddelku na sedežu Državnega odvetništva RS v Ljubljani ali na zunanjem oddelku vključi vse kandidate za državnega odvetnika, ki opravljajo naloge na Državnem odvetništvu RS, ne glede na to, na kateri specializirani oddelek na sedežu Državnega odvetništva RS v Ljubljani ali zunanji oddelek so kandidati za državne odvetnike razporejeni glede na veljavni Letni razpored dela oziroma sklenjeno pogodbo o zaposlitvi.  Če se med preverjanjem izpolnjevanja predpisanih pogojev za obstoječe, za nedoločen čas zaposlene kandidate za državnega odvetnika, ugotovi, da bi bilo za zasedbo prostega delovnega mesta državni odvetnik možno uporabiti institut premestitve javnega uslužbenca na zahtevnejše delovno mesto, se vse osebe, za katere je bilo ugotovljeno, da izpolnjujejo predpisane pogoje za zasedbo delovnega mesta državni odvetnik, pozove, da v določenem roku podajo izjavo glede interesa za premestitev na zahtevnejše delovno mesto državni odvetnik.  V postopek v zvezi z odločitvijo oziroma izbiro za zasedbo prostega delovnega mesta državni odvetnik, kot ga predvideva postopkovnik, se nato uvrstijo vsi tisti kandidati za državnega odvetnika, ki so v roku izrazili svoj interes za premestitev na zahtevnejše delovno mesto državni odvetnik. </w:t>
      </w:r>
    </w:p>
    <w:p w14:paraId="6749FCB2" w14:textId="77777777" w:rsidR="00695AE2" w:rsidRPr="00503014" w:rsidRDefault="00695AE2" w:rsidP="00695AE2">
      <w:pPr>
        <w:spacing w:line="240" w:lineRule="auto"/>
        <w:ind w:right="-142"/>
        <w:jc w:val="both"/>
        <w:rPr>
          <w:color w:val="000000" w:themeColor="text1"/>
        </w:rPr>
      </w:pPr>
    </w:p>
    <w:p w14:paraId="1C70374C" w14:textId="77777777" w:rsidR="00695AE2" w:rsidRPr="00503014" w:rsidRDefault="00695AE2" w:rsidP="00695AE2">
      <w:pPr>
        <w:spacing w:line="240" w:lineRule="auto"/>
        <w:jc w:val="both"/>
      </w:pPr>
      <w:r w:rsidRPr="00503014">
        <w:rPr>
          <w:color w:val="000000" w:themeColor="text1"/>
        </w:rPr>
        <w:lastRenderedPageBreak/>
        <w:t xml:space="preserve">Z namenom ugotavljanja izpolnjevanja pogoja, da je javni uslužbenec – kandidat za državnega odvetnika dela in naloge na zahtevnejšem delovnem mestu državnega odvetnika tudi sposoben opravljati, se z odredbo generalne državne odvetnice uvede nadzor nad delom kandidata za državnega odvetnika z delnim strokovnim pregledom njegovega dela </w:t>
      </w:r>
      <w:r w:rsidRPr="00503014">
        <w:t>in ugotovitve poročila bodo eden od kriterijev za sprejem odločitve glede morebitne premestitve kandidata za državnega odvetnika na zahtevnejše delovno mesto državni odvetnik.</w:t>
      </w:r>
    </w:p>
    <w:p w14:paraId="1806110A" w14:textId="77777777" w:rsidR="00695AE2" w:rsidRPr="00503014" w:rsidRDefault="00695AE2" w:rsidP="00695AE2">
      <w:pPr>
        <w:spacing w:line="240" w:lineRule="auto"/>
        <w:jc w:val="both"/>
      </w:pPr>
    </w:p>
    <w:p w14:paraId="3BC8697A" w14:textId="77777777" w:rsidR="00695AE2" w:rsidRPr="00503014" w:rsidRDefault="00695AE2" w:rsidP="00695AE2">
      <w:pPr>
        <w:spacing w:line="240" w:lineRule="auto"/>
        <w:jc w:val="both"/>
        <w:rPr>
          <w:color w:val="000000" w:themeColor="text1"/>
        </w:rPr>
      </w:pPr>
      <w:r w:rsidRPr="00503014">
        <w:t>V okviru nadzora</w:t>
      </w:r>
      <w:r w:rsidRPr="00503014">
        <w:rPr>
          <w:color w:val="000000" w:themeColor="text1"/>
        </w:rPr>
        <w:t xml:space="preserve"> nad delom kandidata za državnega odvetnika z delnim strokovnim pregledom njegovega dela se ugotavlja:</w:t>
      </w:r>
    </w:p>
    <w:p w14:paraId="128333AE" w14:textId="77777777" w:rsidR="00695AE2" w:rsidRPr="00503014" w:rsidRDefault="00695AE2" w:rsidP="00695AE2">
      <w:pPr>
        <w:spacing w:line="240" w:lineRule="auto"/>
        <w:jc w:val="both"/>
      </w:pPr>
      <w:r w:rsidRPr="00503014">
        <w:t xml:space="preserve"> </w:t>
      </w:r>
    </w:p>
    <w:p w14:paraId="4E626331" w14:textId="77777777" w:rsidR="00695AE2" w:rsidRPr="00503014" w:rsidRDefault="00695AE2" w:rsidP="00695AE2">
      <w:pPr>
        <w:numPr>
          <w:ilvl w:val="0"/>
          <w:numId w:val="61"/>
        </w:numPr>
        <w:spacing w:line="240" w:lineRule="auto"/>
        <w:contextualSpacing/>
        <w:jc w:val="both"/>
      </w:pPr>
      <w:r w:rsidRPr="00503014">
        <w:t>Strokovno znanje:</w:t>
      </w:r>
    </w:p>
    <w:p w14:paraId="2F84257F" w14:textId="77777777" w:rsidR="00695AE2" w:rsidRPr="00503014" w:rsidRDefault="00695AE2" w:rsidP="00695AE2">
      <w:pPr>
        <w:numPr>
          <w:ilvl w:val="0"/>
          <w:numId w:val="73"/>
        </w:numPr>
        <w:spacing w:line="240" w:lineRule="auto"/>
        <w:contextualSpacing/>
        <w:jc w:val="both"/>
      </w:pPr>
      <w:r w:rsidRPr="00503014">
        <w:t>zakonitost in strokovna pravilnost pri opravljanju nalog Državnega odvetništva;</w:t>
      </w:r>
    </w:p>
    <w:p w14:paraId="7B9F32AE" w14:textId="77777777" w:rsidR="00695AE2" w:rsidRPr="00503014" w:rsidRDefault="00695AE2" w:rsidP="00695AE2">
      <w:pPr>
        <w:numPr>
          <w:ilvl w:val="0"/>
          <w:numId w:val="73"/>
        </w:numPr>
        <w:spacing w:line="240" w:lineRule="auto"/>
        <w:contextualSpacing/>
        <w:jc w:val="both"/>
      </w:pPr>
      <w:r w:rsidRPr="00503014">
        <w:t>ravnanje v skladu z navodili:</w:t>
      </w:r>
    </w:p>
    <w:p w14:paraId="25682A3C" w14:textId="77777777" w:rsidR="00695AE2" w:rsidRPr="00503014" w:rsidRDefault="00695AE2" w:rsidP="00695AE2">
      <w:pPr>
        <w:numPr>
          <w:ilvl w:val="0"/>
          <w:numId w:val="71"/>
        </w:numPr>
        <w:spacing w:line="240" w:lineRule="auto"/>
        <w:contextualSpacing/>
        <w:jc w:val="both"/>
      </w:pPr>
      <w:r w:rsidRPr="00503014">
        <w:t xml:space="preserve">splošnimi navodili; </w:t>
      </w:r>
    </w:p>
    <w:p w14:paraId="2828FE5D" w14:textId="77777777" w:rsidR="00695AE2" w:rsidRPr="00503014" w:rsidRDefault="00695AE2" w:rsidP="00695AE2">
      <w:pPr>
        <w:numPr>
          <w:ilvl w:val="0"/>
          <w:numId w:val="71"/>
        </w:numPr>
        <w:spacing w:line="240" w:lineRule="auto"/>
        <w:contextualSpacing/>
        <w:jc w:val="both"/>
      </w:pPr>
      <w:r w:rsidRPr="00503014">
        <w:t xml:space="preserve">navodili vodje oddelka; </w:t>
      </w:r>
    </w:p>
    <w:p w14:paraId="47B302F6" w14:textId="77777777" w:rsidR="00695AE2" w:rsidRPr="00503014" w:rsidRDefault="00695AE2" w:rsidP="00695AE2">
      <w:pPr>
        <w:numPr>
          <w:ilvl w:val="0"/>
          <w:numId w:val="71"/>
        </w:numPr>
        <w:spacing w:line="240" w:lineRule="auto"/>
        <w:contextualSpacing/>
        <w:jc w:val="both"/>
      </w:pPr>
      <w:r w:rsidRPr="00503014">
        <w:t>kandidati za državne odvetnike, ki</w:t>
      </w:r>
      <w:r w:rsidRPr="00503014">
        <w:rPr>
          <w:shd w:val="clear" w:color="auto" w:fill="FFFFFF"/>
        </w:rPr>
        <w:t xml:space="preserve"> skladno z določbo 66. člena ZDOdv </w:t>
      </w:r>
      <w:r w:rsidRPr="00503014">
        <w:t>pripravljajo strokovne podlage za delo državnih odvetnikov, nadomeščajo državne odvetnike pri zastopanju pred splošnimi sodišči prve stopnje, delovnimi in socialnimi sodišči prve stopnje ter upravnimi organi prve stopnje, spremljajo in proučujejo prakso sodišč in arbitraž ter opravljajo druge strokovne naloge, morajo ravnati tudi po navodilu državnih odvetnikov;</w:t>
      </w:r>
    </w:p>
    <w:p w14:paraId="398574A7" w14:textId="77777777" w:rsidR="00695AE2" w:rsidRPr="00503014" w:rsidRDefault="00695AE2" w:rsidP="00695AE2">
      <w:pPr>
        <w:numPr>
          <w:ilvl w:val="0"/>
          <w:numId w:val="74"/>
        </w:numPr>
        <w:spacing w:line="240" w:lineRule="auto"/>
        <w:contextualSpacing/>
        <w:jc w:val="both"/>
      </w:pPr>
      <w:r w:rsidRPr="00503014">
        <w:t xml:space="preserve">obseg pravnega znanja: </w:t>
      </w:r>
    </w:p>
    <w:p w14:paraId="4FD909FA" w14:textId="77777777" w:rsidR="00695AE2" w:rsidRPr="00503014" w:rsidRDefault="00695AE2" w:rsidP="00B76BA9">
      <w:pPr>
        <w:numPr>
          <w:ilvl w:val="0"/>
          <w:numId w:val="69"/>
        </w:numPr>
        <w:spacing w:line="240" w:lineRule="auto"/>
        <w:ind w:left="1440"/>
        <w:contextualSpacing/>
        <w:jc w:val="both"/>
      </w:pPr>
      <w:r w:rsidRPr="00503014">
        <w:rPr>
          <w:rFonts w:eastAsia="Calibri"/>
        </w:rPr>
        <w:t>nadpovprečen strokovni pristop pri reševanju zadev, nadpovprečno kakovostno izvedena opravila;</w:t>
      </w:r>
    </w:p>
    <w:p w14:paraId="54609775" w14:textId="77777777" w:rsidR="00695AE2" w:rsidRPr="00503014" w:rsidRDefault="00695AE2" w:rsidP="00B76BA9">
      <w:pPr>
        <w:numPr>
          <w:ilvl w:val="0"/>
          <w:numId w:val="69"/>
        </w:numPr>
        <w:spacing w:line="240" w:lineRule="auto"/>
        <w:ind w:left="1440"/>
        <w:contextualSpacing/>
        <w:jc w:val="both"/>
      </w:pPr>
      <w:r w:rsidRPr="00503014">
        <w:rPr>
          <w:rFonts w:eastAsia="Calibri"/>
        </w:rPr>
        <w:t>sposobnost celovitega pregleda vsebine zadeve iz vidika pravnega in dejanskega stanja;</w:t>
      </w:r>
    </w:p>
    <w:p w14:paraId="189F42F7" w14:textId="77777777" w:rsidR="00695AE2" w:rsidRPr="00503014" w:rsidRDefault="00695AE2" w:rsidP="00B76BA9">
      <w:pPr>
        <w:numPr>
          <w:ilvl w:val="0"/>
          <w:numId w:val="69"/>
        </w:numPr>
        <w:spacing w:line="240" w:lineRule="auto"/>
        <w:ind w:left="1440"/>
        <w:contextualSpacing/>
        <w:jc w:val="both"/>
      </w:pPr>
      <w:r w:rsidRPr="00503014">
        <w:t>sposobnost prepoznave odločilnih dejstev in dokazov;</w:t>
      </w:r>
    </w:p>
    <w:p w14:paraId="30D8C0F1" w14:textId="77777777" w:rsidR="00695AE2" w:rsidRPr="00503014" w:rsidRDefault="00695AE2" w:rsidP="00B76BA9">
      <w:pPr>
        <w:numPr>
          <w:ilvl w:val="0"/>
          <w:numId w:val="70"/>
        </w:numPr>
        <w:spacing w:line="240" w:lineRule="auto"/>
        <w:ind w:left="1440"/>
        <w:contextualSpacing/>
        <w:jc w:val="both"/>
      </w:pPr>
      <w:r w:rsidRPr="00503014">
        <w:t xml:space="preserve">sposobnost reševanja </w:t>
      </w:r>
      <w:r w:rsidRPr="00503014">
        <w:rPr>
          <w:rFonts w:eastAsia="Calibri"/>
        </w:rPr>
        <w:t xml:space="preserve">različnih pravnih vprašanj z vključevanjem sodne prakse in pravne teorije; </w:t>
      </w:r>
    </w:p>
    <w:p w14:paraId="066EB4C5" w14:textId="77777777" w:rsidR="00695AE2" w:rsidRPr="00503014" w:rsidRDefault="00695AE2" w:rsidP="00695AE2">
      <w:pPr>
        <w:numPr>
          <w:ilvl w:val="0"/>
          <w:numId w:val="75"/>
        </w:numPr>
        <w:spacing w:line="240" w:lineRule="auto"/>
        <w:contextualSpacing/>
        <w:jc w:val="both"/>
      </w:pPr>
      <w:r w:rsidRPr="00503014">
        <w:t xml:space="preserve">pravočasna, ustrezna in skrbna obravnava zadev; </w:t>
      </w:r>
    </w:p>
    <w:p w14:paraId="6019AD86" w14:textId="77777777" w:rsidR="00695AE2" w:rsidRPr="00503014" w:rsidRDefault="00695AE2" w:rsidP="00695AE2">
      <w:pPr>
        <w:numPr>
          <w:ilvl w:val="0"/>
          <w:numId w:val="75"/>
        </w:numPr>
        <w:autoSpaceDE w:val="0"/>
        <w:autoSpaceDN w:val="0"/>
        <w:adjustRightInd w:val="0"/>
        <w:spacing w:line="240" w:lineRule="auto"/>
        <w:jc w:val="both"/>
      </w:pPr>
      <w:r w:rsidRPr="00503014">
        <w:rPr>
          <w:rFonts w:eastAsia="Calibri"/>
        </w:rPr>
        <w:t xml:space="preserve">iniciativnost in proaktivno sodelovanje z zastopanimi subjekti; </w:t>
      </w:r>
      <w:r w:rsidRPr="00503014">
        <w:t xml:space="preserve">učinkovitost pri opravljanju nalog Državnega odvetništva; </w:t>
      </w:r>
    </w:p>
    <w:p w14:paraId="5422E437" w14:textId="77777777" w:rsidR="00695AE2" w:rsidRPr="00503014" w:rsidRDefault="00695AE2" w:rsidP="00695AE2">
      <w:pPr>
        <w:numPr>
          <w:ilvl w:val="0"/>
          <w:numId w:val="75"/>
        </w:numPr>
        <w:spacing w:line="240" w:lineRule="auto"/>
        <w:contextualSpacing/>
        <w:jc w:val="both"/>
      </w:pPr>
      <w:r w:rsidRPr="00503014">
        <w:t>sposobnost obravnave zapletenejših in kompleksnejših zadev;</w:t>
      </w:r>
    </w:p>
    <w:p w14:paraId="5999F975" w14:textId="77777777" w:rsidR="00695AE2" w:rsidRPr="00503014" w:rsidRDefault="00695AE2" w:rsidP="00695AE2">
      <w:pPr>
        <w:numPr>
          <w:ilvl w:val="0"/>
          <w:numId w:val="75"/>
        </w:numPr>
        <w:autoSpaceDE w:val="0"/>
        <w:autoSpaceDN w:val="0"/>
        <w:adjustRightInd w:val="0"/>
        <w:spacing w:line="240" w:lineRule="auto"/>
        <w:contextualSpacing/>
        <w:jc w:val="both"/>
      </w:pPr>
      <w:r w:rsidRPr="00503014">
        <w:rPr>
          <w:rFonts w:eastAsia="Calibri"/>
        </w:rPr>
        <w:t>pripravljenost za sodelovanje pri oblikovanju enotne prakse Državnega odvetništva RS ter upoštevanje enotno zavzetih stališč;</w:t>
      </w:r>
    </w:p>
    <w:p w14:paraId="0303D16D" w14:textId="77777777" w:rsidR="00695AE2" w:rsidRPr="00503014" w:rsidRDefault="00695AE2" w:rsidP="00695AE2">
      <w:pPr>
        <w:numPr>
          <w:ilvl w:val="0"/>
          <w:numId w:val="75"/>
        </w:numPr>
        <w:spacing w:line="240" w:lineRule="auto"/>
        <w:contextualSpacing/>
        <w:jc w:val="both"/>
      </w:pPr>
      <w:r w:rsidRPr="00503014">
        <w:t>poslovanje v skladu s Pravilnikom o poslovanju državnega odvetništva.</w:t>
      </w:r>
    </w:p>
    <w:p w14:paraId="448606DB" w14:textId="77777777" w:rsidR="00695AE2" w:rsidRPr="00503014" w:rsidRDefault="00695AE2" w:rsidP="00695AE2">
      <w:pPr>
        <w:spacing w:line="240" w:lineRule="auto"/>
        <w:ind w:left="720"/>
        <w:contextualSpacing/>
        <w:jc w:val="both"/>
      </w:pPr>
    </w:p>
    <w:p w14:paraId="64C1EB9B" w14:textId="77777777" w:rsidR="00695AE2" w:rsidRPr="00503014" w:rsidRDefault="00695AE2" w:rsidP="00695AE2">
      <w:pPr>
        <w:numPr>
          <w:ilvl w:val="0"/>
          <w:numId w:val="61"/>
        </w:numPr>
        <w:spacing w:line="240" w:lineRule="auto"/>
        <w:contextualSpacing/>
        <w:jc w:val="both"/>
      </w:pPr>
      <w:r w:rsidRPr="00503014">
        <w:t>Delovne sposobnosti:</w:t>
      </w:r>
    </w:p>
    <w:p w14:paraId="7E78874D" w14:textId="77777777" w:rsidR="00695AE2" w:rsidRPr="00503014" w:rsidRDefault="00695AE2" w:rsidP="00695AE2">
      <w:pPr>
        <w:numPr>
          <w:ilvl w:val="0"/>
          <w:numId w:val="76"/>
        </w:numPr>
        <w:spacing w:line="240" w:lineRule="auto"/>
        <w:contextualSpacing/>
        <w:jc w:val="both"/>
      </w:pPr>
      <w:r w:rsidRPr="00503014">
        <w:t>obseg dela – n</w:t>
      </w:r>
      <w:r w:rsidRPr="00503014">
        <w:rPr>
          <w:rFonts w:eastAsia="Calibri"/>
        </w:rPr>
        <w:t>adpovprečna količina opravljenega dela;</w:t>
      </w:r>
    </w:p>
    <w:p w14:paraId="70EB87AF" w14:textId="77777777" w:rsidR="00695AE2" w:rsidRPr="00503014" w:rsidRDefault="00695AE2" w:rsidP="00695AE2">
      <w:pPr>
        <w:numPr>
          <w:ilvl w:val="0"/>
          <w:numId w:val="76"/>
        </w:numPr>
        <w:spacing w:line="240" w:lineRule="auto"/>
        <w:contextualSpacing/>
        <w:jc w:val="both"/>
      </w:pPr>
      <w:r w:rsidRPr="00503014">
        <w:t xml:space="preserve">natančnost; </w:t>
      </w:r>
    </w:p>
    <w:p w14:paraId="16C14860" w14:textId="77777777" w:rsidR="00695AE2" w:rsidRPr="00503014" w:rsidRDefault="00695AE2" w:rsidP="00695AE2">
      <w:pPr>
        <w:numPr>
          <w:ilvl w:val="0"/>
          <w:numId w:val="76"/>
        </w:numPr>
        <w:spacing w:line="240" w:lineRule="auto"/>
        <w:contextualSpacing/>
        <w:jc w:val="both"/>
      </w:pPr>
      <w:r w:rsidRPr="00503014">
        <w:t>tekoče delo na zadevah oziroma predvsem n</w:t>
      </w:r>
      <w:r w:rsidRPr="00503014">
        <w:rPr>
          <w:rFonts w:eastAsia="Calibri"/>
        </w:rPr>
        <w:t>adpovprečno ažurno opravljeno delo;</w:t>
      </w:r>
    </w:p>
    <w:p w14:paraId="100251D6" w14:textId="77777777" w:rsidR="00695AE2" w:rsidRPr="00503014" w:rsidRDefault="00695AE2" w:rsidP="00695AE2">
      <w:pPr>
        <w:numPr>
          <w:ilvl w:val="0"/>
          <w:numId w:val="76"/>
        </w:numPr>
        <w:spacing w:line="240" w:lineRule="auto"/>
        <w:contextualSpacing/>
        <w:jc w:val="both"/>
      </w:pPr>
      <w:r w:rsidRPr="00503014">
        <w:t>smotrnost in ekonomičnost vodenja zadev;</w:t>
      </w:r>
    </w:p>
    <w:p w14:paraId="440A32BE" w14:textId="77777777" w:rsidR="00695AE2" w:rsidRPr="00503014" w:rsidRDefault="00695AE2" w:rsidP="00695AE2">
      <w:pPr>
        <w:numPr>
          <w:ilvl w:val="0"/>
          <w:numId w:val="76"/>
        </w:numPr>
        <w:spacing w:line="240" w:lineRule="auto"/>
        <w:contextualSpacing/>
        <w:jc w:val="both"/>
      </w:pPr>
      <w:r w:rsidRPr="00503014">
        <w:t>strukturiranost dela;</w:t>
      </w:r>
    </w:p>
    <w:p w14:paraId="56497F1C" w14:textId="77777777" w:rsidR="00695AE2" w:rsidRPr="00503014" w:rsidRDefault="00695AE2" w:rsidP="00695AE2">
      <w:pPr>
        <w:numPr>
          <w:ilvl w:val="0"/>
          <w:numId w:val="76"/>
        </w:numPr>
        <w:autoSpaceDE w:val="0"/>
        <w:autoSpaceDN w:val="0"/>
        <w:adjustRightInd w:val="0"/>
        <w:spacing w:line="240" w:lineRule="auto"/>
        <w:contextualSpacing/>
        <w:jc w:val="both"/>
      </w:pPr>
      <w:r w:rsidRPr="00503014">
        <w:rPr>
          <w:rFonts w:eastAsia="Calibri"/>
        </w:rPr>
        <w:t>organizacijske sposobnosti, izkazane pri organiziranju in razporejanju lastnega dela;</w:t>
      </w:r>
    </w:p>
    <w:p w14:paraId="5C9E3813" w14:textId="77777777" w:rsidR="00695AE2" w:rsidRPr="00503014" w:rsidRDefault="00695AE2" w:rsidP="00695AE2">
      <w:pPr>
        <w:numPr>
          <w:ilvl w:val="0"/>
          <w:numId w:val="76"/>
        </w:numPr>
        <w:spacing w:line="240" w:lineRule="auto"/>
        <w:contextualSpacing/>
        <w:jc w:val="both"/>
      </w:pPr>
      <w:r w:rsidRPr="00503014">
        <w:t>sposobnost logičnega in analitičnega mišljenja;</w:t>
      </w:r>
    </w:p>
    <w:p w14:paraId="3CDA281D" w14:textId="77777777" w:rsidR="00695AE2" w:rsidRPr="00503014" w:rsidRDefault="00695AE2" w:rsidP="00695AE2">
      <w:pPr>
        <w:numPr>
          <w:ilvl w:val="0"/>
          <w:numId w:val="76"/>
        </w:numPr>
        <w:spacing w:line="240" w:lineRule="auto"/>
        <w:contextualSpacing/>
        <w:jc w:val="both"/>
      </w:pPr>
      <w:r w:rsidRPr="00503014">
        <w:t>sposobnost argumentacije;</w:t>
      </w:r>
    </w:p>
    <w:p w14:paraId="1841BA01" w14:textId="77777777" w:rsidR="00695AE2" w:rsidRPr="00503014" w:rsidRDefault="00695AE2" w:rsidP="00695AE2">
      <w:pPr>
        <w:numPr>
          <w:ilvl w:val="0"/>
          <w:numId w:val="76"/>
        </w:numPr>
        <w:autoSpaceDE w:val="0"/>
        <w:autoSpaceDN w:val="0"/>
        <w:adjustRightInd w:val="0"/>
        <w:spacing w:line="240" w:lineRule="auto"/>
        <w:contextualSpacing/>
        <w:jc w:val="both"/>
        <w:rPr>
          <w:rFonts w:eastAsia="Calibri"/>
        </w:rPr>
      </w:pPr>
      <w:r w:rsidRPr="00503014">
        <w:rPr>
          <w:rFonts w:eastAsia="Calibri"/>
        </w:rPr>
        <w:t>odkrivanje novih metod dela.</w:t>
      </w:r>
    </w:p>
    <w:p w14:paraId="2C896732" w14:textId="77777777" w:rsidR="00695AE2" w:rsidRPr="00503014" w:rsidRDefault="00695AE2" w:rsidP="00695AE2">
      <w:pPr>
        <w:autoSpaceDE w:val="0"/>
        <w:autoSpaceDN w:val="0"/>
        <w:adjustRightInd w:val="0"/>
        <w:spacing w:line="240" w:lineRule="auto"/>
        <w:ind w:left="360"/>
        <w:jc w:val="both"/>
        <w:rPr>
          <w:rFonts w:eastAsia="Calibri"/>
        </w:rPr>
      </w:pPr>
    </w:p>
    <w:p w14:paraId="2E48B0CC" w14:textId="77777777" w:rsidR="00695AE2" w:rsidRPr="00503014" w:rsidRDefault="00695AE2" w:rsidP="00695AE2">
      <w:pPr>
        <w:numPr>
          <w:ilvl w:val="0"/>
          <w:numId w:val="61"/>
        </w:numPr>
        <w:autoSpaceDE w:val="0"/>
        <w:autoSpaceDN w:val="0"/>
        <w:adjustRightInd w:val="0"/>
        <w:spacing w:line="240" w:lineRule="auto"/>
        <w:contextualSpacing/>
        <w:jc w:val="both"/>
        <w:rPr>
          <w:rFonts w:eastAsia="Calibri"/>
        </w:rPr>
      </w:pPr>
      <w:r w:rsidRPr="00503014">
        <w:t>Sposobnosti ustnega in pisnega izražanja:</w:t>
      </w:r>
    </w:p>
    <w:p w14:paraId="35B34E76" w14:textId="77777777" w:rsidR="00695AE2" w:rsidRPr="00503014" w:rsidRDefault="00695AE2" w:rsidP="00695AE2">
      <w:pPr>
        <w:numPr>
          <w:ilvl w:val="0"/>
          <w:numId w:val="84"/>
        </w:numPr>
        <w:spacing w:line="240" w:lineRule="auto"/>
        <w:contextualSpacing/>
        <w:jc w:val="both"/>
      </w:pPr>
      <w:r w:rsidRPr="00503014">
        <w:t>uporaba knjižnega jezika;</w:t>
      </w:r>
    </w:p>
    <w:p w14:paraId="3AD5E23A" w14:textId="77777777" w:rsidR="00695AE2" w:rsidRPr="00503014" w:rsidRDefault="00695AE2" w:rsidP="00695AE2">
      <w:pPr>
        <w:numPr>
          <w:ilvl w:val="0"/>
          <w:numId w:val="84"/>
        </w:numPr>
        <w:spacing w:line="240" w:lineRule="auto"/>
        <w:contextualSpacing/>
        <w:jc w:val="both"/>
      </w:pPr>
      <w:r w:rsidRPr="00503014">
        <w:t>uporaba strokovne pravne terminologije;</w:t>
      </w:r>
    </w:p>
    <w:p w14:paraId="3A54B159" w14:textId="77777777" w:rsidR="00695AE2" w:rsidRPr="00503014" w:rsidRDefault="00695AE2" w:rsidP="00695AE2">
      <w:pPr>
        <w:numPr>
          <w:ilvl w:val="0"/>
          <w:numId w:val="84"/>
        </w:numPr>
        <w:spacing w:line="240" w:lineRule="auto"/>
        <w:contextualSpacing/>
        <w:jc w:val="both"/>
      </w:pPr>
      <w:r w:rsidRPr="00503014">
        <w:t>sposobnost jedrnatega in razumljivega načina podajanja pisnega in ustnega besedila;</w:t>
      </w:r>
    </w:p>
    <w:p w14:paraId="5E247AD9" w14:textId="77777777" w:rsidR="00695AE2" w:rsidRPr="00503014" w:rsidRDefault="00695AE2" w:rsidP="00695AE2">
      <w:pPr>
        <w:numPr>
          <w:ilvl w:val="0"/>
          <w:numId w:val="84"/>
        </w:numPr>
        <w:spacing w:line="240" w:lineRule="auto"/>
        <w:contextualSpacing/>
        <w:jc w:val="both"/>
      </w:pPr>
      <w:r w:rsidRPr="00503014">
        <w:t>sposobnost jasnega in strukturiranega izražanja.</w:t>
      </w:r>
    </w:p>
    <w:p w14:paraId="3889B6AB" w14:textId="77777777" w:rsidR="00695AE2" w:rsidRPr="00503014" w:rsidRDefault="00695AE2" w:rsidP="00695AE2">
      <w:pPr>
        <w:spacing w:line="240" w:lineRule="auto"/>
        <w:jc w:val="both"/>
      </w:pPr>
    </w:p>
    <w:p w14:paraId="16317DD0" w14:textId="77777777" w:rsidR="00695AE2" w:rsidRPr="00503014" w:rsidRDefault="00695AE2" w:rsidP="00695AE2">
      <w:pPr>
        <w:spacing w:line="240" w:lineRule="auto"/>
        <w:ind w:right="-142"/>
        <w:jc w:val="both"/>
      </w:pPr>
      <w:r w:rsidRPr="00503014">
        <w:rPr>
          <w:color w:val="000000" w:themeColor="text1"/>
        </w:rPr>
        <w:t>Generalna državna odvetnica po uvedbi nadzora nad delom kandidata za državnega odvetnika pozove osebo, ki je trenutno vodja oddelka, na katerem je razporejen kandidat za državnega odvetnika, ki je izrazil interes za premestitev na zahtevnejše delovno mesto državni odvetnik, k podaji mnenja glede dela kandidata za državnega odvetnika, takšno mnenje pa lahko pridobi tudi od drugih oseb, ki so bile na Državnem odvetništvu RS v preteklosti vodje kandidata za državnega odvetnika, ki je izrazil interes za premestitev na zahtevnejše delovno mesto državni odvetnik. Če oseba, ki je bila v preteklosti vodja določenega kandidata za državnega odvetnika, ni več zaposlena na Državnem odvetništvu RS, lahko generalna državna odvetnica mnenje glede dela kandidata za državnega odvetnika pridobi od namestnika nekdanje vodje oddelka, če pa tudi ta ni več zaposlen na Državnem odvetništvu RS, pa od drugega višjega državnega odvetnika, za katerega se utemeljeno predvideva, da je seznanjen s preteklim delom kandidata za državnega odvetnika, ki je izrazil interes za premestitev na zahtevnejše delovno mesto državni odvetnik. Generalna državna odvetnica lahko pridobi tudi mnenja o delu kandidata za državnega odvetnika od morebitnih dosedanjih mentorjev kandidata za državnega odvetnika, to je višjih državnih odvetnikov in državnih odvetnikov, s katerimi je kandidat za državnega odvetnika sodeloval v okviru modulov za usposabljanje ali pa pri pripravi strokovnih podlag za delo državnega odvetnika na podlagi 66. člena ZDOdv; prav tako lahko pridobi tudi mnenja vodij delovnih skupin, katerih član je bil kandidat za državnega odvetnika (ali v primeru, da vodja delovne skupine ni več zaposlen na Državnem odvetništvu RS, mnenje kakega drugega člana delovne skupine).  Generalna državna odvetnica za kandidata za državnega odvetnika, ki je izrazil interes za premestitev na zahtevnejše delovno mesto državni odvetnik, pridobi tudi vse letne ocene iz obdobja njegove zaposlitve na Državnem odvetništvu RS.</w:t>
      </w:r>
      <w:r w:rsidRPr="00503014">
        <w:t xml:space="preserve"> </w:t>
      </w:r>
      <w:r w:rsidRPr="00503014">
        <w:rPr>
          <w:color w:val="000000" w:themeColor="text1"/>
        </w:rPr>
        <w:t xml:space="preserve">Generalna državna odvetnica pregleda poročilo in končno poročilo o izvedenem nadzoru nad delom kandidata za državnega odvetnika ter pridobljena mnenja o delu kandidata za državnega odvetnika ter letne ocene kandidata za državnega odvetnika, nato pa opravi razgovor s kandidatom za državnega odvetnika, ki je izrazil interes za premestitev na zahtevnejše delovno mesto državni odvetnik. Na razgovoru je prisoten tudi vodja oddelka, na katerem obstaja potreba za opravljanje dela na delovnem mestu državni odvetnik oziroma prosto delovno mesto državni odvetnik, ki kandidatu za državnega odvetnika prav tako lahko zastavlja vprašanja. Pred izvedbo razgovora se kandidata za državnega odvetnika, ki je izrazil interes za premestitev na zahtevnejše delovno mesto državni odvetnik, seznani s pridobljenimi mnenji, glede katerih se kandidat za državnega odvetnika na razgovoru lahko izjavi.  </w:t>
      </w:r>
    </w:p>
    <w:p w14:paraId="03B4572E" w14:textId="77777777" w:rsidR="00695AE2" w:rsidRPr="00503014" w:rsidRDefault="00695AE2" w:rsidP="00695AE2">
      <w:pPr>
        <w:spacing w:line="240" w:lineRule="auto"/>
        <w:jc w:val="both"/>
        <w:rPr>
          <w:color w:val="000000" w:themeColor="text1"/>
        </w:rPr>
      </w:pPr>
    </w:p>
    <w:p w14:paraId="38811F2E" w14:textId="77777777" w:rsidR="00695AE2" w:rsidRPr="00503014" w:rsidRDefault="00695AE2" w:rsidP="00695AE2">
      <w:pPr>
        <w:widowControl w:val="0"/>
        <w:spacing w:line="240" w:lineRule="auto"/>
        <w:jc w:val="both"/>
        <w:rPr>
          <w:color w:val="000000" w:themeColor="text1"/>
        </w:rPr>
      </w:pPr>
      <w:r w:rsidRPr="00503014">
        <w:rPr>
          <w:color w:val="000000" w:themeColor="text1"/>
        </w:rPr>
        <w:t xml:space="preserve">Po izvedenem postopku po postopkovniku generalna državna odvetnica sprejme odločitev o morebitni premestitvi kandidata za državnega odvetnika na zahtevnejše delovno mesto državni odvetnik. Če je interes za premestitev na zahtevnejše eno ali več prostih delovnih mest državni odvetnik izkazalo več kandidatov za državnega odvetnika, kot je prostih mest, generalna državna odvetnica sprejme odločitev o premestitvi na zahtevnejše delovno mesto državni odvetnik glede tistega (tistih) kandidata (kandidatov) za državnega odvetnika, za katerega (katere) meni, da bo (bodo) glede na strokovno usposobljenost in osebnostno </w:t>
      </w:r>
      <w:r w:rsidRPr="00503014">
        <w:rPr>
          <w:color w:val="000000" w:themeColor="text1"/>
        </w:rPr>
        <w:lastRenderedPageBreak/>
        <w:t xml:space="preserve">primernost najbolje izvajal(i) naloge Državnega odvetništva.   </w:t>
      </w:r>
    </w:p>
    <w:p w14:paraId="4C960CA4" w14:textId="77777777" w:rsidR="00695AE2" w:rsidRPr="00503014" w:rsidRDefault="00695AE2" w:rsidP="00695AE2">
      <w:pPr>
        <w:spacing w:line="240" w:lineRule="auto"/>
        <w:ind w:left="720"/>
        <w:contextualSpacing/>
        <w:rPr>
          <w:color w:val="000000" w:themeColor="text1"/>
        </w:rPr>
      </w:pPr>
    </w:p>
    <w:p w14:paraId="336FBCC1" w14:textId="77777777" w:rsidR="00695AE2" w:rsidRPr="00503014" w:rsidRDefault="00695AE2" w:rsidP="00695AE2">
      <w:pPr>
        <w:spacing w:line="240" w:lineRule="auto"/>
        <w:jc w:val="both"/>
        <w:rPr>
          <w:rFonts w:eastAsia="Calibri"/>
        </w:rPr>
      </w:pPr>
      <w:r w:rsidRPr="00503014">
        <w:rPr>
          <w:rFonts w:eastAsia="Times New Roman"/>
          <w:lang w:eastAsia="sl-SI"/>
        </w:rPr>
        <w:t>Iskanje ustreznega ravnotežja med delovnimi potrebami Državnega odvetništva RS in omogočanjem kariernega napredka mladih kadrov je poseben izziv, še posebej znotraj omejitev kadrovskega načrta in razpoložljivih proračunskih sredstev. Opisani pristopi po mnenju Državnega odvetništva RS omogočajo predvidljivost, preglednost in pravičnost pri kariernem napredovanju kandidatov za državne odvetnike, hkrati pa zagotavljajo, da se na zahtevnejša delovna mesta premeščajo le posamezniki, ki kažejo ustrezne kompetence in pripravljenost za prevzem večjih odgovornosti.</w:t>
      </w:r>
    </w:p>
    <w:p w14:paraId="60A91566" w14:textId="77777777" w:rsidR="00695AE2" w:rsidRPr="00503014" w:rsidRDefault="00695AE2" w:rsidP="00695AE2">
      <w:pPr>
        <w:spacing w:line="240" w:lineRule="auto"/>
        <w:jc w:val="both"/>
        <w:rPr>
          <w:rFonts w:eastAsia="Calibri"/>
        </w:rPr>
      </w:pPr>
    </w:p>
    <w:p w14:paraId="51A6C95D" w14:textId="77777777" w:rsidR="00695AE2" w:rsidRPr="00503014" w:rsidRDefault="00695AE2" w:rsidP="00695AE2">
      <w:pPr>
        <w:spacing w:line="240" w:lineRule="auto"/>
        <w:jc w:val="both"/>
        <w:rPr>
          <w:rFonts w:eastAsia="Calibri"/>
        </w:rPr>
      </w:pPr>
      <w:r w:rsidRPr="00503014">
        <w:rPr>
          <w:rFonts w:eastAsia="Calibri"/>
        </w:rPr>
        <w:t xml:space="preserve">Učinki strateške usmeritve, v okviru katere Državno odvetništvo RS posebno skrb namenja kariernemu napredku mladih kadrov, so lepo razvidni iz preglednice in grafikona.  </w:t>
      </w:r>
    </w:p>
    <w:p w14:paraId="0687D06D" w14:textId="77777777" w:rsidR="00695AE2" w:rsidRPr="00503014" w:rsidRDefault="00695AE2" w:rsidP="00695AE2">
      <w:pPr>
        <w:spacing w:line="240" w:lineRule="auto"/>
        <w:jc w:val="both"/>
        <w:rPr>
          <w:rFonts w:eastAsia="Calibri"/>
        </w:rPr>
      </w:pPr>
    </w:p>
    <w:p w14:paraId="23539EB2" w14:textId="77777777" w:rsidR="00695AE2" w:rsidRPr="00503014" w:rsidRDefault="00695AE2" w:rsidP="00695AE2">
      <w:pPr>
        <w:spacing w:line="240" w:lineRule="auto"/>
        <w:jc w:val="both"/>
        <w:rPr>
          <w:rFonts w:eastAsia="Calibri"/>
          <w:sz w:val="20"/>
          <w:szCs w:val="20"/>
        </w:rPr>
      </w:pPr>
      <w:r w:rsidRPr="00503014">
        <w:rPr>
          <w:rFonts w:eastAsia="Calibri"/>
          <w:b/>
          <w:bCs/>
          <w:color w:val="007466"/>
          <w:sz w:val="20"/>
          <w:szCs w:val="20"/>
        </w:rPr>
        <w:t>Preglednica: Struktura zaposlenih v letih 2018–2025</w:t>
      </w:r>
    </w:p>
    <w:p w14:paraId="59FBD5E0" w14:textId="77777777" w:rsidR="00695AE2" w:rsidRPr="00503014" w:rsidRDefault="00695AE2" w:rsidP="00695AE2">
      <w:pPr>
        <w:spacing w:line="240" w:lineRule="auto"/>
        <w:jc w:val="both"/>
        <w:rPr>
          <w:rFonts w:eastAsia="Calibri"/>
          <w:sz w:val="20"/>
          <w:szCs w:val="20"/>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
        <w:gridCol w:w="1591"/>
        <w:gridCol w:w="1343"/>
        <w:gridCol w:w="2292"/>
        <w:gridCol w:w="3840"/>
      </w:tblGrid>
      <w:tr w:rsidR="00695AE2" w:rsidRPr="00503014" w14:paraId="1E232212" w14:textId="77777777" w:rsidTr="00980493">
        <w:trPr>
          <w:trHeight w:val="609"/>
        </w:trPr>
        <w:tc>
          <w:tcPr>
            <w:tcW w:w="0" w:type="auto"/>
            <w:vAlign w:val="center"/>
            <w:hideMark/>
          </w:tcPr>
          <w:p w14:paraId="2D48C998"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leto</w:t>
            </w:r>
          </w:p>
        </w:tc>
        <w:tc>
          <w:tcPr>
            <w:tcW w:w="0" w:type="auto"/>
            <w:vAlign w:val="center"/>
            <w:hideMark/>
          </w:tcPr>
          <w:p w14:paraId="5C6A902D"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višji državni odvetniki</w:t>
            </w:r>
          </w:p>
        </w:tc>
        <w:tc>
          <w:tcPr>
            <w:tcW w:w="0" w:type="auto"/>
            <w:vAlign w:val="center"/>
            <w:hideMark/>
          </w:tcPr>
          <w:p w14:paraId="7F2A04E1"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državni odvetniki</w:t>
            </w:r>
          </w:p>
        </w:tc>
        <w:tc>
          <w:tcPr>
            <w:tcW w:w="0" w:type="auto"/>
            <w:vAlign w:val="center"/>
          </w:tcPr>
          <w:p w14:paraId="0A0A3995"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kandidati za državnega odvetnika</w:t>
            </w:r>
          </w:p>
        </w:tc>
        <w:tc>
          <w:tcPr>
            <w:tcW w:w="0" w:type="auto"/>
            <w:vAlign w:val="center"/>
            <w:hideMark/>
          </w:tcPr>
          <w:p w14:paraId="454FB6C3"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skupaj državni odvetniki in kandidati za državnega odvetnika</w:t>
            </w:r>
          </w:p>
        </w:tc>
      </w:tr>
      <w:tr w:rsidR="00695AE2" w:rsidRPr="00503014" w14:paraId="6667CB1E" w14:textId="77777777" w:rsidTr="00980493">
        <w:trPr>
          <w:trHeight w:val="158"/>
        </w:trPr>
        <w:tc>
          <w:tcPr>
            <w:tcW w:w="0" w:type="auto"/>
            <w:vAlign w:val="center"/>
            <w:hideMark/>
          </w:tcPr>
          <w:p w14:paraId="44DECE1A"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2018</w:t>
            </w:r>
          </w:p>
        </w:tc>
        <w:tc>
          <w:tcPr>
            <w:tcW w:w="0" w:type="auto"/>
            <w:vAlign w:val="center"/>
            <w:hideMark/>
          </w:tcPr>
          <w:p w14:paraId="329592D0"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53</w:t>
            </w:r>
          </w:p>
        </w:tc>
        <w:tc>
          <w:tcPr>
            <w:tcW w:w="0" w:type="auto"/>
            <w:vAlign w:val="center"/>
            <w:hideMark/>
          </w:tcPr>
          <w:p w14:paraId="2F2E0776"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10</w:t>
            </w:r>
          </w:p>
        </w:tc>
        <w:tc>
          <w:tcPr>
            <w:tcW w:w="0" w:type="auto"/>
            <w:vAlign w:val="center"/>
            <w:hideMark/>
          </w:tcPr>
          <w:p w14:paraId="13E101CD"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23</w:t>
            </w:r>
          </w:p>
        </w:tc>
        <w:tc>
          <w:tcPr>
            <w:tcW w:w="0" w:type="auto"/>
            <w:vAlign w:val="center"/>
            <w:hideMark/>
          </w:tcPr>
          <w:p w14:paraId="3A0ED756"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33</w:t>
            </w:r>
          </w:p>
        </w:tc>
      </w:tr>
      <w:tr w:rsidR="00695AE2" w:rsidRPr="00503014" w14:paraId="60DDCFDF" w14:textId="77777777" w:rsidTr="00980493">
        <w:trPr>
          <w:trHeight w:val="158"/>
        </w:trPr>
        <w:tc>
          <w:tcPr>
            <w:tcW w:w="0" w:type="auto"/>
            <w:vAlign w:val="center"/>
            <w:hideMark/>
          </w:tcPr>
          <w:p w14:paraId="36E825AD"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2019</w:t>
            </w:r>
          </w:p>
        </w:tc>
        <w:tc>
          <w:tcPr>
            <w:tcW w:w="0" w:type="auto"/>
            <w:vAlign w:val="center"/>
            <w:hideMark/>
          </w:tcPr>
          <w:p w14:paraId="02FA2748"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55</w:t>
            </w:r>
          </w:p>
        </w:tc>
        <w:tc>
          <w:tcPr>
            <w:tcW w:w="0" w:type="auto"/>
            <w:vAlign w:val="center"/>
            <w:hideMark/>
          </w:tcPr>
          <w:p w14:paraId="51C1A8EE"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12</w:t>
            </w:r>
          </w:p>
        </w:tc>
        <w:tc>
          <w:tcPr>
            <w:tcW w:w="0" w:type="auto"/>
            <w:vAlign w:val="center"/>
            <w:hideMark/>
          </w:tcPr>
          <w:p w14:paraId="0D7AA003"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24</w:t>
            </w:r>
          </w:p>
        </w:tc>
        <w:tc>
          <w:tcPr>
            <w:tcW w:w="0" w:type="auto"/>
            <w:vAlign w:val="center"/>
            <w:hideMark/>
          </w:tcPr>
          <w:p w14:paraId="34594CA3"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36</w:t>
            </w:r>
          </w:p>
        </w:tc>
      </w:tr>
      <w:tr w:rsidR="00695AE2" w:rsidRPr="00503014" w14:paraId="737F6D12" w14:textId="77777777" w:rsidTr="00980493">
        <w:trPr>
          <w:trHeight w:val="158"/>
        </w:trPr>
        <w:tc>
          <w:tcPr>
            <w:tcW w:w="0" w:type="auto"/>
            <w:vAlign w:val="center"/>
            <w:hideMark/>
          </w:tcPr>
          <w:p w14:paraId="387C82DE"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2020</w:t>
            </w:r>
          </w:p>
        </w:tc>
        <w:tc>
          <w:tcPr>
            <w:tcW w:w="0" w:type="auto"/>
            <w:vAlign w:val="center"/>
            <w:hideMark/>
          </w:tcPr>
          <w:p w14:paraId="1BB544DC"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53</w:t>
            </w:r>
          </w:p>
        </w:tc>
        <w:tc>
          <w:tcPr>
            <w:tcW w:w="0" w:type="auto"/>
            <w:vAlign w:val="center"/>
            <w:hideMark/>
          </w:tcPr>
          <w:p w14:paraId="141F66F8"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14</w:t>
            </w:r>
          </w:p>
        </w:tc>
        <w:tc>
          <w:tcPr>
            <w:tcW w:w="0" w:type="auto"/>
            <w:vAlign w:val="center"/>
            <w:hideMark/>
          </w:tcPr>
          <w:p w14:paraId="13BDF0AB"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31</w:t>
            </w:r>
          </w:p>
        </w:tc>
        <w:tc>
          <w:tcPr>
            <w:tcW w:w="0" w:type="auto"/>
            <w:vAlign w:val="center"/>
            <w:hideMark/>
          </w:tcPr>
          <w:p w14:paraId="78C688EA"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45</w:t>
            </w:r>
          </w:p>
        </w:tc>
      </w:tr>
      <w:tr w:rsidR="00695AE2" w:rsidRPr="00503014" w14:paraId="76018FF9" w14:textId="77777777" w:rsidTr="00980493">
        <w:trPr>
          <w:trHeight w:val="158"/>
        </w:trPr>
        <w:tc>
          <w:tcPr>
            <w:tcW w:w="0" w:type="auto"/>
            <w:vAlign w:val="center"/>
            <w:hideMark/>
          </w:tcPr>
          <w:p w14:paraId="7A883350"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2021</w:t>
            </w:r>
          </w:p>
        </w:tc>
        <w:tc>
          <w:tcPr>
            <w:tcW w:w="0" w:type="auto"/>
            <w:vAlign w:val="center"/>
            <w:hideMark/>
          </w:tcPr>
          <w:p w14:paraId="562573EE"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54</w:t>
            </w:r>
          </w:p>
        </w:tc>
        <w:tc>
          <w:tcPr>
            <w:tcW w:w="0" w:type="auto"/>
            <w:vAlign w:val="center"/>
            <w:hideMark/>
          </w:tcPr>
          <w:p w14:paraId="75DD52A4"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16</w:t>
            </w:r>
          </w:p>
        </w:tc>
        <w:tc>
          <w:tcPr>
            <w:tcW w:w="0" w:type="auto"/>
            <w:vAlign w:val="center"/>
            <w:hideMark/>
          </w:tcPr>
          <w:p w14:paraId="46B84DF8"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33</w:t>
            </w:r>
          </w:p>
        </w:tc>
        <w:tc>
          <w:tcPr>
            <w:tcW w:w="0" w:type="auto"/>
            <w:vAlign w:val="center"/>
            <w:hideMark/>
          </w:tcPr>
          <w:p w14:paraId="27940E9E"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49</w:t>
            </w:r>
          </w:p>
        </w:tc>
      </w:tr>
      <w:tr w:rsidR="00695AE2" w:rsidRPr="00503014" w14:paraId="3BB5EF62" w14:textId="77777777" w:rsidTr="00980493">
        <w:trPr>
          <w:trHeight w:val="158"/>
        </w:trPr>
        <w:tc>
          <w:tcPr>
            <w:tcW w:w="0" w:type="auto"/>
            <w:vAlign w:val="center"/>
          </w:tcPr>
          <w:p w14:paraId="34FD35B9"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2022</w:t>
            </w:r>
          </w:p>
        </w:tc>
        <w:tc>
          <w:tcPr>
            <w:tcW w:w="0" w:type="auto"/>
            <w:vAlign w:val="center"/>
          </w:tcPr>
          <w:p w14:paraId="7102D431"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55</w:t>
            </w:r>
          </w:p>
        </w:tc>
        <w:tc>
          <w:tcPr>
            <w:tcW w:w="0" w:type="auto"/>
            <w:vAlign w:val="center"/>
          </w:tcPr>
          <w:p w14:paraId="149361C7"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15</w:t>
            </w:r>
          </w:p>
        </w:tc>
        <w:tc>
          <w:tcPr>
            <w:tcW w:w="0" w:type="auto"/>
            <w:vAlign w:val="center"/>
          </w:tcPr>
          <w:p w14:paraId="751ABA13"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31</w:t>
            </w:r>
          </w:p>
        </w:tc>
        <w:tc>
          <w:tcPr>
            <w:tcW w:w="0" w:type="auto"/>
            <w:vAlign w:val="center"/>
          </w:tcPr>
          <w:p w14:paraId="1D61603E"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46</w:t>
            </w:r>
          </w:p>
        </w:tc>
      </w:tr>
      <w:tr w:rsidR="00695AE2" w:rsidRPr="00503014" w14:paraId="25C3DA15" w14:textId="77777777" w:rsidTr="00980493">
        <w:trPr>
          <w:trHeight w:val="158"/>
        </w:trPr>
        <w:tc>
          <w:tcPr>
            <w:tcW w:w="0" w:type="auto"/>
            <w:vAlign w:val="center"/>
          </w:tcPr>
          <w:p w14:paraId="4DAD59AB"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2023</w:t>
            </w:r>
          </w:p>
        </w:tc>
        <w:tc>
          <w:tcPr>
            <w:tcW w:w="0" w:type="auto"/>
            <w:vAlign w:val="center"/>
          </w:tcPr>
          <w:p w14:paraId="0E55D183"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55</w:t>
            </w:r>
          </w:p>
        </w:tc>
        <w:tc>
          <w:tcPr>
            <w:tcW w:w="0" w:type="auto"/>
            <w:vAlign w:val="center"/>
          </w:tcPr>
          <w:p w14:paraId="0D5340A5"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16</w:t>
            </w:r>
          </w:p>
        </w:tc>
        <w:tc>
          <w:tcPr>
            <w:tcW w:w="0" w:type="auto"/>
            <w:vAlign w:val="center"/>
          </w:tcPr>
          <w:p w14:paraId="4DE3BA4E"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30</w:t>
            </w:r>
          </w:p>
        </w:tc>
        <w:tc>
          <w:tcPr>
            <w:tcW w:w="0" w:type="auto"/>
            <w:vAlign w:val="center"/>
          </w:tcPr>
          <w:p w14:paraId="346F1D4D"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46</w:t>
            </w:r>
          </w:p>
        </w:tc>
      </w:tr>
      <w:tr w:rsidR="00695AE2" w:rsidRPr="00503014" w14:paraId="222A81F2" w14:textId="77777777" w:rsidTr="00980493">
        <w:trPr>
          <w:trHeight w:val="158"/>
        </w:trPr>
        <w:tc>
          <w:tcPr>
            <w:tcW w:w="0" w:type="auto"/>
            <w:vAlign w:val="center"/>
          </w:tcPr>
          <w:p w14:paraId="65921990"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2024</w:t>
            </w:r>
          </w:p>
        </w:tc>
        <w:tc>
          <w:tcPr>
            <w:tcW w:w="0" w:type="auto"/>
            <w:vAlign w:val="center"/>
          </w:tcPr>
          <w:p w14:paraId="30EBA386"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54</w:t>
            </w:r>
          </w:p>
        </w:tc>
        <w:tc>
          <w:tcPr>
            <w:tcW w:w="0" w:type="auto"/>
            <w:vAlign w:val="center"/>
          </w:tcPr>
          <w:p w14:paraId="5AED08F8"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25</w:t>
            </w:r>
          </w:p>
        </w:tc>
        <w:tc>
          <w:tcPr>
            <w:tcW w:w="0" w:type="auto"/>
            <w:vAlign w:val="center"/>
          </w:tcPr>
          <w:p w14:paraId="527E0243"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21</w:t>
            </w:r>
          </w:p>
        </w:tc>
        <w:tc>
          <w:tcPr>
            <w:tcW w:w="0" w:type="auto"/>
            <w:vAlign w:val="center"/>
          </w:tcPr>
          <w:p w14:paraId="47299AF5"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46</w:t>
            </w:r>
          </w:p>
        </w:tc>
      </w:tr>
      <w:tr w:rsidR="00695AE2" w:rsidRPr="00503014" w14:paraId="61884D7C" w14:textId="77777777" w:rsidTr="00980493">
        <w:trPr>
          <w:trHeight w:val="158"/>
        </w:trPr>
        <w:tc>
          <w:tcPr>
            <w:tcW w:w="0" w:type="auto"/>
            <w:vAlign w:val="center"/>
          </w:tcPr>
          <w:p w14:paraId="53C7EBB1"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2025</w:t>
            </w:r>
          </w:p>
        </w:tc>
        <w:tc>
          <w:tcPr>
            <w:tcW w:w="0" w:type="auto"/>
            <w:vAlign w:val="center"/>
          </w:tcPr>
          <w:p w14:paraId="37A9C9C8"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56</w:t>
            </w:r>
          </w:p>
        </w:tc>
        <w:tc>
          <w:tcPr>
            <w:tcW w:w="0" w:type="auto"/>
            <w:vAlign w:val="center"/>
          </w:tcPr>
          <w:p w14:paraId="07AEC764"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27</w:t>
            </w:r>
          </w:p>
        </w:tc>
        <w:tc>
          <w:tcPr>
            <w:tcW w:w="0" w:type="auto"/>
            <w:vAlign w:val="center"/>
          </w:tcPr>
          <w:p w14:paraId="5723F09D"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20</w:t>
            </w:r>
          </w:p>
        </w:tc>
        <w:tc>
          <w:tcPr>
            <w:tcW w:w="0" w:type="auto"/>
            <w:vAlign w:val="center"/>
          </w:tcPr>
          <w:p w14:paraId="18D29419" w14:textId="77777777" w:rsidR="00695AE2" w:rsidRPr="00503014" w:rsidRDefault="00695AE2" w:rsidP="00980493">
            <w:pPr>
              <w:spacing w:line="240" w:lineRule="auto"/>
              <w:jc w:val="both"/>
              <w:rPr>
                <w:rFonts w:eastAsia="Times New Roman"/>
                <w:color w:val="000000"/>
                <w:sz w:val="20"/>
                <w:szCs w:val="20"/>
                <w:lang w:eastAsia="sl-SI"/>
              </w:rPr>
            </w:pPr>
            <w:r w:rsidRPr="00503014">
              <w:rPr>
                <w:rFonts w:eastAsia="Times New Roman"/>
                <w:color w:val="000000"/>
                <w:sz w:val="20"/>
                <w:szCs w:val="20"/>
                <w:lang w:eastAsia="sl-SI"/>
              </w:rPr>
              <w:t>47</w:t>
            </w:r>
          </w:p>
        </w:tc>
      </w:tr>
    </w:tbl>
    <w:p w14:paraId="4511760C" w14:textId="77777777" w:rsidR="00695AE2" w:rsidRPr="00503014" w:rsidRDefault="00695AE2" w:rsidP="00695AE2">
      <w:pPr>
        <w:spacing w:line="240" w:lineRule="auto"/>
        <w:jc w:val="both"/>
        <w:rPr>
          <w:rFonts w:eastAsia="Calibri"/>
          <w:b/>
          <w:bCs/>
          <w:color w:val="007466"/>
        </w:rPr>
      </w:pPr>
    </w:p>
    <w:p w14:paraId="49EA88B2" w14:textId="77777777" w:rsidR="00695AE2" w:rsidRPr="00503014" w:rsidRDefault="00695AE2" w:rsidP="00695AE2">
      <w:pPr>
        <w:spacing w:line="240" w:lineRule="auto"/>
        <w:jc w:val="both"/>
        <w:rPr>
          <w:rFonts w:eastAsia="Calibri"/>
          <w:b/>
          <w:bCs/>
          <w:color w:val="007466"/>
          <w:sz w:val="20"/>
          <w:szCs w:val="20"/>
        </w:rPr>
      </w:pPr>
      <w:r w:rsidRPr="00503014">
        <w:rPr>
          <w:rFonts w:eastAsia="Calibri"/>
          <w:b/>
          <w:bCs/>
          <w:color w:val="007466"/>
          <w:sz w:val="20"/>
          <w:szCs w:val="20"/>
        </w:rPr>
        <w:t>Grafikon: Struktura zaposlenih v letih 2018 – 2025</w:t>
      </w:r>
    </w:p>
    <w:p w14:paraId="458AE271" w14:textId="77777777" w:rsidR="00695AE2" w:rsidRPr="00503014" w:rsidRDefault="00695AE2" w:rsidP="00695AE2">
      <w:pPr>
        <w:spacing w:line="240" w:lineRule="auto"/>
        <w:jc w:val="both"/>
        <w:rPr>
          <w:rFonts w:eastAsia="Calibri"/>
          <w:b/>
          <w:bCs/>
          <w:color w:val="007466"/>
          <w:sz w:val="20"/>
          <w:szCs w:val="20"/>
        </w:rPr>
      </w:pPr>
    </w:p>
    <w:p w14:paraId="7C1DD15A" w14:textId="77777777" w:rsidR="00695AE2" w:rsidRPr="00503014" w:rsidRDefault="00695AE2" w:rsidP="00695AE2">
      <w:pPr>
        <w:spacing w:line="240" w:lineRule="auto"/>
        <w:jc w:val="both"/>
        <w:rPr>
          <w:rFonts w:eastAsia="Calibri"/>
          <w:b/>
          <w:bCs/>
          <w:color w:val="007466"/>
          <w:sz w:val="20"/>
          <w:szCs w:val="20"/>
        </w:rPr>
      </w:pPr>
      <w:r w:rsidRPr="00503014">
        <w:rPr>
          <w:noProof/>
        </w:rPr>
        <w:drawing>
          <wp:inline distT="0" distB="0" distL="0" distR="0" wp14:anchorId="0F31DBC2" wp14:editId="06C86D9C">
            <wp:extent cx="5666704" cy="3419341"/>
            <wp:effectExtent l="0" t="0" r="10795" b="10160"/>
            <wp:docPr id="1421841388" name="Grafikon 1">
              <a:extLst xmlns:a="http://schemas.openxmlformats.org/drawingml/2006/main">
                <a:ext uri="{FF2B5EF4-FFF2-40B4-BE49-F238E27FC236}">
                  <a16:creationId xmlns:a16="http://schemas.microsoft.com/office/drawing/2014/main" id="{655F7088-D899-1C15-C381-70363C8DE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F574C4" w14:textId="77777777" w:rsidR="00695AE2" w:rsidRPr="00503014" w:rsidRDefault="00695AE2" w:rsidP="00695AE2">
      <w:pPr>
        <w:spacing w:line="240" w:lineRule="auto"/>
        <w:jc w:val="both"/>
        <w:rPr>
          <w:rFonts w:eastAsia="Calibri"/>
          <w:szCs w:val="20"/>
          <w:lang w:eastAsia="sl-SI"/>
        </w:rPr>
      </w:pPr>
    </w:p>
    <w:p w14:paraId="498D3B79" w14:textId="77777777" w:rsidR="00695AE2" w:rsidRPr="00503014" w:rsidRDefault="00695AE2" w:rsidP="00695AE2">
      <w:pPr>
        <w:spacing w:line="240" w:lineRule="auto"/>
        <w:jc w:val="both"/>
        <w:rPr>
          <w:rFonts w:eastAsia="Times New Roman"/>
          <w:lang w:eastAsia="sl-SI"/>
        </w:rPr>
      </w:pPr>
      <w:r w:rsidRPr="00503014">
        <w:rPr>
          <w:rFonts w:eastAsia="Calibri"/>
          <w:szCs w:val="20"/>
          <w:lang w:eastAsia="sl-SI"/>
        </w:rPr>
        <w:lastRenderedPageBreak/>
        <w:t xml:space="preserve">Število mest višjih državnih odvetnikov v obdobju od uveljavitve ZDOdv dalje je praktično enako, opazen pa je trend postopnega </w:t>
      </w:r>
      <w:r w:rsidRPr="00503014">
        <w:rPr>
          <w:rFonts w:eastAsia="Calibri"/>
        </w:rPr>
        <w:t xml:space="preserve">povečevanja števila zaposlenih na delovnih mestih državnih odvetnikov ter zmanjševanje števila zaposlenih na delovnih mestih kandidatov za državne odvetnike, kar pomeni, da ima Državno odvetništvo RS </w:t>
      </w:r>
      <w:r w:rsidRPr="00503014">
        <w:rPr>
          <w:rFonts w:eastAsia="Times New Roman"/>
          <w:lang w:eastAsia="sl-SI"/>
        </w:rPr>
        <w:t>za mlade in uspešne pravnike</w:t>
      </w:r>
      <w:r w:rsidRPr="00503014">
        <w:rPr>
          <w:rFonts w:eastAsia="Calibri"/>
        </w:rPr>
        <w:t xml:space="preserve"> vzpostavljen ustrezen </w:t>
      </w:r>
      <w:r w:rsidRPr="00503014">
        <w:rPr>
          <w:rFonts w:eastAsia="Times New Roman"/>
          <w:lang w:eastAsia="sl-SI"/>
        </w:rPr>
        <w:t xml:space="preserve">karierni sistem. </w:t>
      </w:r>
    </w:p>
    <w:p w14:paraId="4A2F7A9B" w14:textId="77777777" w:rsidR="00695AE2" w:rsidRPr="00503014" w:rsidRDefault="00695AE2" w:rsidP="00695AE2">
      <w:pPr>
        <w:spacing w:line="240" w:lineRule="auto"/>
        <w:jc w:val="both"/>
        <w:rPr>
          <w:rFonts w:eastAsia="Times New Roman"/>
          <w:lang w:eastAsia="sl-SI"/>
        </w:rPr>
      </w:pPr>
    </w:p>
    <w:p w14:paraId="1A7F6A7F"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Z opisanimi pristopi si Državno odvetništvo RS prizadeva spodbuditi zanimanje mladih pravnikov za delo na Državnem odvetništvu RS, kjer je </w:t>
      </w:r>
      <w:r w:rsidRPr="00503014">
        <w:rPr>
          <w:rFonts w:eastAsia="Calibri"/>
        </w:rPr>
        <w:t xml:space="preserve">omogočen njihov strukturiran razvoj ter najboljšim od njih tudi ustrezen karierni napredek, kar vse bo </w:t>
      </w:r>
      <w:r w:rsidRPr="00503014">
        <w:rPr>
          <w:rFonts w:eastAsia="Times New Roman"/>
          <w:lang w:eastAsia="sl-SI"/>
        </w:rPr>
        <w:t>zagotovilo dolgoročno stabilnost kadrov in vzpostavilo pogoje za dolgoročno kakovostno izvajanje nalog organa v skladu z najvišjimi strokovnimi standardi.</w:t>
      </w:r>
    </w:p>
    <w:p w14:paraId="252549FA" w14:textId="77777777" w:rsidR="00695AE2" w:rsidRPr="00503014" w:rsidRDefault="00695AE2" w:rsidP="00695AE2">
      <w:pPr>
        <w:spacing w:line="240" w:lineRule="auto"/>
        <w:jc w:val="both"/>
        <w:rPr>
          <w:rFonts w:eastAsia="Times New Roman"/>
          <w:lang w:eastAsia="sl-SI"/>
        </w:rPr>
      </w:pPr>
    </w:p>
    <w:p w14:paraId="2293CC5F" w14:textId="77777777" w:rsidR="00695AE2" w:rsidRPr="00503014" w:rsidRDefault="00695AE2" w:rsidP="00695AE2">
      <w:pPr>
        <w:pStyle w:val="Naslov4"/>
      </w:pPr>
      <w:bookmarkStart w:id="118" w:name="_Toc223093744"/>
      <w:r w:rsidRPr="00503014">
        <w:t>Položaj Državnega odvetništva RS v plačnem sistemu javnega sektorja</w:t>
      </w:r>
      <w:bookmarkEnd w:id="118"/>
    </w:p>
    <w:p w14:paraId="1B14161B" w14:textId="77777777" w:rsidR="00695AE2" w:rsidRPr="00503014" w:rsidRDefault="00695AE2" w:rsidP="00695AE2">
      <w:pPr>
        <w:spacing w:line="240" w:lineRule="auto"/>
        <w:jc w:val="both"/>
        <w:rPr>
          <w:rFonts w:cstheme="minorHAnsi"/>
          <w:b/>
          <w:bCs/>
          <w:color w:val="007466"/>
          <w:szCs w:val="28"/>
        </w:rPr>
      </w:pPr>
    </w:p>
    <w:p w14:paraId="6CA0C91F" w14:textId="77777777" w:rsidR="00695AE2" w:rsidRPr="00503014" w:rsidRDefault="00695AE2" w:rsidP="00695AE2">
      <w:pPr>
        <w:pStyle w:val="Naslov5"/>
        <w:ind w:left="0" w:firstLine="0"/>
        <w:rPr>
          <w:iCs/>
        </w:rPr>
      </w:pPr>
      <w:bookmarkStart w:id="119" w:name="_Toc223093745"/>
      <w:bookmarkStart w:id="120" w:name="_Toc191561796"/>
      <w:r w:rsidRPr="00503014">
        <w:rPr>
          <w:iCs/>
        </w:rPr>
        <w:t>Pogled v preteklost – e</w:t>
      </w:r>
      <w:r w:rsidRPr="00503014">
        <w:t>notna načela glede urejanja plač znotraj pravosodnega sistema</w:t>
      </w:r>
      <w:bookmarkEnd w:id="119"/>
      <w:r w:rsidRPr="00503014">
        <w:t xml:space="preserve"> </w:t>
      </w:r>
      <w:bookmarkEnd w:id="120"/>
    </w:p>
    <w:p w14:paraId="6F5096C1" w14:textId="77777777" w:rsidR="00695AE2" w:rsidRPr="00503014" w:rsidRDefault="00695AE2" w:rsidP="00695AE2">
      <w:pPr>
        <w:spacing w:line="240" w:lineRule="auto"/>
        <w:jc w:val="both"/>
        <w:rPr>
          <w:rFonts w:asciiTheme="minorHAnsi" w:eastAsia="Times New Roman" w:hAnsiTheme="minorHAnsi" w:cstheme="minorHAnsi"/>
          <w:lang w:eastAsia="sl-SI"/>
        </w:rPr>
      </w:pPr>
    </w:p>
    <w:p w14:paraId="01B46AEB"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Državno odvetništvo RS izvaja številne izjemno pomembne pristojnosti, ki jih ne izvaja noben drug</w:t>
      </w:r>
      <w:r>
        <w:rPr>
          <w:rFonts w:eastAsia="Times New Roman"/>
          <w:lang w:eastAsia="sl-SI"/>
        </w:rPr>
        <w:t xml:space="preserve"> </w:t>
      </w:r>
      <w:r w:rsidRPr="00503014">
        <w:rPr>
          <w:rFonts w:eastAsia="Times New Roman"/>
          <w:lang w:eastAsia="sl-SI"/>
        </w:rPr>
        <w:t xml:space="preserve">organ na področju pravosodja. Po zakonu krepi delovanje pravne države, je zastopnik javnega interesa v upravnem sporu (institucionalna pristojnost), varuje premoženjske in druge pravice in interese države prek zastopanja (izvirna oblastna pristojnost) pred vsemi nacionalnimi sodišči vseh stopenj, pred tujimi in mednarodnimi sodišči ter tujimi in mednarodnimi arbitražami, poleg tega pa tudi pred upravnimi organi. Pomembne pristojnosti ima na področju mirnega reševanja sporov in s tem pri zmanjševanju obremenjenosti sodišč. </w:t>
      </w:r>
    </w:p>
    <w:p w14:paraId="01767624" w14:textId="77777777" w:rsidR="00695AE2" w:rsidRPr="00503014" w:rsidRDefault="00695AE2" w:rsidP="00695AE2">
      <w:pPr>
        <w:spacing w:line="240" w:lineRule="auto"/>
        <w:jc w:val="both"/>
        <w:rPr>
          <w:rFonts w:eastAsia="Times New Roman"/>
          <w:lang w:eastAsia="sl-SI"/>
        </w:rPr>
      </w:pPr>
    </w:p>
    <w:p w14:paraId="389F0278" w14:textId="77777777" w:rsidR="00695AE2" w:rsidRPr="00503014" w:rsidRDefault="00695AE2" w:rsidP="00695AE2">
      <w:pPr>
        <w:spacing w:line="240" w:lineRule="auto"/>
        <w:jc w:val="both"/>
        <w:rPr>
          <w:rFonts w:cstheme="minorHAnsi"/>
          <w:kern w:val="2"/>
          <w14:ligatures w14:val="standardContextual"/>
        </w:rPr>
      </w:pPr>
      <w:r w:rsidRPr="00503014">
        <w:rPr>
          <w:rFonts w:eastAsia="Times New Roman"/>
        </w:rPr>
        <w:t xml:space="preserve">Do reforme v letu 2017 je ZDPra vseboval določbo, ki je izhodiščne plačne razrede državnih pravobranilcev izrecno vezala na izhodiščne plačne razrede sodnikov. </w:t>
      </w:r>
      <w:r w:rsidRPr="00503014">
        <w:rPr>
          <w:rFonts w:cstheme="minorHAnsi"/>
          <w:kern w:val="2"/>
          <w14:ligatures w14:val="standardContextual"/>
        </w:rPr>
        <w:t xml:space="preserve">Državni pravobranilec je bil uvrščen v enake plačne razrede kot višji državni tožilec oziroma višji sodnik z izjemo plačnega razreda višjega državnega tožilca svetnika in višjega sodnika svetnika, ki sta bila uvrščena za en plačni razred višje. Pomočnik državnega pravobranilca pa je bil umeščen enako kot okrajni državni tožilec oziroma okrajni sodnik, z enako izjemo svetniškega položaja. Svetniškega položaja ne državni pravobranilec in ne pomočnik državnega pravobranilca nista imela in zato tudi nista mogla dosegati tega plačnega razreda. </w:t>
      </w:r>
    </w:p>
    <w:p w14:paraId="472E99B1" w14:textId="77777777" w:rsidR="00695AE2" w:rsidRDefault="00695AE2" w:rsidP="00695AE2">
      <w:pPr>
        <w:spacing w:line="240" w:lineRule="auto"/>
        <w:jc w:val="both"/>
        <w:rPr>
          <w:lang w:eastAsia="sl-SI"/>
        </w:rPr>
      </w:pPr>
    </w:p>
    <w:p w14:paraId="61CAFBCF" w14:textId="77777777" w:rsidR="00695AE2" w:rsidRPr="00503014" w:rsidRDefault="00695AE2" w:rsidP="00695AE2">
      <w:pPr>
        <w:spacing w:line="240" w:lineRule="auto"/>
        <w:jc w:val="both"/>
        <w:rPr>
          <w:rFonts w:eastAsia="Times New Roman"/>
          <w:lang w:eastAsia="sl-SI"/>
        </w:rPr>
      </w:pPr>
      <w:r w:rsidRPr="00503014">
        <w:rPr>
          <w:lang w:eastAsia="sl-SI"/>
        </w:rPr>
        <w:t xml:space="preserve">Zaradi uveljavljenih enotnih načel glede urejanja plač in vzpostavljene primerljivosti plač je bila ureditev plač državnih odvetnikov (prej državnih pravobranilcev) v preteklosti že večkrat izpeljana v temelju na enak način, kot je to veljalo za sodnike in državne tožilce.  </w:t>
      </w:r>
    </w:p>
    <w:p w14:paraId="432B0C3D" w14:textId="77777777" w:rsidR="00695AE2" w:rsidRPr="00503014" w:rsidRDefault="00695AE2" w:rsidP="00695AE2">
      <w:pPr>
        <w:spacing w:line="240" w:lineRule="auto"/>
        <w:jc w:val="both"/>
      </w:pPr>
    </w:p>
    <w:p w14:paraId="65816A68" w14:textId="77777777" w:rsidR="00695AE2" w:rsidRPr="00503014" w:rsidRDefault="00695AE2" w:rsidP="00695AE2">
      <w:pPr>
        <w:spacing w:line="240" w:lineRule="auto"/>
        <w:jc w:val="both"/>
      </w:pPr>
      <w:r w:rsidRPr="00503014">
        <w:t xml:space="preserve">Zaradi enotnosti plačne ureditve so tudi odločitve </w:t>
      </w:r>
      <w:r>
        <w:t>U</w:t>
      </w:r>
      <w:r w:rsidRPr="00503014">
        <w:t xml:space="preserve">stavnega sodišča, s katerimi je bila na primer ugotovljena protiustavnost določb ZSPJS, kolikor se je nanašala na sodnike, privedle v zakonodajne spremembe, ki pri odpravi neustavnosti niso zajele samo ureditve sodniških plač, pač pa tudi plače državnih tožilcev in državnih pravobranilcev, zdaj državnih odvetnikov. Uresničitev citirane ustavne odločbe pomeni ZSPJS-L (Uradni list RS, št. 91/2009 z dne 13. 11. 2009), ki je normativno uredil plače enako za vse pravosodne funkcionarje. </w:t>
      </w:r>
    </w:p>
    <w:p w14:paraId="30DC075A" w14:textId="77777777" w:rsidR="00695AE2" w:rsidRPr="00503014" w:rsidRDefault="00695AE2" w:rsidP="00695AE2">
      <w:pPr>
        <w:spacing w:line="240" w:lineRule="auto"/>
        <w:jc w:val="both"/>
      </w:pPr>
    </w:p>
    <w:p w14:paraId="0412CCEF" w14:textId="77777777" w:rsidR="00695AE2" w:rsidRPr="00503014" w:rsidRDefault="00695AE2" w:rsidP="00695AE2">
      <w:pPr>
        <w:spacing w:line="240" w:lineRule="auto"/>
        <w:jc w:val="both"/>
      </w:pPr>
      <w:r w:rsidRPr="00503014">
        <w:t>Zakonodajalec je tudi v ZSPJS-AA (</w:t>
      </w:r>
      <w:r w:rsidRPr="00503014">
        <w:rPr>
          <w:lang w:eastAsia="sl-SI"/>
        </w:rPr>
        <w:t xml:space="preserve">Uradni list RS, št. 139/2022 z dne 2. 11. 2022) </w:t>
      </w:r>
      <w:r w:rsidRPr="00503014">
        <w:t xml:space="preserve">uredil za državne pravobranilce in pomočnike državnih pravobranilcev, ki so bili imenovani na podlagi </w:t>
      </w:r>
      <w:r w:rsidRPr="00503014">
        <w:lastRenderedPageBreak/>
        <w:t>ZDPra in do poteka mandata nadaljujejo delo kot višji državni odvetniki oziroma državni odvetniki, da se primerljivo s sodniki in državnimi tožilci uskladijo tako glede povračil stroškov in drugih prejemkov kot dodatkov in plač. Navedeno kaže, da so bili državno odvetniški funkcionarji vselej obravnavani enako kot sodniški in državno tožilski.</w:t>
      </w:r>
    </w:p>
    <w:p w14:paraId="604C9A01" w14:textId="77777777" w:rsidR="00695AE2" w:rsidRPr="00503014" w:rsidRDefault="00695AE2" w:rsidP="00695AE2">
      <w:pPr>
        <w:spacing w:line="240" w:lineRule="auto"/>
        <w:jc w:val="both"/>
      </w:pPr>
    </w:p>
    <w:p w14:paraId="75BD0681" w14:textId="77777777" w:rsidR="00695AE2" w:rsidRPr="00503014" w:rsidRDefault="00695AE2" w:rsidP="00695AE2">
      <w:pPr>
        <w:spacing w:line="240" w:lineRule="auto"/>
        <w:jc w:val="both"/>
      </w:pPr>
      <w:r w:rsidRPr="00503014">
        <w:rPr>
          <w:color w:val="000000"/>
        </w:rPr>
        <w:t xml:space="preserve">Zaradi navedenega se je na podlagi odločitve Vlade RS z dne 18. 7. 2024 tudi dopolnilna odločba ustavnega sodišča št. U-I-8/24-23 z dne 30. 5. 2024, s katero je </w:t>
      </w:r>
      <w:r>
        <w:rPr>
          <w:color w:val="000000"/>
        </w:rPr>
        <w:t>U</w:t>
      </w:r>
      <w:r w:rsidRPr="00503014">
        <w:rPr>
          <w:color w:val="000000"/>
        </w:rPr>
        <w:t xml:space="preserve">stavno sodišče določilo način izvršitve odločbe št. U-I-772/21 z dne 1. 6. 2023, realizirala tako, da se je popolnoma na enak način, kot za sodnike in državne tožilce, upoštevala tudi za državno odvetniške funkcionarje, a le tiste, ki so bili imenovani na podlagi ZDPra. </w:t>
      </w:r>
      <w:r w:rsidRPr="00503014">
        <w:t>Višjim državnim odvetnikom in državnim odvetnikom, ki so do poteka mandata nadaljevali delo kot funkcionarji, so se tako poračunale in izplačale razlike v plačah na enak način, kot je to ustavna odločba predvidela za sodnike. Na višje državne odvetnike in državne odvetnike, ki bili javni uslužbenci, sicer pa so opravljali popolnoma enake naloge kot funkcionarji, se učinek ustavne odločbe ni raztezal. Navedeno predstavlja še en primer neutemeljenega razlikovanja v vrednotenju enako odgovornega in enako zahtevnega dela, ki je posledica dvotirnosti, opisane v nadaljevanju.</w:t>
      </w:r>
    </w:p>
    <w:p w14:paraId="6FAF8383" w14:textId="77777777" w:rsidR="00695AE2" w:rsidRPr="00503014" w:rsidRDefault="00695AE2" w:rsidP="00695AE2">
      <w:pPr>
        <w:spacing w:line="240" w:lineRule="auto"/>
        <w:jc w:val="both"/>
        <w:rPr>
          <w:kern w:val="2"/>
          <w14:ligatures w14:val="standardContextual"/>
        </w:rPr>
      </w:pPr>
    </w:p>
    <w:p w14:paraId="3B553426" w14:textId="77777777" w:rsidR="00695AE2" w:rsidRPr="00503014" w:rsidRDefault="00695AE2" w:rsidP="00695AE2">
      <w:pPr>
        <w:pStyle w:val="Naslov5"/>
      </w:pPr>
      <w:bookmarkStart w:id="121" w:name="_Toc223093746"/>
      <w:r w:rsidRPr="00503014">
        <w:t>Problematika dvotirnosti po uveljavitvi ZDOdv</w:t>
      </w:r>
      <w:bookmarkEnd w:id="121"/>
      <w:r w:rsidRPr="00503014">
        <w:t xml:space="preserve"> </w:t>
      </w:r>
    </w:p>
    <w:p w14:paraId="4EBE5D83" w14:textId="77777777" w:rsidR="00695AE2" w:rsidRPr="00503014" w:rsidRDefault="00695AE2" w:rsidP="00695AE2">
      <w:pPr>
        <w:spacing w:line="240" w:lineRule="auto"/>
        <w:jc w:val="both"/>
        <w:rPr>
          <w:rFonts w:cstheme="minorHAnsi"/>
        </w:rPr>
      </w:pPr>
    </w:p>
    <w:p w14:paraId="78163DE8" w14:textId="77777777" w:rsidR="00695AE2" w:rsidRPr="00503014" w:rsidRDefault="00695AE2" w:rsidP="00695AE2">
      <w:pPr>
        <w:suppressAutoHyphens/>
        <w:spacing w:line="240" w:lineRule="auto"/>
        <w:jc w:val="both"/>
        <w:rPr>
          <w:rFonts w:eastAsia="Times New Roman" w:cstheme="minorHAnsi"/>
          <w:lang w:eastAsia="sl-SI"/>
        </w:rPr>
      </w:pPr>
      <w:r w:rsidRPr="00503014">
        <w:rPr>
          <w:rFonts w:eastAsia="Times New Roman" w:cstheme="minorHAnsi"/>
          <w:kern w:val="2"/>
          <w:szCs w:val="20"/>
          <w:lang w:eastAsia="sl-SI"/>
          <w14:ligatures w14:val="standardContextual"/>
        </w:rPr>
        <w:t>ZDOdv je spremenil sistem tako, da je spremenil status nosilcev nalog organa iz funkcionarskega v javnouslužbenskega. T</w:t>
      </w:r>
      <w:r w:rsidRPr="00503014">
        <w:rPr>
          <w:rFonts w:eastAsia="Times New Roman" w:cstheme="minorHAnsi"/>
          <w:lang w:eastAsia="sl-SI"/>
        </w:rPr>
        <w:t xml:space="preserve">edanje Državno pravobranilstvo RS je opozarjalo na neustreznost in nedomišljenost predvidenega prehoda iz funkcionarskega v javnouslužbenski sistem, vendar na sprejeto normativno ureditev, žal, ni imelo nikakršnega vpliva, saj se njegova opozorila in predlogi dejansko v ničemer niso upoštevali. </w:t>
      </w:r>
    </w:p>
    <w:p w14:paraId="0851ECE3" w14:textId="77777777" w:rsidR="00695AE2" w:rsidRPr="00503014" w:rsidRDefault="00695AE2" w:rsidP="00695AE2">
      <w:pPr>
        <w:spacing w:line="240" w:lineRule="auto"/>
        <w:jc w:val="both"/>
        <w:rPr>
          <w:rFonts w:cstheme="minorHAnsi"/>
        </w:rPr>
      </w:pPr>
    </w:p>
    <w:p w14:paraId="49F980D4" w14:textId="77777777" w:rsidR="00695AE2" w:rsidRPr="00503014" w:rsidRDefault="00695AE2" w:rsidP="00695AE2">
      <w:pPr>
        <w:spacing w:line="240" w:lineRule="auto"/>
        <w:jc w:val="both"/>
        <w:rPr>
          <w:rFonts w:cstheme="minorHAnsi"/>
        </w:rPr>
      </w:pPr>
      <w:r w:rsidRPr="00503014">
        <w:rPr>
          <w:rFonts w:cstheme="minorHAnsi"/>
        </w:rPr>
        <w:t xml:space="preserve">Sedmi odstavek 95. člena ZDOdv določa, da se glede pravic, dolžnosti ter prenehanja funkcije in razrešitve državnih pravobranilcev in pomočnikov državnih pravobranilcev do poteka njihovega mandata uporablja ZDPra, kar pomeni, da so nekdanji državni pravobranilci in pomočniki državnih pravobranilcev kot višji državni odvetniki oziroma državni odvetniki ostali funkcionarji do poteka mandata in s tem prenehanja funkcije. </w:t>
      </w:r>
    </w:p>
    <w:p w14:paraId="03D01FFC" w14:textId="77777777" w:rsidR="00695AE2" w:rsidRPr="00503014" w:rsidRDefault="00695AE2" w:rsidP="00695AE2">
      <w:pPr>
        <w:spacing w:line="240" w:lineRule="auto"/>
        <w:jc w:val="both"/>
        <w:rPr>
          <w:rFonts w:cstheme="minorHAnsi"/>
        </w:rPr>
      </w:pPr>
    </w:p>
    <w:p w14:paraId="6267A74A" w14:textId="77777777" w:rsidR="00695AE2" w:rsidRPr="00503014" w:rsidRDefault="00695AE2" w:rsidP="00695AE2">
      <w:pPr>
        <w:spacing w:line="240" w:lineRule="auto"/>
        <w:jc w:val="both"/>
        <w:rPr>
          <w:rFonts w:cstheme="minorHAnsi"/>
          <w:kern w:val="2"/>
          <w14:ligatures w14:val="standardContextual"/>
        </w:rPr>
      </w:pPr>
      <w:r w:rsidRPr="00503014">
        <w:rPr>
          <w:rFonts w:cstheme="minorHAnsi"/>
        </w:rPr>
        <w:t xml:space="preserve">Po začetku uporabe ZDOdv so bila za opravljanje nalog Državnega odvetništva RS z višjimi državnimi odvetniki in državnimi odvetniki sklenjena številna delovna razmerja za javnouslužbenska delovna mesta. </w:t>
      </w:r>
    </w:p>
    <w:p w14:paraId="3D89AA2F" w14:textId="77777777" w:rsidR="00695AE2" w:rsidRPr="00503014" w:rsidRDefault="00695AE2" w:rsidP="00695AE2">
      <w:pPr>
        <w:spacing w:line="240" w:lineRule="auto"/>
        <w:jc w:val="both"/>
        <w:rPr>
          <w:rFonts w:cstheme="minorHAnsi"/>
        </w:rPr>
      </w:pPr>
    </w:p>
    <w:p w14:paraId="6552A0EB" w14:textId="77777777" w:rsidR="00695AE2" w:rsidRPr="00503014" w:rsidRDefault="00695AE2" w:rsidP="00695AE2">
      <w:pPr>
        <w:tabs>
          <w:tab w:val="left" w:pos="1440"/>
        </w:tabs>
        <w:spacing w:line="240" w:lineRule="auto"/>
        <w:jc w:val="both"/>
        <w:rPr>
          <w:rFonts w:cstheme="minorHAnsi"/>
        </w:rPr>
      </w:pPr>
      <w:r w:rsidRPr="00503014">
        <w:rPr>
          <w:rFonts w:cstheme="minorHAnsi"/>
        </w:rPr>
        <w:t xml:space="preserve">Z odvzemom funkcionarskega statusa in umestitvijo v javnouslužbenski sistem se je  ob enakih pogojih za zasedbo ter predvsem enakih oziroma celo povečanih oblastnih pristojnostih Državnega odvetništva RS logika ureditve popolnoma podrla. Tako so višji državni odvetniki in državni odvetniki funkcionarji ter višji državni odvetniki in državni odvetniki javni uslužbenci opravljali popolnoma enake naloge Državnega odvetništva RS, zaradi različnih statusov pa so se razlikovali v svojih delovnopravnih pravicah – različno je bilo plačilo za delo, število dni dopusta, evidentiranje delovnega časa, plačilo dodatkov itd. Vse to je leta povzročalo številne težave v praksi, stroka pa je opozarjala na potencialno neustavnost takšne dvotirne ureditve. Med posameznimi državnimi odvetniki so tako že od samega začetka uporabe ZDOdv začele nastajati neupravičene razlike, ki so pomenile kršitev ustavnega načela enakosti in načela, da </w:t>
      </w:r>
      <w:r w:rsidRPr="00503014">
        <w:rPr>
          <w:rFonts w:cstheme="minorHAnsi"/>
        </w:rPr>
        <w:lastRenderedPageBreak/>
        <w:t xml:space="preserve">je treba enako delo vrednotiti enako in ne različno ter pri tem zagotavljati enake pravice in obveznosti, ki se zagotavljajo posameznikom v enakovrednih položajih. </w:t>
      </w:r>
    </w:p>
    <w:p w14:paraId="2DF43B07" w14:textId="77777777" w:rsidR="00695AE2" w:rsidRPr="00503014" w:rsidRDefault="00695AE2" w:rsidP="00695AE2">
      <w:pPr>
        <w:tabs>
          <w:tab w:val="left" w:pos="1440"/>
        </w:tabs>
        <w:spacing w:line="240" w:lineRule="auto"/>
        <w:jc w:val="both"/>
        <w:rPr>
          <w:rFonts w:cstheme="minorHAnsi"/>
        </w:rPr>
      </w:pPr>
    </w:p>
    <w:p w14:paraId="0D89455A" w14:textId="77777777" w:rsidR="00695AE2" w:rsidRPr="00503014" w:rsidRDefault="00695AE2" w:rsidP="00695AE2">
      <w:pPr>
        <w:pStyle w:val="Naslov5"/>
      </w:pPr>
      <w:bookmarkStart w:id="122" w:name="_Toc223093747"/>
      <w:r w:rsidRPr="00503014">
        <w:t>Umestitev Državnega odvetništva RS v plačno podskupino C1</w:t>
      </w:r>
      <w:bookmarkEnd w:id="122"/>
    </w:p>
    <w:p w14:paraId="66363DF2" w14:textId="77777777" w:rsidR="00695AE2" w:rsidRPr="00503014" w:rsidRDefault="00695AE2" w:rsidP="00695AE2">
      <w:pPr>
        <w:tabs>
          <w:tab w:val="left" w:pos="1440"/>
        </w:tabs>
        <w:spacing w:line="240" w:lineRule="auto"/>
        <w:jc w:val="both"/>
        <w:rPr>
          <w:rFonts w:cstheme="minorHAnsi"/>
        </w:rPr>
      </w:pPr>
    </w:p>
    <w:p w14:paraId="49F36C38" w14:textId="77777777" w:rsidR="00695AE2" w:rsidRPr="00503014" w:rsidRDefault="00695AE2" w:rsidP="00695AE2">
      <w:pPr>
        <w:spacing w:line="240" w:lineRule="auto"/>
        <w:jc w:val="both"/>
        <w:rPr>
          <w:rFonts w:cstheme="minorHAnsi"/>
          <w:kern w:val="2"/>
          <w14:ligatures w14:val="standardContextual"/>
        </w:rPr>
      </w:pPr>
      <w:r w:rsidRPr="00503014">
        <w:rPr>
          <w:rFonts w:cstheme="minorHAnsi"/>
          <w:kern w:val="2"/>
          <w14:ligatures w14:val="standardContextual"/>
        </w:rPr>
        <w:t>Po uveljavitvi ZDOdv je Zakon o spremembah Zakona o sistemu plač v javnem sektorju (Uradni list RS, št. 67/2017 z dne 29. 11. 2017; ZSPJS-U) Državno odvetništvo RS glede plačne ureditve umestil med druge državne organe in s tem v plačno podskupino C1.</w:t>
      </w:r>
    </w:p>
    <w:p w14:paraId="1A8B6B20" w14:textId="77777777" w:rsidR="00695AE2" w:rsidRPr="00503014" w:rsidRDefault="00695AE2" w:rsidP="00695AE2">
      <w:pPr>
        <w:tabs>
          <w:tab w:val="left" w:pos="7088"/>
        </w:tabs>
        <w:spacing w:line="240" w:lineRule="auto"/>
        <w:jc w:val="both"/>
        <w:rPr>
          <w:rFonts w:cstheme="minorHAnsi"/>
          <w:kern w:val="2"/>
          <w14:ligatures w14:val="standardContextual"/>
        </w:rPr>
      </w:pPr>
    </w:p>
    <w:p w14:paraId="719968BD" w14:textId="77777777" w:rsidR="00695AE2" w:rsidRPr="00503014" w:rsidRDefault="00695AE2" w:rsidP="00695AE2">
      <w:pPr>
        <w:tabs>
          <w:tab w:val="left" w:pos="7088"/>
        </w:tabs>
        <w:spacing w:line="240" w:lineRule="auto"/>
        <w:jc w:val="both"/>
        <w:rPr>
          <w:rFonts w:cstheme="minorHAnsi"/>
        </w:rPr>
      </w:pPr>
      <w:r w:rsidRPr="00503014">
        <w:rPr>
          <w:rFonts w:cstheme="minorHAnsi"/>
          <w:kern w:val="2"/>
          <w14:ligatures w14:val="standardContextual"/>
        </w:rPr>
        <w:t>K</w:t>
      </w:r>
      <w:r w:rsidRPr="00503014">
        <w:rPr>
          <w:rFonts w:cstheme="minorHAnsi"/>
        </w:rPr>
        <w:t xml:space="preserve">er so pogoji za zasedbo delovnih mest, ki odsevajo zahtevnost nalog delovnega mesta,  za državne odvetnike in višje državne odvetnike v ZDOdv ostali nespremenjeni in so ostali primerljivi s pogoji za zasedbo sodniških oziroma državno tožilskih funkcij, se je namreč ne glede na spremembo statusa oseb, ki opravljajo naloge Državnega odvetništva RS, v okviru plačne podskupine C1 lahko ohranila primerljivost plač s sodniki in državnimi tožilci. </w:t>
      </w:r>
    </w:p>
    <w:p w14:paraId="25540AC1" w14:textId="77777777" w:rsidR="00695AE2" w:rsidRPr="00503014" w:rsidRDefault="00695AE2" w:rsidP="00695AE2">
      <w:pPr>
        <w:spacing w:line="240" w:lineRule="auto"/>
        <w:jc w:val="both"/>
        <w:rPr>
          <w:rFonts w:cstheme="minorHAnsi"/>
          <w:kern w:val="2"/>
          <w14:ligatures w14:val="standardContextual"/>
        </w:rPr>
      </w:pPr>
    </w:p>
    <w:p w14:paraId="242D5DC4" w14:textId="77777777" w:rsidR="00695AE2" w:rsidRPr="00503014" w:rsidRDefault="00695AE2" w:rsidP="00695AE2">
      <w:pPr>
        <w:spacing w:line="240" w:lineRule="auto"/>
        <w:jc w:val="both"/>
        <w:rPr>
          <w:rFonts w:cstheme="minorHAnsi"/>
          <w:kern w:val="2"/>
          <w14:ligatures w14:val="standardContextual"/>
        </w:rPr>
      </w:pPr>
      <w:r w:rsidRPr="00503014">
        <w:rPr>
          <w:rFonts w:cstheme="minorHAnsi"/>
          <w:kern w:val="2"/>
          <w14:ligatures w14:val="standardContextual"/>
        </w:rPr>
        <w:t xml:space="preserve">Po uveljavitvi ZDOdv je bilo treba zaradi prehoda na javnouslužbenski sistem, upoštevaje  uvrstitev primerljivih delovnih mest in nazivov znotraj Državnega odvetništva RS in nazivov plačne podskupine C1 v kolektivni pogodbi dejavnosti, delovni mesti državnega odvetnika in višjega državnega odvetnika uvrstiti v plačne razrede glede na plačno lestvico ter delovna mesta in nazive kandidatov za državnega odvetnika (KDO), za katere so že bili predpisani tako plačni razredi kot delovne izkušnje, potrebne za zaposlitev na teh delovnih mestih. Državnega odvetnika je bilo treba uvrstiti ustrezno višje od zadnjega javnega uslužbenca, ki ga je tedaj predstavljal KDO I, ob posebnih pogojih za zasedbo delovnega mesta, ki so predpisani v ZDOdv, pa mu je bilo treba določiti še dodatni strožji kriterij, in sicer delovne izkušnje v trajanju 10 let po pridobljeni izobrazbi pravne smeri. Glede posameznih uvrstitev delovnih mest v plačno podskupino C1 je bilo treba upoštevati tudi določbo ZSPJS, ki je določala, koliko plačnih razredov lahko javni uslužbenci napredujejo, zato je bilo temu treba prilagoditi izhodiščne plačne razrede delovnih mest državnega odvetnika in višjega državnega odvetnika.  </w:t>
      </w:r>
    </w:p>
    <w:p w14:paraId="7B72DEE6" w14:textId="77777777" w:rsidR="00695AE2" w:rsidRPr="00503014" w:rsidRDefault="00695AE2" w:rsidP="00695AE2">
      <w:pPr>
        <w:spacing w:line="240" w:lineRule="auto"/>
        <w:jc w:val="both"/>
        <w:rPr>
          <w:rFonts w:cstheme="minorHAnsi"/>
          <w:kern w:val="2"/>
          <w14:ligatures w14:val="standardContextual"/>
        </w:rPr>
      </w:pPr>
    </w:p>
    <w:p w14:paraId="00DE0E53" w14:textId="77777777" w:rsidR="00695AE2" w:rsidRPr="00503014" w:rsidRDefault="00695AE2" w:rsidP="00695AE2">
      <w:pPr>
        <w:spacing w:line="240" w:lineRule="auto"/>
        <w:jc w:val="both"/>
        <w:rPr>
          <w:rFonts w:cstheme="minorHAnsi"/>
        </w:rPr>
      </w:pPr>
      <w:r w:rsidRPr="00503014">
        <w:rPr>
          <w:rFonts w:cstheme="minorHAnsi"/>
          <w:kern w:val="2"/>
          <w14:ligatures w14:val="standardContextual"/>
        </w:rPr>
        <w:t>V tistem času je to pomenilo, da je bil izhodiščni plačni razred državnega odvetnika</w:t>
      </w:r>
      <w:r w:rsidRPr="00503014">
        <w:rPr>
          <w:rFonts w:cstheme="minorHAnsi"/>
        </w:rPr>
        <w:t xml:space="preserve"> določen en plačni razred višje od okrajnega </w:t>
      </w:r>
      <w:r w:rsidRPr="00503014">
        <w:rPr>
          <w:rFonts w:cstheme="minorHAnsi"/>
          <w:kern w:val="2"/>
          <w14:ligatures w14:val="standardContextual"/>
        </w:rPr>
        <w:t>sodnika oziroma okrajnega državnega tožilca, kar</w:t>
      </w:r>
      <w:r w:rsidRPr="00503014">
        <w:rPr>
          <w:rFonts w:cstheme="minorHAnsi"/>
        </w:rPr>
        <w:t xml:space="preserve"> je sicer popolnoma utemeljeno glede na pristojnosti državnega odvetnika, ki zastopa pred okrajnimi, okrožnimi, delovnimi in socialnimi sodišči ter po pooblastilu višjega državnega odvetnika tudi pred višjimi sodišči. </w:t>
      </w:r>
      <w:r w:rsidRPr="00503014">
        <w:rPr>
          <w:rFonts w:cstheme="minorHAnsi"/>
          <w:kern w:val="2"/>
          <w14:ligatures w14:val="standardContextual"/>
        </w:rPr>
        <w:t xml:space="preserve">Izhodiščni plačni razred višjega državnega odvetnika pa je bil, kljub temu da višji državni odvetniki ne zastopajo zgolj pred višjimi sodišči, pač pa tudi pred Vrhovnim sodiščem RS, tujimi sodišči in tujimi arbitražami ter mednarodnimi sodišči in mednarodnimi arbitražami, pa tudi pred Ustavnim sodiščem RS, uvrščen celo pod izhodiščnim plačnim razredom višjega državnega tožilca oziroma višjega sodnika. </w:t>
      </w:r>
    </w:p>
    <w:p w14:paraId="61D847DD" w14:textId="77777777" w:rsidR="00695AE2" w:rsidRPr="00503014" w:rsidRDefault="00695AE2" w:rsidP="00695AE2">
      <w:pPr>
        <w:spacing w:line="240" w:lineRule="auto"/>
        <w:ind w:left="720"/>
        <w:contextualSpacing/>
        <w:jc w:val="both"/>
        <w:rPr>
          <w:rFonts w:cstheme="minorHAnsi"/>
        </w:rPr>
      </w:pPr>
    </w:p>
    <w:p w14:paraId="4149CE97" w14:textId="77777777" w:rsidR="00695AE2" w:rsidRPr="00503014" w:rsidRDefault="00695AE2" w:rsidP="00695AE2">
      <w:pPr>
        <w:pStyle w:val="Naslov5"/>
      </w:pPr>
      <w:bookmarkStart w:id="123" w:name="_Toc191561797"/>
      <w:bookmarkStart w:id="124" w:name="_Toc223093748"/>
      <w:r w:rsidRPr="00503014">
        <w:t>Kaj je Državnemu odvetništvu RS prinesla plačna reforma javnega sektorja?</w:t>
      </w:r>
      <w:bookmarkEnd w:id="123"/>
      <w:bookmarkEnd w:id="124"/>
      <w:r w:rsidRPr="00503014">
        <w:t xml:space="preserve">  </w:t>
      </w:r>
    </w:p>
    <w:p w14:paraId="47874BF9" w14:textId="77777777" w:rsidR="00695AE2" w:rsidRPr="00503014" w:rsidRDefault="00695AE2" w:rsidP="00695AE2">
      <w:pPr>
        <w:spacing w:line="240" w:lineRule="auto"/>
        <w:jc w:val="both"/>
        <w:rPr>
          <w:rFonts w:cstheme="minorHAnsi"/>
        </w:rPr>
      </w:pPr>
    </w:p>
    <w:p w14:paraId="2C7A767C" w14:textId="77777777" w:rsidR="00695AE2" w:rsidRPr="00503014" w:rsidRDefault="00695AE2" w:rsidP="00695AE2">
      <w:pPr>
        <w:spacing w:line="240" w:lineRule="auto"/>
        <w:jc w:val="both"/>
        <w:rPr>
          <w:rFonts w:cstheme="minorHAnsi"/>
          <w:shd w:val="clear" w:color="auto" w:fill="FFFFFF"/>
        </w:rPr>
      </w:pPr>
      <w:r w:rsidRPr="00503014">
        <w:rPr>
          <w:rFonts w:cstheme="minorHAnsi"/>
        </w:rPr>
        <w:t xml:space="preserve">Implementacija plačne reforme, uveljavljena na podlagi Zakona o skupnih temeljih sistema plač v javnem sektorju (Uradni list RS, št. 95/24 z dne 8. 11. 2024; v nadaljevanju: ZSTSPJS), ki je začel veljati dne 23. 11. 2024, uporabljati pa se je začel dne 1. 1. 2025, je bila za Državno odvetništvo RS </w:t>
      </w:r>
      <w:r w:rsidRPr="00503014">
        <w:rPr>
          <w:rFonts w:cstheme="minorHAnsi"/>
          <w:shd w:val="clear" w:color="auto" w:fill="FFFFFF"/>
        </w:rPr>
        <w:t>izredno težavna, poleg tega pa o</w:t>
      </w:r>
      <w:r w:rsidRPr="00503014">
        <w:rPr>
          <w:rFonts w:cstheme="minorHAnsi"/>
        </w:rPr>
        <w:t xml:space="preserve">dmik od varovalke v obliki vezanosti na sodniške in državno tožilske plače za Državno odvetništvo RS ustvarja tveganje, ki dolgoročno lahko vodi v njegovo postopno materialno in posledično kadrovsko siromašenje. </w:t>
      </w:r>
    </w:p>
    <w:p w14:paraId="7DCB224D"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lastRenderedPageBreak/>
        <w:t>Državno odvetništvo RS kot organ v plačni podskupini C1 spada med tiste organe, ki morajo uvrstitve določiti z lastnim aktom, pri čemer zakon zahteva upoštevanje primerljivih delovnih mest iz kolektivne pogodbe dejavnosti. Organi v plačni podskupini C1 lahko določijo razpone, ki presegajo kolektivno pogodbo, kadar to narekujejo posebnosti dela. V praksi je Državno odvetništvo RS primerljivost vedno utemeljevalo na vsebini dela, zahtevnosti nalog, odgovornostih, pooblastilih in potrebni usposobljenosti.</w:t>
      </w:r>
    </w:p>
    <w:p w14:paraId="74EFCDD8" w14:textId="77777777" w:rsidR="00695AE2" w:rsidRPr="00503014" w:rsidRDefault="00695AE2" w:rsidP="00695AE2">
      <w:pPr>
        <w:spacing w:line="240" w:lineRule="auto"/>
        <w:jc w:val="both"/>
        <w:rPr>
          <w:rFonts w:cstheme="minorHAnsi"/>
          <w:shd w:val="clear" w:color="auto" w:fill="FFFFFF"/>
        </w:rPr>
      </w:pPr>
    </w:p>
    <w:p w14:paraId="2EB8CAA3" w14:textId="77777777" w:rsidR="00695AE2" w:rsidRPr="00503014" w:rsidRDefault="00695AE2" w:rsidP="00695AE2">
      <w:pPr>
        <w:spacing w:line="240" w:lineRule="auto"/>
        <w:jc w:val="both"/>
        <w:rPr>
          <w:rFonts w:cstheme="minorHAnsi"/>
        </w:rPr>
      </w:pPr>
      <w:r w:rsidRPr="00503014">
        <w:rPr>
          <w:rFonts w:cstheme="minorHAnsi"/>
          <w:shd w:val="clear" w:color="auto" w:fill="FFFFFF"/>
        </w:rPr>
        <w:t xml:space="preserve">Uvrstitve delovnih mest in nova delovna mesta v Državnem odvetništvu RS so urejena v Pravilniku o uvrstitvi delovnih mest in nazivov v plačne razrede na Državnem odvetništvu RS, ki je bil objavljen v Uradnem listu RS, št. 113/24 z dne 30. 12. 2024, Pravilnik o spremembah Pravilnika o uvrstitvi delovnih mest in nazivov v plačne razrede na Državnem odvetništvu RS pa v Uradnem listu RS, št. 2/25 z dne 10. 1. 2025. Na podlagi tega pravilnika je bil pripravljen Akt o sistemizaciji, h kateremu je Ministrstvo za pravosodje 24. 1. 2025 podalo soglasje. </w:t>
      </w:r>
    </w:p>
    <w:p w14:paraId="024289BD" w14:textId="77777777" w:rsidR="00695AE2" w:rsidRPr="00503014" w:rsidRDefault="00695AE2" w:rsidP="00695AE2">
      <w:pPr>
        <w:spacing w:line="240" w:lineRule="auto"/>
        <w:jc w:val="both"/>
        <w:rPr>
          <w:rFonts w:cstheme="minorHAnsi"/>
        </w:rPr>
      </w:pPr>
    </w:p>
    <w:p w14:paraId="4DAAC5D1" w14:textId="77777777" w:rsidR="00695AE2" w:rsidRPr="00503014" w:rsidRDefault="00695AE2" w:rsidP="00695AE2">
      <w:pPr>
        <w:shd w:val="clear" w:color="auto" w:fill="FFFFFF"/>
        <w:spacing w:line="240" w:lineRule="auto"/>
        <w:jc w:val="both"/>
        <w:rPr>
          <w:rFonts w:eastAsia="Times New Roman" w:cstheme="minorHAnsi"/>
          <w:lang w:eastAsia="sl-SI"/>
        </w:rPr>
      </w:pPr>
      <w:r w:rsidRPr="00503014">
        <w:rPr>
          <w:rFonts w:eastAsia="Times New Roman" w:cstheme="minorHAnsi"/>
          <w:lang w:eastAsia="sl-SI"/>
        </w:rPr>
        <w:t xml:space="preserve">Kreirana so bila nekatera nova delovna mesta, na katera so se lahko uvrstili zaposleni, ki jih štejemo med administrativno oziroma podporno osebje, tako na uradniških kot tudi strokovno-tehničnih delovnih mestih. Ker gre za delovna mesta, ki so primerljiva delovnim mestom tudi v drugih organih, je Državno odvetništvo RS sledilo zakonskim določilom in Kolektivni pogodbi za državno upravo, uprave pravosodnih organov in uprave samoupravnih lokalnih skupnosti – tarifni del. Z dobrim izhodiščem smo želeli zagotoviti tudi zainteresiranost za morebitne novo zaposlene, saj bodo le ob ustrezni zapolnitvi delovnih mest naloge lahko opravljene v normalnih časovnih okvirih in brez pritiskov, katerim so nekateri zaposleni zaradi trenutnega pomanjkanja kadra pogosto izpostavljeni. </w:t>
      </w:r>
    </w:p>
    <w:p w14:paraId="2B73B893" w14:textId="77777777" w:rsidR="00695AE2" w:rsidRPr="00503014" w:rsidRDefault="00695AE2" w:rsidP="00695AE2">
      <w:pPr>
        <w:shd w:val="clear" w:color="auto" w:fill="FFFFFF"/>
        <w:spacing w:line="240" w:lineRule="auto"/>
        <w:jc w:val="both"/>
        <w:rPr>
          <w:rFonts w:eastAsia="Times New Roman" w:cstheme="minorHAnsi"/>
          <w:lang w:eastAsia="sl-SI"/>
        </w:rPr>
      </w:pPr>
    </w:p>
    <w:p w14:paraId="117C9B20"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Za delovni mesti pravnik VII/1 in VII/2 je Državno odvetništvo RS določilo razpon plačnih razredov, ki je v izhodiščnem plačnem razredu za dva plačna razreda višji kot v kolektivni pogodbi. Razlog je v tem, da pravniki na Državnem odvetništvu RS opravljajo nekatere dodatne naloge, povezane z elektronskim poslovanjem, postopki insolventnosti, oddajo vlog v e-sodstvu in drugimi specializiranimi opravili, ki presegajo običajno vsebino dela pravnikov v drugih organih.</w:t>
      </w:r>
    </w:p>
    <w:p w14:paraId="7457C52E" w14:textId="77777777" w:rsidR="00695AE2" w:rsidRPr="00503014" w:rsidRDefault="00695AE2" w:rsidP="00695AE2">
      <w:pPr>
        <w:spacing w:line="240" w:lineRule="auto"/>
        <w:jc w:val="both"/>
        <w:rPr>
          <w:rFonts w:eastAsia="Times New Roman"/>
          <w:lang w:eastAsia="sl-SI"/>
        </w:rPr>
      </w:pPr>
    </w:p>
    <w:p w14:paraId="66347C81" w14:textId="77777777" w:rsidR="00695AE2" w:rsidRPr="00503014" w:rsidRDefault="00695AE2" w:rsidP="00695AE2">
      <w:pPr>
        <w:shd w:val="clear" w:color="auto" w:fill="FFFFFF"/>
        <w:spacing w:line="240" w:lineRule="auto"/>
        <w:jc w:val="both"/>
        <w:rPr>
          <w:rFonts w:eastAsia="Times New Roman" w:cstheme="minorHAnsi"/>
          <w:lang w:eastAsia="sl-SI"/>
        </w:rPr>
      </w:pPr>
      <w:r w:rsidRPr="00503014">
        <w:rPr>
          <w:rFonts w:eastAsia="Times New Roman" w:cstheme="minorHAnsi"/>
          <w:lang w:eastAsia="sl-SI"/>
        </w:rPr>
        <w:t>Delovna mesta kandidatov za državne odvetnike so uvrščena primerljivo delovnim mestom in nazivom plačne skupine C v kolektivni pogodbi dejavnosti, kar v praksi pomeni, da se je ohranila pr</w:t>
      </w:r>
      <w:r w:rsidRPr="00503014">
        <w:rPr>
          <w:rFonts w:eastAsia="Times New Roman"/>
          <w:lang w:eastAsia="sl-SI"/>
        </w:rPr>
        <w:t xml:space="preserve">imerljivost delovnih mest kandidatov za državnega odvetnika z delovnimi mesti strokovnih sodelavcev na sodiščih. Delovno mesto kandidat za državnega odvetnika II (KDO II) je primerljivo z višjim pravosodnim svetovalcem, delovno mesto kandidat za državnega odvetnika I (KDO I) pa s pravosodnim svetnikom II. Državno odvetništvo RS je ob uveljavitvi plačne reforme glede na to, da je to omogočal »prazen prostor« plačnih razredov do delovnega mesta državni odvetnik, oblikovalo tudi novo raven tega delovnega mesta, ki je primerljiv s pravosodnim svetnikom I, in sicer je to delovno mesto kandidat za državnega odvetnika (KDO). </w:t>
      </w:r>
      <w:r w:rsidRPr="00503014">
        <w:rPr>
          <w:rFonts w:eastAsia="Times New Roman" w:cstheme="minorHAnsi"/>
          <w:lang w:eastAsia="sl-SI"/>
        </w:rPr>
        <w:t xml:space="preserve">Ker pa so pristojnosti in odgovornosti kandidatov za državnega odvetnika nekoliko zahtevnejše od primerljivih delovnih mest na sodiščih, saj kandidati za državnega odvetnika na podlagi pooblastila lahko samostojno nadomeščajo državne odvetnike pri opravljanju nalog zastopanja države in državnih organov pred upravnimi organi in sodišči prve stopnje, so tudi plačni razredi delovnih mest kandidatov za državnega odvetnika in nazivov teh delovnih mest uvrščeni nekoliko višje. </w:t>
      </w:r>
      <w:r w:rsidRPr="00503014">
        <w:rPr>
          <w:rFonts w:eastAsia="Times New Roman"/>
          <w:lang w:eastAsia="sl-SI"/>
        </w:rPr>
        <w:t xml:space="preserve">Za delovno mesto KDO II je tako izhodiščni plačni razred 25, kar je 2 plačna razreda višje kot na sodiščih, za delovni mesti KDO I in KDO pa je izhodiščni </w:t>
      </w:r>
      <w:r w:rsidRPr="00503014">
        <w:rPr>
          <w:rFonts w:eastAsia="Times New Roman"/>
          <w:lang w:eastAsia="sl-SI"/>
        </w:rPr>
        <w:lastRenderedPageBreak/>
        <w:t>plačni razred za en razred višji kot na sodiščih, in sicer je za KDO I to 31 plačni razred, za KDO pa  35 plačni razred.</w:t>
      </w:r>
    </w:p>
    <w:p w14:paraId="06995861" w14:textId="77777777" w:rsidR="00695AE2" w:rsidRPr="00503014" w:rsidRDefault="00695AE2" w:rsidP="00695AE2">
      <w:pPr>
        <w:shd w:val="clear" w:color="auto" w:fill="FFFFFF"/>
        <w:spacing w:line="240" w:lineRule="auto"/>
        <w:jc w:val="both"/>
        <w:rPr>
          <w:rFonts w:eastAsia="Times New Roman" w:cstheme="minorHAnsi"/>
          <w:lang w:eastAsia="sl-SI"/>
        </w:rPr>
      </w:pPr>
    </w:p>
    <w:p w14:paraId="43E029D9" w14:textId="77777777" w:rsidR="00695AE2" w:rsidRPr="00503014" w:rsidRDefault="00695AE2" w:rsidP="00695AE2">
      <w:pPr>
        <w:spacing w:line="240" w:lineRule="auto"/>
        <w:jc w:val="both"/>
        <w:rPr>
          <w:rFonts w:cstheme="minorHAnsi"/>
        </w:rPr>
      </w:pPr>
      <w:r w:rsidRPr="00503014">
        <w:rPr>
          <w:rFonts w:cstheme="minorHAnsi"/>
        </w:rPr>
        <w:t>ZSTSPJS je državne odvetnike in višje državne odvetnike, ki so do poteka mandata nadaljevali delo kot funkcionarji, uvrstil upoštevaje v preteklosti vzpostavljena enotna načela glede urejanja plač in primerljivost plač med pravosodnimi funkcionarji, torej v enake razpone plačnih razredov, kot veljajo za sodnike in državne tožilce. Ureditev plačnega položaja državno odvetniških funkcionarjev i</w:t>
      </w:r>
      <w:r w:rsidRPr="00503014">
        <w:rPr>
          <w:rFonts w:cstheme="minorHAnsi"/>
          <w:color w:val="000000"/>
        </w:rPr>
        <w:t xml:space="preserve">zhaja iz pravilne predpostavke, da je treba primerljive pravosodne funkcionarje vrednotiti enako (enako vrednotenje ne more biti pogojevano (le) z morebitno enakostjo funkcij, saj enakost med funkcijami različnih organov že po naravi stvari ne more obstajati), vendar </w:t>
      </w:r>
      <w:r w:rsidRPr="00503014">
        <w:rPr>
          <w:rFonts w:cstheme="minorHAnsi"/>
        </w:rPr>
        <w:t xml:space="preserve">pa </w:t>
      </w:r>
      <w:r w:rsidRPr="00503014">
        <w:rPr>
          <w:rFonts w:cstheme="minorHAnsi"/>
          <w:color w:val="000000"/>
          <w:shd w:val="clear" w:color="auto" w:fill="FFFFFF"/>
        </w:rPr>
        <w:t xml:space="preserve">je to znotraj Državnega odvetništva RS povzročilo še eno od vrste anomalij oziroma neenakosti, katere izvor je v nepremišljeni spremembi zakonodaje v letu 2017. </w:t>
      </w:r>
      <w:r w:rsidRPr="00503014">
        <w:rPr>
          <w:rFonts w:cstheme="minorHAnsi"/>
        </w:rPr>
        <w:t xml:space="preserve">Zadnjemu višjemu državnemu odvetniku, ki je bil imenovan na podlagi določb ZDPra, je sicer mandat prenehal 31. 8. 2025.  </w:t>
      </w:r>
    </w:p>
    <w:p w14:paraId="09B254E8" w14:textId="77777777" w:rsidR="00695AE2" w:rsidRPr="00503014" w:rsidRDefault="00695AE2" w:rsidP="00695AE2">
      <w:pPr>
        <w:suppressAutoHyphens/>
        <w:spacing w:line="240" w:lineRule="auto"/>
        <w:jc w:val="both"/>
        <w:rPr>
          <w:rFonts w:eastAsia="Times New Roman" w:cstheme="minorHAnsi"/>
          <w:color w:val="000000"/>
          <w:shd w:val="clear" w:color="auto" w:fill="FFFFFF"/>
          <w:lang w:eastAsia="sl-SI"/>
        </w:rPr>
      </w:pPr>
    </w:p>
    <w:p w14:paraId="1970116A" w14:textId="77777777" w:rsidR="00695AE2" w:rsidRPr="00503014" w:rsidRDefault="00695AE2" w:rsidP="00695AE2">
      <w:pPr>
        <w:spacing w:line="240" w:lineRule="auto"/>
        <w:jc w:val="both"/>
        <w:rPr>
          <w:rFonts w:eastAsia="Times New Roman" w:cstheme="minorHAnsi"/>
          <w:lang w:eastAsia="sl-SI"/>
        </w:rPr>
      </w:pPr>
      <w:r w:rsidRPr="00503014">
        <w:rPr>
          <w:rFonts w:eastAsia="Times New Roman" w:cstheme="minorHAnsi"/>
          <w:lang w:eastAsia="sl-SI"/>
        </w:rPr>
        <w:t xml:space="preserve">Izhodišča, da bi morali biti državni odvetniki in višji državni odvetniki, ki so javni uslužbenci, uvrščeni enako, kot je v 110. členu novega plačnega zakona določeno za državno odvetniške funkcionarje, ni bilo mogoče izpeljati na popolnoma enak način, saj ZSTSPJS za javne uslužbence zahteva, da se zagotovi deset plačnih razredov napredovanj na delovnih mestih, kjer ni možno napredovati v naziv (in na delovnih mestih državni odvetnik in višji državni odvetnik ni predvideno napredovanje v naziv). Ne glede na to, da je končni plačni razred državnega odvetnika (43–53) in višjega državnega odvetnika (49–59) kot javnih uslužbencev izenačen s končnim plačnim razredom funkcije, kot je določen v omenjeni določbi ZSTSPJS, pa to v praksi predvsem za kader, ki opravlja najtežje naloge, pomeni, da mu ni zagotovljen enakopraven oziroma primerljiv položaj.  </w:t>
      </w:r>
    </w:p>
    <w:p w14:paraId="7B58CDC5" w14:textId="77777777" w:rsidR="00695AE2" w:rsidRPr="00503014" w:rsidRDefault="00695AE2" w:rsidP="00695AE2">
      <w:pPr>
        <w:spacing w:line="240" w:lineRule="auto"/>
        <w:jc w:val="both"/>
        <w:rPr>
          <w:rFonts w:cstheme="minorHAnsi"/>
        </w:rPr>
      </w:pPr>
    </w:p>
    <w:p w14:paraId="18DAFC99" w14:textId="77777777" w:rsidR="00695AE2" w:rsidRPr="00503014" w:rsidRDefault="00695AE2" w:rsidP="00695AE2">
      <w:pPr>
        <w:pStyle w:val="Naslov5"/>
        <w:ind w:left="0" w:firstLine="0"/>
        <w:rPr>
          <w:lang w:eastAsia="sl-SI"/>
        </w:rPr>
      </w:pPr>
      <w:bookmarkStart w:id="125" w:name="_Toc223093749"/>
      <w:r w:rsidRPr="00503014">
        <w:rPr>
          <w:lang w:eastAsia="sl-SI"/>
        </w:rPr>
        <w:t>Problematika prevedbe in uvrstitve višjih državnih odvetnikov – nekdanjih funkcionarjev</w:t>
      </w:r>
      <w:bookmarkEnd w:id="125"/>
    </w:p>
    <w:p w14:paraId="24194124" w14:textId="77777777" w:rsidR="00695AE2" w:rsidRPr="00503014" w:rsidRDefault="00695AE2" w:rsidP="00695AE2">
      <w:pPr>
        <w:spacing w:line="240" w:lineRule="auto"/>
        <w:jc w:val="both"/>
        <w:rPr>
          <w:rFonts w:eastAsia="Times New Roman"/>
          <w:color w:val="007466"/>
          <w:lang w:eastAsia="sl-SI"/>
        </w:rPr>
      </w:pPr>
    </w:p>
    <w:p w14:paraId="77E4C775" w14:textId="77777777" w:rsidR="00695AE2" w:rsidRPr="00503014" w:rsidRDefault="00695AE2" w:rsidP="00695AE2">
      <w:pPr>
        <w:spacing w:line="240" w:lineRule="auto"/>
        <w:jc w:val="both"/>
        <w:rPr>
          <w:rFonts w:eastAsia="Times New Roman"/>
          <w:lang w:eastAsia="sl-SI"/>
        </w:rPr>
      </w:pPr>
      <w:r w:rsidRPr="00503014">
        <w:t>Državno odvetništvo RS že dlje časa opozarja in izpostavlja, da sistemske spremembe, ki so se zgodile ob prehodu Državnega pravobranilstva RS v Državno odvetništvo RS v letu 2017, niso bile ustrezno in celostno izvedene. Javno uslužbenski sistem vprašanj in specifik Državnega odvetništva RS ni ustrezno naslavljal v prejšnji ureditvi, prav tako se to ni uredilo 1. 1. 2025 s prehodom na nov plačni sistem, temveč so se razlike še poglobile oziroma so nastale nekatere nove. Res pa je, da je ZSTSPJS sistemski zakon, zgoraj opisana problematika položaja državnih odvetnikov pa izrazito specifična. Zagotovitev pravičnih uvrstitev in izravnava neutemeljenih razlik v vrednotenju dela državnih odvetnikov bi bila zato lahko izpeljana tudi v povezavi s predvideno novelo Z</w:t>
      </w:r>
      <w:r>
        <w:t>DOdv</w:t>
      </w:r>
      <w:r w:rsidRPr="00503014">
        <w:t xml:space="preserve">, za kar si je Državno odvetništvo </w:t>
      </w:r>
      <w:r>
        <w:t xml:space="preserve">RS </w:t>
      </w:r>
      <w:r w:rsidRPr="00503014">
        <w:t>tudi prizadevalo.</w:t>
      </w:r>
    </w:p>
    <w:p w14:paraId="1EC4DB5A" w14:textId="77777777" w:rsidR="00695AE2" w:rsidRDefault="00695AE2" w:rsidP="00695AE2">
      <w:pPr>
        <w:spacing w:line="240" w:lineRule="auto"/>
        <w:jc w:val="both"/>
        <w:rPr>
          <w:rFonts w:eastAsia="Times New Roman"/>
          <w:lang w:eastAsia="sl-SI"/>
        </w:rPr>
      </w:pPr>
    </w:p>
    <w:p w14:paraId="011FCB50"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Zaradi ohranjanja razmerij je bila v novem plačnem sistemu primerljivost višjih državnih odvetnikov določena z višjimi državnimi tožilci in višjimi državnimi odvetniki – funkcionarji, saj</w:t>
      </w:r>
      <w:r w:rsidRPr="00503014">
        <w:t xml:space="preserve"> je Državno odvetništvo RS z uvrstitvijo javnih uslužbencev poskušalo razliko med obema kategorijama čim bolj zmanjšati, glede na že omenjeno dejstvo, da opravljajo enako delo. </w:t>
      </w:r>
      <w:r w:rsidRPr="00503014">
        <w:rPr>
          <w:rFonts w:eastAsia="Times New Roman"/>
          <w:lang w:eastAsia="sl-SI"/>
        </w:rPr>
        <w:t xml:space="preserve">Zaradi zakonske zahteve po desetih plačnih razredih razpona je bil za višje državne odvetnike – javne uslužbence določen razpon plačnih razredov 49–59. </w:t>
      </w:r>
    </w:p>
    <w:p w14:paraId="3BC777B5" w14:textId="77777777" w:rsidR="00695AE2" w:rsidRPr="00503014" w:rsidRDefault="00695AE2" w:rsidP="00695AE2">
      <w:pPr>
        <w:spacing w:line="240" w:lineRule="auto"/>
        <w:jc w:val="both"/>
        <w:rPr>
          <w:rFonts w:eastAsia="Times New Roman"/>
          <w:lang w:eastAsia="sl-SI"/>
        </w:rPr>
      </w:pPr>
    </w:p>
    <w:p w14:paraId="6E4824B5"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lastRenderedPageBreak/>
        <w:t xml:space="preserve">Višji državni odvetniki, ki </w:t>
      </w:r>
      <w:r w:rsidRPr="00503014">
        <w:rPr>
          <w:rFonts w:eastAsia="Times New Roman" w:cstheme="minorHAnsi"/>
          <w:lang w:eastAsia="sl-SI"/>
        </w:rPr>
        <w:t xml:space="preserve">so po opravljeni izbiri na javnem natečaju sklenili pogodbe o zaposlitvi za uradniško delovno mesto višji državni odvetnik, pred tem pa so identične naloge Državnega odvetništva RS dolga leta opravljali na funkciji kot </w:t>
      </w:r>
      <w:r w:rsidRPr="00503014">
        <w:rPr>
          <w:rFonts w:eastAsia="Times New Roman"/>
          <w:lang w:eastAsia="sl-SI"/>
        </w:rPr>
        <w:t>državni pravobranilci oziroma po uveljavitvi ZDOdv višji državni odvetniki – funkcionarji</w:t>
      </w:r>
      <w:r w:rsidRPr="00503014">
        <w:rPr>
          <w:rFonts w:eastAsia="Times New Roman" w:cstheme="minorHAnsi"/>
          <w:lang w:eastAsia="sl-SI"/>
        </w:rPr>
        <w:t xml:space="preserve"> in so zaradi dolgega staža že dosegli vse plačne razrede napredovanj, s</w:t>
      </w:r>
      <w:r w:rsidRPr="00503014">
        <w:rPr>
          <w:rFonts w:eastAsia="Times New Roman"/>
          <w:lang w:eastAsia="sl-SI"/>
        </w:rPr>
        <w:t xml:space="preserve">o bili zaradi </w:t>
      </w:r>
      <w:r w:rsidRPr="00503014">
        <w:rPr>
          <w:rFonts w:asciiTheme="minorHAnsi" w:hAnsiTheme="minorHAnsi" w:cstheme="minorHAnsi"/>
        </w:rPr>
        <w:t xml:space="preserve">plačnega stropa in </w:t>
      </w:r>
      <w:r w:rsidRPr="00503014">
        <w:rPr>
          <w:rFonts w:eastAsia="Times New Roman" w:cstheme="minorHAnsi"/>
          <w:lang w:eastAsia="sl-SI"/>
        </w:rPr>
        <w:t xml:space="preserve">omejitve števila napredovanj, ki so jih lahko dosegli kot funkcionarji, </w:t>
      </w:r>
      <w:r w:rsidRPr="00503014">
        <w:rPr>
          <w:rFonts w:eastAsia="Times New Roman"/>
          <w:lang w:eastAsia="sl-SI"/>
        </w:rPr>
        <w:t>na podlagi določb ZSTSPJS uvrščeni nižje kot višji državni odvetniki, ki pred sklenitvijo delovnega razmerja na delovnem mestu višji državni odvetnik niso bili funkcionarji.  »Novi višji državni odvetniki«, ker so na delovno mesto višjega državnega odvetnika prenesli napredovanja s prejšnjih, javnouslužbenskih delovnih mest, so tako prehiteli starejši kader, kar že ustvarja nove anomalije ter neenako obravnavo.</w:t>
      </w:r>
      <w:r w:rsidRPr="00503014">
        <w:rPr>
          <w:noProof/>
        </w:rPr>
        <w:drawing>
          <wp:anchor distT="0" distB="0" distL="114300" distR="114300" simplePos="0" relativeHeight="251659264" behindDoc="0" locked="0" layoutInCell="1" allowOverlap="0" wp14:anchorId="52219BC3" wp14:editId="6E617A7A">
            <wp:simplePos x="0" y="0"/>
            <wp:positionH relativeFrom="page">
              <wp:posOffset>6979920</wp:posOffset>
            </wp:positionH>
            <wp:positionV relativeFrom="page">
              <wp:posOffset>6045835</wp:posOffset>
            </wp:positionV>
            <wp:extent cx="3175" cy="6350"/>
            <wp:effectExtent l="0" t="0" r="0" b="0"/>
            <wp:wrapSquare wrapText="bothSides"/>
            <wp:docPr id="1588021265"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14:sizeRelH relativeFrom="page">
              <wp14:pctWidth>0</wp14:pctWidth>
            </wp14:sizeRelH>
            <wp14:sizeRelV relativeFrom="page">
              <wp14:pctHeight>0</wp14:pctHeight>
            </wp14:sizeRelV>
          </wp:anchor>
        </w:drawing>
      </w:r>
      <w:r w:rsidRPr="00503014">
        <w:rPr>
          <w:noProof/>
        </w:rPr>
        <w:drawing>
          <wp:anchor distT="0" distB="0" distL="114300" distR="114300" simplePos="0" relativeHeight="251660288" behindDoc="0" locked="0" layoutInCell="1" allowOverlap="0" wp14:anchorId="2CA49714" wp14:editId="41449E60">
            <wp:simplePos x="0" y="0"/>
            <wp:positionH relativeFrom="page">
              <wp:posOffset>7183755</wp:posOffset>
            </wp:positionH>
            <wp:positionV relativeFrom="page">
              <wp:posOffset>4664710</wp:posOffset>
            </wp:positionV>
            <wp:extent cx="3175" cy="6350"/>
            <wp:effectExtent l="0" t="0" r="0" b="0"/>
            <wp:wrapSquare wrapText="bothSides"/>
            <wp:docPr id="685662876"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pic:spPr>
                </pic:pic>
              </a:graphicData>
            </a:graphic>
            <wp14:sizeRelH relativeFrom="page">
              <wp14:pctWidth>0</wp14:pctWidth>
            </wp14:sizeRelH>
            <wp14:sizeRelV relativeFrom="page">
              <wp14:pctHeight>0</wp14:pctHeight>
            </wp14:sizeRelV>
          </wp:anchor>
        </w:drawing>
      </w:r>
      <w:r w:rsidRPr="00503014">
        <w:rPr>
          <w:noProof/>
        </w:rPr>
        <w:drawing>
          <wp:anchor distT="0" distB="0" distL="114300" distR="114300" simplePos="0" relativeHeight="251661312" behindDoc="0" locked="0" layoutInCell="1" allowOverlap="0" wp14:anchorId="007CA6FD" wp14:editId="491EF0C8">
            <wp:simplePos x="0" y="0"/>
            <wp:positionH relativeFrom="page">
              <wp:posOffset>6726555</wp:posOffset>
            </wp:positionH>
            <wp:positionV relativeFrom="page">
              <wp:posOffset>7402830</wp:posOffset>
            </wp:positionV>
            <wp:extent cx="8890" cy="6350"/>
            <wp:effectExtent l="0" t="0" r="0" b="0"/>
            <wp:wrapSquare wrapText="bothSides"/>
            <wp:docPr id="201234098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Pr="00503014">
        <w:rPr>
          <w:noProof/>
        </w:rPr>
        <w:drawing>
          <wp:anchor distT="0" distB="0" distL="114300" distR="114300" simplePos="0" relativeHeight="251662336" behindDoc="0" locked="0" layoutInCell="1" allowOverlap="0" wp14:anchorId="4307FD54" wp14:editId="248E4833">
            <wp:simplePos x="0" y="0"/>
            <wp:positionH relativeFrom="page">
              <wp:posOffset>7113905</wp:posOffset>
            </wp:positionH>
            <wp:positionV relativeFrom="page">
              <wp:posOffset>5688965</wp:posOffset>
            </wp:positionV>
            <wp:extent cx="6350" cy="8890"/>
            <wp:effectExtent l="0" t="0" r="0" b="0"/>
            <wp:wrapSquare wrapText="bothSides"/>
            <wp:docPr id="518197699"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pic:spPr>
                </pic:pic>
              </a:graphicData>
            </a:graphic>
            <wp14:sizeRelH relativeFrom="page">
              <wp14:pctWidth>0</wp14:pctWidth>
            </wp14:sizeRelH>
            <wp14:sizeRelV relativeFrom="page">
              <wp14:pctHeight>0</wp14:pctHeight>
            </wp14:sizeRelV>
          </wp:anchor>
        </w:drawing>
      </w:r>
      <w:r w:rsidRPr="00503014">
        <w:rPr>
          <w:noProof/>
        </w:rPr>
        <w:drawing>
          <wp:anchor distT="0" distB="0" distL="114300" distR="114300" simplePos="0" relativeHeight="251663360" behindDoc="0" locked="0" layoutInCell="1" allowOverlap="0" wp14:anchorId="0174875A" wp14:editId="2CED944E">
            <wp:simplePos x="0" y="0"/>
            <wp:positionH relativeFrom="page">
              <wp:posOffset>6775450</wp:posOffset>
            </wp:positionH>
            <wp:positionV relativeFrom="page">
              <wp:posOffset>5713730</wp:posOffset>
            </wp:positionV>
            <wp:extent cx="6350" cy="6350"/>
            <wp:effectExtent l="0" t="0" r="0" b="0"/>
            <wp:wrapSquare wrapText="bothSides"/>
            <wp:docPr id="1841539142"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503014">
        <w:rPr>
          <w:rFonts w:eastAsia="Times New Roman"/>
          <w:lang w:eastAsia="sl-SI"/>
        </w:rPr>
        <w:t xml:space="preserve"> </w:t>
      </w:r>
    </w:p>
    <w:p w14:paraId="60B523C5" w14:textId="77777777" w:rsidR="00695AE2" w:rsidRPr="00503014" w:rsidRDefault="00695AE2" w:rsidP="00695AE2">
      <w:pPr>
        <w:spacing w:line="240" w:lineRule="auto"/>
        <w:jc w:val="both"/>
      </w:pPr>
    </w:p>
    <w:p w14:paraId="202A2BB0" w14:textId="77777777" w:rsidR="00695AE2" w:rsidRPr="00503014" w:rsidRDefault="00695AE2" w:rsidP="00695AE2">
      <w:pPr>
        <w:spacing w:line="240" w:lineRule="auto"/>
        <w:jc w:val="both"/>
      </w:pPr>
      <w:r w:rsidRPr="00503014">
        <w:t>V organu je torej že prišlo oziroma bo tudi v nadaljevanju še prišlo do situacije, da bodo javni uslužbenci, ki delo opravljajo na manj zahtevnih delovnih mestih, s prehodom na bolj zahtevno delovno mesto višjega državnega odvetnika zaradi prenosa vseh doseženih plačnih razredov v javno uslužbenskem sistemu s plačo presegli najizkušenejše višje državne odvetnike, ki najzahtevnejše naloge v organu opravljajo že vrsto let, vendar so to delo opravljali (tudi) v statusu funkcionarja, ki je imel glede možnosti napredovanj določeno drugačno (počasnejšo) dinamiko. Neutemeljene razlike med zaposlenimi povzročajo trenja, ta so se s prehodom na nov plačni sistem še intenzivirala, nekateri zaposleni pa so pred delovnim sodiščem že vložili tudi tožbe.</w:t>
      </w:r>
    </w:p>
    <w:p w14:paraId="0CDAC0BA" w14:textId="77777777" w:rsidR="00695AE2" w:rsidRPr="00503014" w:rsidRDefault="00695AE2" w:rsidP="00695AE2">
      <w:pPr>
        <w:spacing w:line="240" w:lineRule="auto"/>
        <w:jc w:val="both"/>
      </w:pPr>
      <w:r w:rsidRPr="00503014">
        <w:t xml:space="preserve"> </w:t>
      </w:r>
    </w:p>
    <w:p w14:paraId="3F20657B" w14:textId="77777777" w:rsidR="00695AE2" w:rsidRPr="00503014" w:rsidRDefault="00695AE2" w:rsidP="00695AE2">
      <w:pPr>
        <w:spacing w:line="240" w:lineRule="auto"/>
        <w:jc w:val="both"/>
      </w:pPr>
      <w:r w:rsidRPr="00503014">
        <w:t xml:space="preserve">Vse tožeče stranke v omenjenih delovnopravnih sporih so nekdanji funkcionarji, ki so po določbah ZJU o zaposlitvi na uradniških delovnih mestih in po uspešno izvedenih postopkih javnega natečaja sklenili pogodbo o zaposlitvi z istim delodajalcem, na istoimenskem delovnem mestu, z istimi nalogami in pristojnostmi v istem tarifnem razredu, ki je VIII. tarifni razred. Tožeče stranke navajajo, da je bistvo tožbe usmerjeno v pravni položaj, v katerem so javni uslužbenci z manj ali nič delovnimi izkušnjami na najzahtevnejšem delovnem mestu višjega državnega odvetnika uvrščeni v višje plačne razrede kot so na istem delovnem mestu uvrščeni višji državni odvetniki, ki delo na tem delovnem mestu opravljajo vrsto let dlje od prvih. Funkcije so bile uvrščene v plačne razrede z zakonom, v zgornji del plačne lestvice (kompresija). V enakih časovnih obdobjih je bilo na njih mogoče napredovati za manjše število plačnih razredov, kot so lahko v VIII. tarifnem razredu napredovali javni uslužbenci. S sklenitvijo pogodbe o zaposlitvi na delovnem mestu višji državni odvetnik, ki je uvrščen v VIII. tarifni razred, se je štelo, da je javni uslužbenec – nekdanji funkcionar prvič vstopil v javno uslužbenski sistem. Napredovanja v plačnih razredih, ki so bila (v preteklosti) pridobljena na funkciji, se v (nov) status javnega uslužbenca niso prenesla oziroma se niso upoštevala. Predstojnik je upošteval preteklo kariero javnih uslužbencev – nekdanjih funkcionarjev tako, da jim je v okviru zakonske diskrecijske pravice določil za 5 plačnih razredov višji plačni razred od izhodiščnega plačnega razreda. S tem, da so višji državni odvetniki, ki so prvič zasedli to delovno mesto, z manj izkušnjami pri izvrševanju nalog delovnega mesta višjega državnega odvetnika, uvrščeni v višji plačni razred kot javni uslužbenci – nekdanji funkcionarji, ki naloge višjega državnega odvetnika opravljajo več kot dvakrat dlje od prvih, je po mnenju tožečih strank trajno porušeno sorazmerje vrednosti istega dela, na istem delovnem mestu v istem plačnem stebru, za kar ni stvarnih in razumnih razlogov, ki bi bili povezani s predmetom urejanja. Tožeče stranke menijo, da pravo varuje pridobljene pravice, ki pri prevedbi plače in določitvi plačnega razreda javnim uslužbencem – nekdanjim funkcionarjem niso bile upoštevane na enak način kot primerjani skupini. Ob pravilnem tolmačenju predpisov bi se po </w:t>
      </w:r>
      <w:r w:rsidRPr="00503014">
        <w:lastRenderedPageBreak/>
        <w:t>mnenju tožečih strank morala ob prevedbi upoštevati celotna karierna pot na različnih funkcijah in delovnih mestih pri toženi stranki. Tako bi se izenačile s kolegi, ki niso prehajali med funkcionarskim in javnouslužbenskim sistemom. Svoja stališča tožeče stranke utemeljujejo na ustavno skladni uporabi določb, ki (so) urejale funkcionarske in javnouslužbenske pravice in njim pripadajočo plačno ureditev.</w:t>
      </w:r>
    </w:p>
    <w:p w14:paraId="58E1E537" w14:textId="77777777" w:rsidR="00695AE2" w:rsidRPr="00503014" w:rsidRDefault="00695AE2" w:rsidP="00695AE2">
      <w:pPr>
        <w:spacing w:line="240" w:lineRule="auto"/>
        <w:jc w:val="both"/>
      </w:pPr>
    </w:p>
    <w:p w14:paraId="6D235E65" w14:textId="77777777" w:rsidR="00695AE2" w:rsidRPr="00503014" w:rsidRDefault="00695AE2" w:rsidP="00695AE2">
      <w:pPr>
        <w:spacing w:line="240" w:lineRule="auto"/>
        <w:jc w:val="both"/>
      </w:pPr>
      <w:r w:rsidRPr="00503014">
        <w:t>Državno odvetništvo RS kot tožena stranka v odgovorih na tožbo pojasnjuje, da je pri prevedbi PR tožečih strank v celoti sledila in upoštevala relevantne veljavne določbe ZSTSPJS in Pravilnika o uvrstitvi delovnih mest in nazivov v plačne razrede na Državnem odvetništvu Republike Slovenije.</w:t>
      </w:r>
    </w:p>
    <w:p w14:paraId="00E94CB8" w14:textId="77777777" w:rsidR="00695AE2" w:rsidRPr="00503014" w:rsidRDefault="00695AE2" w:rsidP="00695AE2">
      <w:pPr>
        <w:spacing w:line="240" w:lineRule="auto"/>
        <w:jc w:val="both"/>
      </w:pPr>
    </w:p>
    <w:p w14:paraId="1130E46C" w14:textId="77777777" w:rsidR="00695AE2" w:rsidRPr="00503014" w:rsidRDefault="00695AE2" w:rsidP="00695AE2">
      <w:pPr>
        <w:spacing w:line="240" w:lineRule="auto"/>
        <w:jc w:val="both"/>
      </w:pPr>
      <w:r w:rsidRPr="00503014">
        <w:t xml:space="preserve">Z namenom ureditve razmerij med zaposlenimi in predvsem minimiziranja potencialno neustavnih razlik je Državno odvetništvo RS v mesecu maju 2025 Ministrstvu za javno upravo predlagalo sprejem določbe, ki bi po vzoru nekaterih drugih določb ZSTSPJS tudi za nekdanje funkcionarje Državnega odvetništva RS upoštevala celotno doseženo delovno dobo na delovnih </w:t>
      </w:r>
      <w:r w:rsidRPr="00503014">
        <w:rPr>
          <w:noProof/>
        </w:rPr>
        <w:drawing>
          <wp:inline distT="0" distB="0" distL="0" distR="0" wp14:anchorId="398153F2" wp14:editId="317E431B">
            <wp:extent cx="9525" cy="9525"/>
            <wp:effectExtent l="0" t="0" r="0" b="0"/>
            <wp:docPr id="1207627340"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03014">
        <w:t>mestih ali funkciji v istem tarifnem razredu, za katerega se kot pogoj za zasedbo delovnega mesta oziroma opravljanje funkcije zahteva pravniški državni izpit. Na tak način bi bili glede napredovanj in prenosa plačnih razredov napredovanj kategoriji javnih uslužbencev in funkcionarjev v bolj izenačeni situaciji.</w:t>
      </w:r>
    </w:p>
    <w:p w14:paraId="1BB7B1D8" w14:textId="77777777" w:rsidR="00695AE2" w:rsidRPr="00503014" w:rsidRDefault="00695AE2" w:rsidP="00695AE2">
      <w:pPr>
        <w:spacing w:line="240" w:lineRule="auto"/>
        <w:jc w:val="both"/>
      </w:pPr>
    </w:p>
    <w:p w14:paraId="712E69B2" w14:textId="77777777" w:rsidR="00695AE2" w:rsidRPr="00503014" w:rsidRDefault="00695AE2" w:rsidP="00695AE2">
      <w:pPr>
        <w:pStyle w:val="Naslov5"/>
        <w:ind w:left="0" w:firstLine="0"/>
      </w:pPr>
      <w:bookmarkStart w:id="126" w:name="_Toc223093750"/>
      <w:r w:rsidRPr="00503014">
        <w:t>Pogled v prihodnost – kaj lahko prinese odmik Državnega odvetništva RS od drugih pravosodnih organov?</w:t>
      </w:r>
      <w:bookmarkEnd w:id="126"/>
      <w:r w:rsidRPr="00503014">
        <w:t xml:space="preserve">  </w:t>
      </w:r>
    </w:p>
    <w:p w14:paraId="1C99B908" w14:textId="77777777" w:rsidR="00695AE2" w:rsidRPr="00503014" w:rsidRDefault="00695AE2" w:rsidP="00695AE2">
      <w:pPr>
        <w:spacing w:line="240" w:lineRule="auto"/>
        <w:jc w:val="both"/>
        <w:rPr>
          <w:rFonts w:cstheme="minorHAnsi"/>
        </w:rPr>
      </w:pPr>
    </w:p>
    <w:p w14:paraId="505C1E3B" w14:textId="77777777" w:rsidR="00695AE2" w:rsidRPr="00503014" w:rsidRDefault="00695AE2" w:rsidP="00695AE2">
      <w:pPr>
        <w:spacing w:line="240" w:lineRule="auto"/>
        <w:jc w:val="both"/>
        <w:rPr>
          <w:bCs/>
          <w:color w:val="000000" w:themeColor="text1"/>
        </w:rPr>
      </w:pPr>
      <w:r w:rsidRPr="00503014">
        <w:rPr>
          <w:rFonts w:cstheme="minorHAnsi"/>
        </w:rPr>
        <w:t xml:space="preserve">Državno odvetništvo RS uvodoma izrecno poudarja, </w:t>
      </w:r>
      <w:r w:rsidRPr="00503014">
        <w:rPr>
          <w:bCs/>
          <w:color w:val="000000" w:themeColor="text1"/>
        </w:rPr>
        <w:t xml:space="preserve">da Državno odvetništvo RS funkcije oziroma delovnega mesta državnega odvetnika ne enači s funkcijo sodnika ali državnega tožilca. Državno odvetništvo RS je namreč že večkrat poudarilo, da enakosti že pojmovno ne more biti (prav tako enakost ne obstaja med sodniki in državnimi tožilci), obstaja pa primerljivost in to v zadostni meri za (nadaljnjo) enakovredno plačno uvrstitev. Poleg tega tudi uvrstitve nikoli niso bile popolnoma izenačene, saj na Državnem odvetništvu RS ni ovrednotena funkcija zastopanja na stopnji vrhovnega (in ustavnega) sodišča ter na mednarodni ravni (navedene pristojnosti se izvajajo le v nazivu višjega državnega odvetnika), prav tako na Državnem odvetništvu RS ni možno napredovati v naziv svetnika. </w:t>
      </w:r>
    </w:p>
    <w:p w14:paraId="79008B5B" w14:textId="77777777" w:rsidR="00695AE2" w:rsidRPr="00503014" w:rsidRDefault="00695AE2" w:rsidP="00695AE2">
      <w:pPr>
        <w:spacing w:line="240" w:lineRule="auto"/>
        <w:jc w:val="both"/>
        <w:rPr>
          <w:rFonts w:cstheme="minorHAnsi"/>
        </w:rPr>
      </w:pPr>
    </w:p>
    <w:p w14:paraId="24EF1EAB" w14:textId="77777777" w:rsidR="00695AE2" w:rsidRPr="00503014" w:rsidRDefault="00695AE2" w:rsidP="00695AE2">
      <w:pPr>
        <w:spacing w:line="240" w:lineRule="auto"/>
        <w:jc w:val="both"/>
        <w:rPr>
          <w:rFonts w:cstheme="minorHAnsi"/>
          <w:color w:val="000000"/>
        </w:rPr>
      </w:pPr>
      <w:r w:rsidRPr="00503014">
        <w:rPr>
          <w:rFonts w:cstheme="minorHAnsi"/>
        </w:rPr>
        <w:t xml:space="preserve">Po mnenju Državnega odvetništva RS bi moralo biti državi v interesu, da ima v vsaki od svojih vlog v sodnih postopkih (ki se uresničujejo prek funkcije sojenja in prek udeležbe države na strani strank postopka, ki jo po zakonskih pooblastilih izvajata državno odvetništvo in državno tožilstvo) enakovredno usposobljene, motivirane, nagrajene in odgovorne predstavnike. Zaradi tega bi bilo seveda smiselno, da so plače pravnikov, ki si izberejo poklic v javnem delu pravosodja, enake oziroma vsaj primerljive, če se za izbrani poklic zahteva enaka strokovna usposobljenost. Pogoji za zasedbo delovnega mesta odsevajo zahtevnost dela in nalog, ki se na tem delovnem mestu opravljajo, in to je bistveni element primerljivosti; na tem mestu je zato treba ponovno poudariti, da so zaradi primerljive vsebine </w:t>
      </w:r>
      <w:r w:rsidRPr="00503014">
        <w:rPr>
          <w:rFonts w:eastAsia="Times New Roman" w:cstheme="minorHAnsi"/>
        </w:rPr>
        <w:t>in zahtevnosti nalog tudi pogoji za zasedbo državno tožilskih in državno odvetniških mest, tudi sodniških, praktično enaki</w:t>
      </w:r>
      <w:r w:rsidRPr="00503014">
        <w:rPr>
          <w:rFonts w:cstheme="minorHAnsi"/>
        </w:rPr>
        <w:t xml:space="preserve"> ter so primerljivi tudi drugi pogoji in naloge pri delu. Državni odvetniki in višji državni odvetniki so po svojih pristojnostih in vsebini dela primerljivi z državnimi tožilci oziroma lahko v nekaterih primerih izvajajo svoje pristojnosti celo na višjih ravneh; t</w:t>
      </w:r>
      <w:r w:rsidRPr="00503014">
        <w:rPr>
          <w:rFonts w:cstheme="minorHAnsi"/>
          <w:color w:val="000000"/>
        </w:rPr>
        <w:t xml:space="preserve">ako državni odvetniki kot državni tožilci so nosilci izvršilne državne funkcije na področju pravosodja – prek obojih se država </w:t>
      </w:r>
      <w:r w:rsidRPr="00503014">
        <w:rPr>
          <w:rFonts w:cstheme="minorHAnsi"/>
          <w:color w:val="000000"/>
        </w:rPr>
        <w:lastRenderedPageBreak/>
        <w:t xml:space="preserve">udeležuje postopkov pred sodišči, pri čemer je glavnina aktivnosti državnih tožilcev na področju kazenskega pregona, državni odvetniki pa pristojnosti izvajajo na ostalih pravnih področjih. Zato </w:t>
      </w:r>
      <w:r w:rsidRPr="00503014">
        <w:rPr>
          <w:rFonts w:cstheme="minorHAnsi"/>
        </w:rPr>
        <w:t xml:space="preserve">ni sprejemljivo, da bodo kadri, ki so za delo v pravosodju v zadnjih letih žal vse manj motivirani, med temeljnimi poklici v pravosodju primorani izbirati glede na pričakovane karierne in materialne možnosti. Temeljno vodilo bi moralo biti uresničevanje poklicnega zanimanja, kar je pogoj za zdravo kadrovsko konkurenco in pretočnost strokovnjakov med pravosodnimi organi ter za delovno motivacijo, vztrajnost in kakovostno opravljanje nalog posameznikov, kar pa vse zagotovo so cilji, ki bi morali biti v interesu države. </w:t>
      </w:r>
    </w:p>
    <w:p w14:paraId="04783C4C" w14:textId="77777777" w:rsidR="00695AE2" w:rsidRPr="00503014" w:rsidRDefault="00695AE2" w:rsidP="00695AE2">
      <w:pPr>
        <w:spacing w:line="240" w:lineRule="auto"/>
        <w:jc w:val="both"/>
        <w:rPr>
          <w:rFonts w:cstheme="minorHAnsi"/>
        </w:rPr>
      </w:pPr>
    </w:p>
    <w:p w14:paraId="13ADEF9A" w14:textId="77777777" w:rsidR="00695AE2" w:rsidRPr="00503014" w:rsidRDefault="00695AE2" w:rsidP="00695AE2">
      <w:pPr>
        <w:spacing w:line="240" w:lineRule="auto"/>
        <w:jc w:val="both"/>
        <w:rPr>
          <w:rFonts w:cstheme="minorHAnsi"/>
        </w:rPr>
      </w:pPr>
      <w:r w:rsidRPr="00503014">
        <w:rPr>
          <w:rFonts w:cstheme="minorHAnsi"/>
        </w:rPr>
        <w:t xml:space="preserve">Glede na navedeno Državno odvetništvo RS z vso resnostjo opozarja, da bo poslabšanje položaja državnih odvetnikov v primerjavi z drugimi primerljivimi vlogami v pravosodju bistveno poslabšalo možnosti pridobivanja in zadržanja kadra in s tem učinkovito opravljanje nalog organa. Zaostajanje pri plačnih razmerjih bo namreč zagotovo vodilo do odliva obstoječega kadra med sodnike in tožilce, zaposlitev na Državnem odvetništvu RS pa za mlajši, obetaven kader zaradi nekonkurenčnih plač ob enakih zaposlitvenih pogojih ne bo več zanimiva. Državno odvetništvo RS tako dolgoročno (glede na starostno strukturo obstoječega kadra pa verjetno že srednjeročno) zaradi grozeče deficitarnosti poklica državnega odvetnika ne bo več moglo zagotavljati varstva premoženjskih in drugih pravic in interesov RS v skladu z najvišjimi profesionalnimi standardi, kar bo nujno vodilo do padca učinkovitosti in uspešnosti pri izvajanju nalog in pristojnosti. </w:t>
      </w:r>
    </w:p>
    <w:p w14:paraId="12CD9F12" w14:textId="77777777" w:rsidR="00695AE2" w:rsidRPr="00503014" w:rsidRDefault="00695AE2" w:rsidP="00695AE2">
      <w:pPr>
        <w:spacing w:line="240" w:lineRule="auto"/>
        <w:jc w:val="both"/>
        <w:rPr>
          <w:rFonts w:cstheme="minorHAnsi"/>
        </w:rPr>
      </w:pPr>
    </w:p>
    <w:p w14:paraId="755C2AE3" w14:textId="77777777" w:rsidR="00695AE2" w:rsidRPr="00503014" w:rsidRDefault="00695AE2" w:rsidP="00695AE2">
      <w:pPr>
        <w:spacing w:line="240" w:lineRule="auto"/>
        <w:jc w:val="both"/>
        <w:rPr>
          <w:rFonts w:eastAsia="Times New Roman"/>
          <w:color w:val="007466"/>
          <w:lang w:eastAsia="sl-SI"/>
        </w:rPr>
      </w:pPr>
      <w:r w:rsidRPr="00503014">
        <w:rPr>
          <w:rFonts w:cstheme="minorHAnsi"/>
        </w:rPr>
        <w:t xml:space="preserve">Ustavno sodišče RS je v odločbi št. U-I-772/21-37 z dne 1. 6. 2023 ponovilo svoje že večkrat izraženo stališče, da ustavno načelo enakosti pred zakonom zavezuje zakonodajalca k enaki obravnavi enakih oziroma v bistvenem podobnih primerov. V novi plačni zakonodaji ni bil upoštevan specifični položaj državnih odvetnikov, do katerega je pripeljala reforma organa v letu 2017. Glede na že večkrat poudarjeno ustavno načelo enakosti in načelo, da je treba enako delo enako vrednotiti ter pri tem zagotavljati enake pravice in obveznosti, ki se zagotavljajo posameznikom v enakovrednih položajih, Državno odvetništvo RS ponovno meni, da bo zgoraj opisano situacijo mogoče preseči le s sprejemom nove normativne podlage delovanja Državnega odvetništva RS, katere bistven element je tudi vrnitev funkcionarskega statusa.  </w:t>
      </w:r>
    </w:p>
    <w:p w14:paraId="6BE62CE4" w14:textId="77777777" w:rsidR="00695AE2" w:rsidRPr="00503014" w:rsidRDefault="00695AE2" w:rsidP="00695AE2">
      <w:pPr>
        <w:spacing w:line="240" w:lineRule="auto"/>
        <w:jc w:val="both"/>
        <w:rPr>
          <w:rFonts w:eastAsia="Times New Roman"/>
          <w:lang w:eastAsia="sl-SI"/>
        </w:rPr>
      </w:pPr>
    </w:p>
    <w:p w14:paraId="78550C5A" w14:textId="77777777" w:rsidR="00695AE2" w:rsidRPr="00503014" w:rsidRDefault="00695AE2" w:rsidP="00695AE2">
      <w:pPr>
        <w:pStyle w:val="Naslov4"/>
        <w:ind w:left="0" w:firstLine="0"/>
        <w:rPr>
          <w:lang w:eastAsia="sl-SI"/>
        </w:rPr>
      </w:pPr>
      <w:bookmarkStart w:id="127" w:name="_Toc191561764"/>
      <w:bookmarkStart w:id="128" w:name="_Toc223093751"/>
      <w:r w:rsidRPr="00503014">
        <w:t>Delovna skupina za pripravo kriterijev obremenjenosti in za izdelavo ocene potrebne kadrovske strukture strokovnega kadra</w:t>
      </w:r>
      <w:bookmarkEnd w:id="127"/>
      <w:bookmarkEnd w:id="128"/>
    </w:p>
    <w:p w14:paraId="71C7DDB1" w14:textId="77777777" w:rsidR="00695AE2" w:rsidRPr="00503014" w:rsidRDefault="00695AE2" w:rsidP="00695AE2">
      <w:pPr>
        <w:spacing w:line="240" w:lineRule="auto"/>
        <w:jc w:val="both"/>
        <w:rPr>
          <w:rFonts w:eastAsia="Times New Roman"/>
          <w:lang w:eastAsia="sl-SI"/>
        </w:rPr>
      </w:pPr>
    </w:p>
    <w:p w14:paraId="1B90B907" w14:textId="77777777" w:rsidR="00695AE2" w:rsidRPr="00503014" w:rsidRDefault="00695AE2" w:rsidP="00695AE2">
      <w:pPr>
        <w:spacing w:line="240" w:lineRule="auto"/>
        <w:jc w:val="both"/>
        <w:rPr>
          <w:rFonts w:eastAsia="Calibri"/>
        </w:rPr>
      </w:pPr>
      <w:r w:rsidRPr="00503014">
        <w:rPr>
          <w:rFonts w:eastAsia="Times New Roman"/>
          <w:lang w:eastAsia="sl-SI"/>
        </w:rPr>
        <w:t>Leta 2023 je bila z odredbo generalne državne odvetnice ustanovljena posebna delovna skupina, katere naloga je</w:t>
      </w:r>
      <w:r w:rsidRPr="00503014">
        <w:rPr>
          <w:rFonts w:eastAsia="Calibri"/>
        </w:rPr>
        <w:t xml:space="preserve">, da ob upoštevanju vrste in obsega opravil, ki jih zahteva izvajanje nalog Državnega odvetništva RS pripravi </w:t>
      </w:r>
      <w:r w:rsidRPr="00503014">
        <w:rPr>
          <w:rFonts w:eastAsia="Times New Roman"/>
          <w:lang w:eastAsia="sl-SI"/>
        </w:rPr>
        <w:t xml:space="preserve">celovito analizo, ki bo služila kot pripomoček za dolgoročno načrtovanje kadrovskih potreb. Cilji skupine so bili </w:t>
      </w:r>
      <w:r w:rsidRPr="00503014">
        <w:rPr>
          <w:rFonts w:eastAsia="Calibri"/>
        </w:rPr>
        <w:t xml:space="preserve">priprava kriterijev za določitev zahtevnosti posameznih nalog oziroma sklopov nalog ter najnižji profil strokovnega kadra, ki posamezne naloge oziroma sklop nalog lahko opravlja, priprava kriterijev primerne obremenjenosti za posamezni profil strokovnega kadra ter izdelava ocene potrebne kadrovske strukture strokovnega kadra na Državnem odvetništvu. </w:t>
      </w:r>
    </w:p>
    <w:p w14:paraId="1A170069" w14:textId="77777777" w:rsidR="00695AE2" w:rsidRPr="00503014" w:rsidRDefault="00695AE2" w:rsidP="00695AE2">
      <w:pPr>
        <w:spacing w:line="240" w:lineRule="auto"/>
        <w:jc w:val="both"/>
        <w:rPr>
          <w:rFonts w:eastAsia="Calibri"/>
        </w:rPr>
      </w:pPr>
    </w:p>
    <w:p w14:paraId="7F777ED4" w14:textId="77777777" w:rsidR="00695AE2" w:rsidRPr="00503014" w:rsidRDefault="00695AE2" w:rsidP="00695AE2">
      <w:pPr>
        <w:spacing w:line="240" w:lineRule="auto"/>
        <w:jc w:val="both"/>
      </w:pPr>
      <w:r w:rsidRPr="00503014">
        <w:rPr>
          <w:rFonts w:eastAsia="Calibri"/>
        </w:rPr>
        <w:t xml:space="preserve">Delovna skupina je bila v letu 2025 še posebej aktivna in se je sestala na kar nekaj delovnih sestankih.  </w:t>
      </w:r>
      <w:r w:rsidRPr="00503014">
        <w:t xml:space="preserve">Delo delovne skupine je bilo zahtevno, razprave pa pogosto zelo živahne, saj je bilo treba uskladiti pogosto zelo različna stališča tako glede metodoloških izhodišč kot tudi glede </w:t>
      </w:r>
      <w:r w:rsidRPr="00503014">
        <w:lastRenderedPageBreak/>
        <w:t xml:space="preserve">primerjave posameznih področij dela in nato vrednotenja posameznih vrst zadev na način njihovega točkovanja. Delovna skupina se je lotila tudi opredelitve okoliščin, ki tako vplivajo na obravnavo posamezne zadeve, da se osnovno točkovanje zadeve korigira z določenim faktorjem. To so na primer dejstvo, da se zadeva obravnava v okviru predhodnega postopka poskusa mirne rešitve spora, da gre za stransko intervencijo Republike Slovenije, da  Republika Slovenija nastopa na strani aktivno legitimirane stranke postopka, da je v zadevi vložena začasna odredba, da zadevo obravnava sodišče izven sedeža oddelka, da se v zadevi obravnavajo tudi podatki s stopnjo tajnosti, da je v zadevi pravna podlaga zahtevka več kot en temelj, da je vrednost spora nad 1 milijon evrov in podobno. </w:t>
      </w:r>
    </w:p>
    <w:p w14:paraId="26497E2F" w14:textId="77777777" w:rsidR="00695AE2" w:rsidRPr="00503014" w:rsidRDefault="00695AE2" w:rsidP="00695AE2">
      <w:pPr>
        <w:spacing w:line="240" w:lineRule="auto"/>
        <w:jc w:val="both"/>
      </w:pPr>
    </w:p>
    <w:p w14:paraId="6C7A8B97" w14:textId="77777777" w:rsidR="00695AE2" w:rsidRPr="00503014" w:rsidRDefault="00695AE2" w:rsidP="00695AE2">
      <w:pPr>
        <w:spacing w:line="240" w:lineRule="auto"/>
        <w:jc w:val="both"/>
      </w:pPr>
      <w:r w:rsidRPr="00503014">
        <w:t>Ključna izhodišča pri pripravi kriterijev obremenjenosti so bila:</w:t>
      </w:r>
    </w:p>
    <w:p w14:paraId="344A1ABD" w14:textId="77777777" w:rsidR="00695AE2" w:rsidRPr="00503014" w:rsidRDefault="00695AE2" w:rsidP="00695AE2">
      <w:pPr>
        <w:spacing w:line="240" w:lineRule="auto"/>
        <w:jc w:val="both"/>
      </w:pPr>
    </w:p>
    <w:p w14:paraId="19F09A4E" w14:textId="77777777" w:rsidR="00695AE2" w:rsidRPr="00503014" w:rsidRDefault="00695AE2" w:rsidP="00695AE2">
      <w:pPr>
        <w:widowControl w:val="0"/>
        <w:numPr>
          <w:ilvl w:val="0"/>
          <w:numId w:val="47"/>
        </w:numPr>
        <w:spacing w:line="240" w:lineRule="auto"/>
        <w:jc w:val="both"/>
      </w:pPr>
      <w:r w:rsidRPr="00503014">
        <w:t xml:space="preserve">sistem vrednotenja mora biti zasnovan tako, da bo podatke o obremenjenosti mogoče pridobivati iz IS Feniks; pripravo podatkov o obremenjenosti je treba popolnoma avtomatizirati, saj so dosedanje simulacije pokazale, da so ročna preračunavanja izredno zamudna in iz tega vidika nesmotrna; </w:t>
      </w:r>
    </w:p>
    <w:p w14:paraId="3E5C6D6A" w14:textId="77777777" w:rsidR="00695AE2" w:rsidRPr="00503014" w:rsidRDefault="00695AE2" w:rsidP="00695AE2">
      <w:pPr>
        <w:widowControl w:val="0"/>
        <w:numPr>
          <w:ilvl w:val="0"/>
          <w:numId w:val="47"/>
        </w:numPr>
        <w:spacing w:line="240" w:lineRule="auto"/>
        <w:jc w:val="both"/>
      </w:pPr>
      <w:r w:rsidRPr="00503014">
        <w:t>da bi lahko dosegli ustrezne primerjave med vsemi oddelki, ki bodo nato služile predvsem oblikovanju oziroma sprejemu odločitev glede kadrovskega načrtovanja, pa tudi za potrebe določanja delovne uspešnosti in v tem okviru zajema dela, je bilo treba za vsa delovna področja uporabiti enako metodologijo in zadeve, kljub njihovi dejanski različnosti, primerjati med sabo – treba je bilo vzpostaviti primerljivost med delovnimi področji in v tem delu so bile izkušnje zaposlenih, ki že vrsto let delajo vsa pravna področja, zelo dobrodošle;</w:t>
      </w:r>
    </w:p>
    <w:p w14:paraId="7ADE557E" w14:textId="77777777" w:rsidR="00695AE2" w:rsidRPr="00503014" w:rsidRDefault="00695AE2" w:rsidP="00695AE2">
      <w:pPr>
        <w:widowControl w:val="0"/>
        <w:numPr>
          <w:ilvl w:val="0"/>
          <w:numId w:val="47"/>
        </w:numPr>
        <w:spacing w:line="240" w:lineRule="auto"/>
        <w:jc w:val="both"/>
      </w:pPr>
      <w:r w:rsidRPr="00503014">
        <w:t>zaradi racionalizacije se upošteva vrednotenje zadeve kot celote in ne posameznih opravil, ki jih nosilec med obravnavanjem zadeve izvede, saj se dolgoročno  zadeve izravnajo na način, da so spisi z enakim temeljem enkrat bolj zahtevni, drugič manj, v povprečju pa so zadeve znotraj določenega temelja med sabo popolnoma primerljive in se jih lahko enako vrednoti;</w:t>
      </w:r>
    </w:p>
    <w:p w14:paraId="3E82C8BF" w14:textId="77777777" w:rsidR="00695AE2" w:rsidRPr="00503014" w:rsidRDefault="00695AE2" w:rsidP="00695AE2">
      <w:pPr>
        <w:widowControl w:val="0"/>
        <w:numPr>
          <w:ilvl w:val="0"/>
          <w:numId w:val="47"/>
        </w:numPr>
        <w:spacing w:line="240" w:lineRule="auto"/>
        <w:jc w:val="both"/>
      </w:pPr>
      <w:r w:rsidRPr="00503014">
        <w:t>kot osnova za vrednotenje zadeve služi njen temelj, ki se določi že ob odprtju spisa in je tudi zabeležen v vpisniku; temelje oziroma zadeve z določenim temeljem se je nato razvrstilo v rubrike »lažja zadeva«, »standardna zadeva« in »težja zadeva«;</w:t>
      </w:r>
    </w:p>
    <w:p w14:paraId="3A5C1889" w14:textId="77777777" w:rsidR="00695AE2" w:rsidRPr="00503014" w:rsidRDefault="00695AE2" w:rsidP="00695AE2">
      <w:pPr>
        <w:widowControl w:val="0"/>
        <w:numPr>
          <w:ilvl w:val="0"/>
          <w:numId w:val="47"/>
        </w:numPr>
        <w:spacing w:line="240" w:lineRule="auto"/>
        <w:jc w:val="both"/>
      </w:pPr>
      <w:r w:rsidRPr="00503014">
        <w:t xml:space="preserve">za civilnopravno in gospodarskopravno področje (PCG vpisnik) se je enake temelje oziroma zadeve z enakim temeljem nadalje vrednotilo različno tudi glede na sodišče, pred katerim se zadeva obravnava – obravnava zadeve z enakim temeljem pred okrajnim, okrožnim pravdnim ali okrožnim gospodarskim sodiščem prinese različno število točk; glede na sprejeti »sodniški« trojček bo vrednotenje, povezano z obravnavo zadeve pred okrajnim ali okrožnim sodiščem – pravdnim ali gospodarskim, treba prilagoditi, in sicer verjetno na način upoštevanja vrednosti spora (meja bi lahko na primer bila znesek 20.000,00 evrov); </w:t>
      </w:r>
    </w:p>
    <w:p w14:paraId="7A260EBE" w14:textId="77777777" w:rsidR="00695AE2" w:rsidRPr="00503014" w:rsidRDefault="00695AE2" w:rsidP="00695AE2">
      <w:pPr>
        <w:widowControl w:val="0"/>
        <w:numPr>
          <w:ilvl w:val="0"/>
          <w:numId w:val="47"/>
        </w:numPr>
        <w:spacing w:line="240" w:lineRule="auto"/>
        <w:jc w:val="both"/>
      </w:pPr>
      <w:r w:rsidRPr="00503014">
        <w:t xml:space="preserve">kot  najbolj objektivni vhodni podatki za določanje obremenjenosti so ob urejenih režimih dodeljevanja novih zadev podatki glede pripada novih zadev v določenem časovnem obdobju in ne morda podatki zadev v delu ali zaključenih zadev, na katere že vplivajo tudi zunanji dejavniki, kot je potek postopka na sodišču, ali pa tudi subjektivni, kot je na primer aktivnost nosilca spisa; </w:t>
      </w:r>
    </w:p>
    <w:p w14:paraId="21107A19" w14:textId="77777777" w:rsidR="00695AE2" w:rsidRPr="00503014" w:rsidRDefault="00695AE2" w:rsidP="00695AE2">
      <w:pPr>
        <w:widowControl w:val="0"/>
        <w:numPr>
          <w:ilvl w:val="0"/>
          <w:numId w:val="47"/>
        </w:numPr>
        <w:spacing w:line="240" w:lineRule="auto"/>
        <w:jc w:val="both"/>
      </w:pPr>
      <w:r w:rsidRPr="00503014">
        <w:t xml:space="preserve">za izhodišče je služila klasična civilna pravda pred okrožnim sodiščem, ki se je kot standard ovrednotila s 100 točkami, nato pa se je za zadeve iz drugih delovnih področij, vedno upoštevaje temelj zadeve, določalo število točk glede na to, koliko je zadeva iz </w:t>
      </w:r>
      <w:r w:rsidRPr="00503014">
        <w:lastRenderedPageBreak/>
        <w:t>določenega delovnega področja z določenim temeljem vredna v primerjavi s klasično civilno pravdo.</w:t>
      </w:r>
    </w:p>
    <w:p w14:paraId="1028DA4A" w14:textId="77777777" w:rsidR="00695AE2" w:rsidRPr="00503014" w:rsidRDefault="00695AE2" w:rsidP="00695AE2">
      <w:pPr>
        <w:spacing w:line="240" w:lineRule="auto"/>
        <w:jc w:val="both"/>
      </w:pPr>
    </w:p>
    <w:p w14:paraId="0A4B0E1F" w14:textId="77777777" w:rsidR="00695AE2" w:rsidRPr="00503014" w:rsidRDefault="00695AE2" w:rsidP="00695AE2">
      <w:pPr>
        <w:spacing w:line="240" w:lineRule="auto"/>
        <w:jc w:val="both"/>
      </w:pPr>
      <w:r w:rsidRPr="00503014">
        <w:t xml:space="preserve">Gre za vzpostavitev sistema spremljanja obremenjenosti nosilcev izvajanja nalog in pristojnosti Državnega odvetništva RS, ki ne upošteva zgolj absolutnih številk prejetih zadev, zadev v delu in zaključenih zadev, kot se za posamezen kvartal leta že od uveljavitve ZDOdv dalje zbirajo na podlagi 26. člena Pravilnika o poslovanju državnega odvetništva. Če se bo v nadaljevanju, po implementaciji sistema vrednotenja, pokazalo za potrebno, se bodo dodeljene točke seveda lahko še spreminjale, zaenkrat pa je delovna skupina glede točkovanja dosegla praktično popolno soglasje. </w:t>
      </w:r>
    </w:p>
    <w:p w14:paraId="7C696871" w14:textId="77777777" w:rsidR="00695AE2" w:rsidRPr="00503014" w:rsidRDefault="00695AE2" w:rsidP="00695AE2">
      <w:pPr>
        <w:spacing w:line="240" w:lineRule="auto"/>
        <w:jc w:val="both"/>
      </w:pPr>
    </w:p>
    <w:p w14:paraId="72D8A531" w14:textId="77777777" w:rsidR="00695AE2" w:rsidRPr="00503014" w:rsidRDefault="00695AE2" w:rsidP="00695AE2">
      <w:pPr>
        <w:spacing w:line="240" w:lineRule="auto"/>
        <w:jc w:val="both"/>
      </w:pPr>
      <w:r w:rsidRPr="00503014">
        <w:t xml:space="preserve">Delovno skupino v letu 2026 čaka še priprava predlogov glede vrednotenja zadev Svetovalno-analitičnega oddelka in Mednarodnega oddelka, točkovanja določenih aktivnosti zaposlenih na Državnem odvetništvu RS, ki niso vezane na obravnavo posameznih zadev, kot na primer sodelovanje v delovnih skupinah, mentoriranje novo zaposlenih ali mlajših kolegov, priprava internih izobraževanj, članstvo v komisijah za izvedbo nadzora nad delom in poslovanjem oddelkov Državnega odvetništva RS, neplačana predavanja s predstavitvami delovanja ali področij dela oziroma problematik, ki jih obravnava Državno odvetništvo RS  in podobno. Ko bodo vsi parametri vrednotenja določeni, bo sledila simulacija točkovanja reprezentativnega vzorca posameznega profila kadra in določitev meje primerne obremenjenosti. Število točk, ki pomeni primerno obremenjenost, bo za vse profile kadra enaka, znotraj tega pa bodo točke prispevale različno strukturirane zadeve oziroma zadeve različnih pravnih področij.    </w:t>
      </w:r>
    </w:p>
    <w:p w14:paraId="7C464999" w14:textId="77777777" w:rsidR="00695AE2" w:rsidRPr="00503014" w:rsidRDefault="00695AE2" w:rsidP="00695AE2">
      <w:pPr>
        <w:spacing w:line="240" w:lineRule="auto"/>
        <w:jc w:val="both"/>
        <w:rPr>
          <w:rFonts w:eastAsia="Calibri"/>
          <w:sz w:val="28"/>
          <w:szCs w:val="28"/>
        </w:rPr>
      </w:pPr>
    </w:p>
    <w:p w14:paraId="2F827C14" w14:textId="77777777" w:rsidR="00695AE2" w:rsidRPr="00503014" w:rsidRDefault="00695AE2" w:rsidP="00695AE2">
      <w:pPr>
        <w:pStyle w:val="Naslov3"/>
      </w:pPr>
      <w:bookmarkStart w:id="129" w:name="_Toc191561765"/>
      <w:bookmarkStart w:id="130" w:name="_Toc223093752"/>
      <w:r w:rsidRPr="00503014">
        <w:t>Področje splošnih zadev</w:t>
      </w:r>
      <w:bookmarkEnd w:id="108"/>
      <w:bookmarkEnd w:id="129"/>
      <w:bookmarkEnd w:id="130"/>
      <w:r w:rsidRPr="00503014">
        <w:t xml:space="preserve"> </w:t>
      </w:r>
    </w:p>
    <w:p w14:paraId="3BDECABB" w14:textId="77777777" w:rsidR="00695AE2" w:rsidRPr="00503014" w:rsidRDefault="00695AE2" w:rsidP="00695AE2">
      <w:pPr>
        <w:spacing w:line="240" w:lineRule="auto"/>
        <w:jc w:val="both"/>
        <w:rPr>
          <w:rFonts w:eastAsia="Times New Roman"/>
          <w:sz w:val="28"/>
          <w:szCs w:val="28"/>
        </w:rPr>
      </w:pPr>
    </w:p>
    <w:p w14:paraId="6D143C00" w14:textId="77777777" w:rsidR="00695AE2" w:rsidRPr="00503014" w:rsidRDefault="00695AE2" w:rsidP="00695AE2">
      <w:pPr>
        <w:pStyle w:val="Naslov4"/>
      </w:pPr>
      <w:bookmarkStart w:id="131" w:name="_Toc191561766"/>
      <w:bookmarkStart w:id="132" w:name="_Toc223093753"/>
      <w:r w:rsidRPr="00503014">
        <w:t>Splošno</w:t>
      </w:r>
      <w:bookmarkEnd w:id="131"/>
      <w:bookmarkEnd w:id="132"/>
      <w:r w:rsidRPr="00503014">
        <w:t xml:space="preserve"> </w:t>
      </w:r>
    </w:p>
    <w:p w14:paraId="3C4EC48F" w14:textId="77777777" w:rsidR="00695AE2" w:rsidRPr="00503014" w:rsidRDefault="00695AE2" w:rsidP="00695AE2">
      <w:pPr>
        <w:pStyle w:val="Jasna"/>
      </w:pPr>
    </w:p>
    <w:p w14:paraId="34D785D4" w14:textId="77777777" w:rsidR="00695AE2" w:rsidRPr="00503014" w:rsidRDefault="00695AE2" w:rsidP="00695AE2">
      <w:pPr>
        <w:spacing w:line="240" w:lineRule="auto"/>
        <w:jc w:val="both"/>
        <w:rPr>
          <w:rFonts w:eastAsia="Calibri"/>
        </w:rPr>
      </w:pPr>
      <w:r w:rsidRPr="00503014">
        <w:rPr>
          <w:rFonts w:eastAsia="Calibri"/>
        </w:rPr>
        <w:t>V letu 2025 je Državno odvetništvo RS nadaljevalo s prakso dela na domu za zaposlene, katerih naloge to dopuščajo, pri čemer se takšen način dela še vedno kaže kot učinkovit in za zaposlene ugoden, saj prispeva k boljši razporeditvi časa, manjši obremenjenosti zaradi dnevnih prevozov ter večji osredotočenosti pri zahtevnejših nalogah. Delo poteka v skladu s Pravilnikom o delu na domu, ki določa pogoje ter obseg opravljanja nalog iz domačega okolja, del tega postopka pa je tudi presoja ustreznosti domačega delovnega prostora s strani strokovnega sodelavca za varnost pri delu, ki zaposlenim svetuje glede ergonomske ureditve in varnega dela. Zaposleni so tudi v letu 2025 preko varnih oddaljenih povezav dostopali do portalov e</w:t>
      </w:r>
      <w:r w:rsidRPr="00503014">
        <w:rPr>
          <w:rFonts w:eastAsia="Calibri"/>
        </w:rPr>
        <w:noBreakHyphen/>
        <w:t>Sodstva, elektronsko podpisovali dokumente in jih vlagali v ustrezne sisteme enako zanesljivo kot v poslovnih prostorih Državnega odvetništva RS. Državno odvetništvo RS je ob tem nadaljevalo s posodabljanjem digitalnih rešitev ter uvajanjem izboljšav, ki podpirajo nemoteno, prilagodljivo in tehnološko napredno delo tako v domačem okolju kot v prostorih institucije.</w:t>
      </w:r>
    </w:p>
    <w:p w14:paraId="4B35F4BA" w14:textId="77777777" w:rsidR="00695AE2" w:rsidRPr="00503014" w:rsidRDefault="00695AE2" w:rsidP="00695AE2">
      <w:pPr>
        <w:spacing w:line="240" w:lineRule="auto"/>
        <w:jc w:val="both"/>
        <w:rPr>
          <w:rFonts w:eastAsia="Calibri"/>
        </w:rPr>
      </w:pPr>
    </w:p>
    <w:p w14:paraId="6FFA4DD2" w14:textId="77777777" w:rsidR="00695AE2" w:rsidRPr="00503014" w:rsidRDefault="00695AE2" w:rsidP="00695AE2">
      <w:pPr>
        <w:spacing w:line="240" w:lineRule="auto"/>
        <w:jc w:val="both"/>
        <w:rPr>
          <w:rFonts w:eastAsia="Calibri"/>
        </w:rPr>
      </w:pPr>
      <w:r w:rsidRPr="00503014">
        <w:rPr>
          <w:rFonts w:eastAsia="Calibri"/>
        </w:rPr>
        <w:t>V letu 2025 smo nadaljevali z osnovnimi usposabljanji zaposlenih na področju varnosti in zdravja pri delu (v nadaljevanju: VZD) ter varstva pred požarom (v nadaljevanju: VPP), skladno z vsebinami in roki iz Zakona o varnosti in zdravju pri delu (v nadaljevanju: ZVZD</w:t>
      </w:r>
      <w:r w:rsidRPr="00503014">
        <w:rPr>
          <w:rFonts w:eastAsia="Calibri"/>
        </w:rPr>
        <w:noBreakHyphen/>
        <w:t xml:space="preserve">1) ter Zakona o varstvu pred požarom (v nadaljevanju: ZVPoz); usposabljanje za VZD poteka ob sklenitvi delovnega razmerja in pred potekom rokov, opredeljenih v Izjavi o varnosti z oceno tveganja, usposabljanje za VPP pa ob sklenitvi delovnega razmerja oziroma pred potekom roka, </w:t>
      </w:r>
      <w:r w:rsidRPr="00503014">
        <w:rPr>
          <w:rFonts w:eastAsia="Calibri"/>
        </w:rPr>
        <w:lastRenderedPageBreak/>
        <w:t>določenega glede na oceno požarne ogroženosti objekta. V sodelovanju s pooblaščenim zunanjim strokovnim izvajalcem so bila v letu 2025 izvedena redna vsebinska osvežitvena usposabljanja za vse zaposlene na področju VZD in VPP, dodatno pa smo za vse oddelke organizirali tudi celovito usposabljanje gašenja začetnih požarov, s čimer se je začelo novo triletno obdobje veljavnosti teh znanj. V skladu z zakonodajo skrbno vodimo evidenco o VZD (na podlagi ZVZD</w:t>
      </w:r>
      <w:r w:rsidRPr="00503014">
        <w:rPr>
          <w:rFonts w:eastAsia="Calibri"/>
        </w:rPr>
        <w:noBreakHyphen/>
        <w:t>1) ter evidenco o VPP in zaposlenih z opravljenim usposabljanjem za gašenje požarov (na podlagi ZVPoz, zlasti 32. in 37. člena), kar zagotavlja sledljivost usposobljenosti, pravočasno obnavljanje znanj in skladnost z zakonskimi zahtevami.</w:t>
      </w:r>
    </w:p>
    <w:p w14:paraId="708871B7" w14:textId="77777777" w:rsidR="00695AE2" w:rsidRPr="00503014" w:rsidRDefault="00695AE2" w:rsidP="00695AE2">
      <w:pPr>
        <w:spacing w:line="240" w:lineRule="auto"/>
        <w:jc w:val="both"/>
        <w:rPr>
          <w:rFonts w:eastAsia="Calibri"/>
        </w:rPr>
      </w:pPr>
    </w:p>
    <w:p w14:paraId="3D7F6035" w14:textId="77777777" w:rsidR="00695AE2" w:rsidRPr="00503014" w:rsidRDefault="00695AE2" w:rsidP="00695AE2">
      <w:pPr>
        <w:spacing w:line="240" w:lineRule="auto"/>
        <w:jc w:val="both"/>
        <w:rPr>
          <w:rFonts w:eastAsia="Calibri"/>
        </w:rPr>
      </w:pPr>
      <w:r w:rsidRPr="00503014">
        <w:rPr>
          <w:rFonts w:eastAsia="Calibri"/>
        </w:rPr>
        <w:t>V letu 2025 smo se na Državnem odvetništvu RS sistematično lotili urejanja prostorskih pogojev na vseh naših oddelkih ter pri tem posebno pozornost namenili tako obstoječim delovnim prostorom kot arhivskim kapacitetam. Na Zunanjem oddelku državnega odvetništva v Mariboru smo zagotovili dodatne arhivske prostore, s čimer smo razbremenili prenatrpane obstoječe kapacitete, hkrati pa smo si ogledali tudi načrtovane nove prostore za Zunanji oddelek v Kopru in se aktivno vključili v priprave na selitev v sodelovanju z Ministrstvom za pravosodje. Na enak način poteka sodelovanje tudi pri drugih oddelkih, kjer skupaj z ministrstvom preučujemo možnosti za dolgoročno ustreznejše prostorske rešitve. Prostorska vprašanja, ki ostajajo ena od ključnih izzivov, obravnavamo tudi v okviru delovne skupine na ravni pravosodja, kjer s preostalimi deležniki usklajujemo potrebe po poslovnih in arhivskih prostorih ter načrtujemo nujna investicijska in vzdrževalna dela, vključno s tehničnim varovanjem objektov. Nadaljujemo tudi z reševanjem arhivske problematike na oddelkih in na sedežu, pri čemer se rešitve, ki so se izkazale kot učinkovite, uporabljajo tudi pri načrtovanju ureditev na drugih lokacijah Državnega odvetništva RS.</w:t>
      </w:r>
    </w:p>
    <w:p w14:paraId="5A9AAC4A" w14:textId="77777777" w:rsidR="00695AE2" w:rsidRPr="00503014" w:rsidRDefault="00695AE2" w:rsidP="00695AE2">
      <w:pPr>
        <w:spacing w:line="240" w:lineRule="auto"/>
        <w:jc w:val="both"/>
        <w:rPr>
          <w:rFonts w:eastAsia="Calibri"/>
        </w:rPr>
      </w:pPr>
    </w:p>
    <w:p w14:paraId="7AD08751" w14:textId="77777777" w:rsidR="00695AE2" w:rsidRPr="00503014" w:rsidRDefault="00695AE2" w:rsidP="00695AE2">
      <w:pPr>
        <w:spacing w:line="240" w:lineRule="auto"/>
        <w:jc w:val="both"/>
        <w:rPr>
          <w:rFonts w:eastAsia="Calibri"/>
        </w:rPr>
      </w:pPr>
      <w:r w:rsidRPr="00503014">
        <w:rPr>
          <w:rFonts w:eastAsia="Calibri"/>
        </w:rPr>
        <w:t xml:space="preserve">V letu 2025 smo na Državnem odvetništvu RS pomemben del sredstev in pozornosti usmerili v posodobitev nekaterih ključnih notranjih aktov, ureditev prostorov in varnostnih ureditev: v teku je prenova hišnega reda, izdelali smo Oceno ogroženosti in Načrt varovanja, hkrati pa smo se prednostno lotili urejanja ključnih prostorov, zlasti tistih, kjer so prisotne stranke, z namenom, da bodo pogoji dela za vse deležnike poslovanja udobni, pregledni in varni. </w:t>
      </w:r>
    </w:p>
    <w:p w14:paraId="2CE438F8" w14:textId="77777777" w:rsidR="00695AE2" w:rsidRPr="00503014" w:rsidRDefault="00695AE2" w:rsidP="00695AE2">
      <w:pPr>
        <w:spacing w:line="240" w:lineRule="auto"/>
        <w:jc w:val="both"/>
        <w:rPr>
          <w:rFonts w:eastAsia="Calibri"/>
        </w:rPr>
      </w:pPr>
    </w:p>
    <w:p w14:paraId="4A6A5663" w14:textId="77777777" w:rsidR="00695AE2" w:rsidRPr="00503014" w:rsidRDefault="00695AE2" w:rsidP="00695AE2">
      <w:pPr>
        <w:spacing w:line="240" w:lineRule="auto"/>
        <w:jc w:val="both"/>
        <w:rPr>
          <w:rFonts w:eastAsia="Calibri"/>
        </w:rPr>
      </w:pPr>
      <w:r w:rsidRPr="00503014">
        <w:rPr>
          <w:rFonts w:eastAsia="Calibri"/>
        </w:rPr>
        <w:t>Vzporedno smo okrepili sistemsko delo na področju varnosti: Delovna skupina za varnost je do konca leta 2025 zaključila z delom in oblikovala izhodišča ter nove standarde za enotnejše tehnično varovanje, jasnejše prioritetno razvrščanje vlaganj ter posodobljene metodologije obveščanja in ocenjevanja ogroženosti, ki bodo podlaga za nadaljnje izboljšave v naslednjih letih. Na področju usposabljanj smo sledili usmeritvam, da se varnostne vsebine zagotavljajo neprekinjeno in preventivno, z vključevanjem varnostnih tem v programe Centra za izobraževanje v pravosodju ter z možnostjo vključevanja strokovnjakov Ministrstva za notranje zadeve, Generalne policijske uprave za praktično naravnana izobraževanja o prepoznavanju tveganj, obvladovanju stresa in ustreznem ravnanju v tveganih položajih; hkrati smo v okviru pravosodnih deležnikov posodobili komunikacijske kanale in kontaktne točke za poročanje o varnostnih dogodkih, kar krepi odzivnost in varnostno kulturo institucije.</w:t>
      </w:r>
    </w:p>
    <w:p w14:paraId="6C80FB10" w14:textId="77777777" w:rsidR="00695AE2" w:rsidRPr="00503014" w:rsidRDefault="00695AE2" w:rsidP="00695AE2">
      <w:pPr>
        <w:spacing w:line="240" w:lineRule="auto"/>
        <w:jc w:val="both"/>
        <w:rPr>
          <w:rFonts w:eastAsia="Calibri"/>
        </w:rPr>
      </w:pPr>
    </w:p>
    <w:p w14:paraId="2B2C929E" w14:textId="77777777" w:rsidR="00695AE2" w:rsidRPr="00503014" w:rsidRDefault="00695AE2" w:rsidP="00695AE2">
      <w:pPr>
        <w:spacing w:line="240" w:lineRule="auto"/>
        <w:jc w:val="both"/>
        <w:rPr>
          <w:rFonts w:eastAsia="Calibri"/>
        </w:rPr>
      </w:pPr>
      <w:r w:rsidRPr="00503014">
        <w:rPr>
          <w:rFonts w:eastAsia="Calibri"/>
        </w:rPr>
        <w:t xml:space="preserve">V letu 2025 je Državno odvetništvo RS nadaljevalo s souporabo električnih vozil v sodelovanju z zunanjim izvajalcem Avant2Go, kar še naprej pomembno prispeva k zmanjševanju stroškov ter razbremenjevanju težav s parkirnimi mesti, predvsem v Ljubljani, kjer je uporaba najpogostejša, pa tudi v Mariboru, Kranju, Novem mestu, Murski Soboti in na relaciji do letališča Brnik. Z namenom varne in pravilne uporabe vozil smo v letu 2025 za zaposlene </w:t>
      </w:r>
      <w:r w:rsidRPr="00503014">
        <w:rPr>
          <w:rFonts w:eastAsia="Calibri"/>
        </w:rPr>
        <w:lastRenderedPageBreak/>
        <w:t>ponovno izvedli usposabljanje, s čimer smo okrepili zavedanje o pravilni rabi električnih vozil ter poudarili pomen varnega in odgovornega načina vožnje. Poleg tega smo se v letu 2025 aktivno lotili načrtovanja posodobitve voznega parka, s poudarkom na okolju prijaznejših in stroškovno učinkovitih rešitvah mobilnosti. Z navedenimi aktivnostmi Državno odvetništvo RS nadaljuje dosledno uresničevanje ciljev trajnostne mobilnosti in odgovornega ravnanja z okoljem.</w:t>
      </w:r>
    </w:p>
    <w:p w14:paraId="68019056" w14:textId="77777777" w:rsidR="00695AE2" w:rsidRPr="00503014" w:rsidRDefault="00695AE2" w:rsidP="00695AE2">
      <w:pPr>
        <w:spacing w:line="240" w:lineRule="auto"/>
        <w:jc w:val="both"/>
      </w:pPr>
    </w:p>
    <w:p w14:paraId="1F0B2463" w14:textId="77777777" w:rsidR="00695AE2" w:rsidRDefault="00695AE2" w:rsidP="00695AE2">
      <w:pPr>
        <w:spacing w:line="240" w:lineRule="auto"/>
        <w:jc w:val="both"/>
      </w:pPr>
      <w:r w:rsidRPr="00503014">
        <w:t>V prihodnje bo treba na Državnem odvetništvu RS še naprej namenjati posebno pozornost ključnim področjem, ki podpirajo varno, učinkovito in trajnostno poslovanje. Med prednostne naloge spadajo:</w:t>
      </w:r>
    </w:p>
    <w:p w14:paraId="097FA816" w14:textId="77777777" w:rsidR="00695AE2" w:rsidRPr="00503014" w:rsidRDefault="00695AE2" w:rsidP="00695AE2">
      <w:pPr>
        <w:spacing w:line="240" w:lineRule="auto"/>
        <w:jc w:val="both"/>
      </w:pPr>
    </w:p>
    <w:p w14:paraId="015FF75D" w14:textId="77777777" w:rsidR="00695AE2" w:rsidRPr="00503014" w:rsidRDefault="00695AE2" w:rsidP="00695AE2">
      <w:pPr>
        <w:numPr>
          <w:ilvl w:val="0"/>
          <w:numId w:val="86"/>
        </w:numPr>
        <w:spacing w:line="240" w:lineRule="auto"/>
        <w:contextualSpacing/>
        <w:jc w:val="both"/>
      </w:pPr>
      <w:r w:rsidRPr="00503014">
        <w:t>Nadaljnje zagotavljanje ustreznih arhivskih zmogljivosti za vse oddelke, zlasti tam, kjer prostorske kapacitete ostajajo omejene, ter izvedba dodatnih ureditev v skladu s potrebami posameznih lokacij.</w:t>
      </w:r>
    </w:p>
    <w:p w14:paraId="59A15412" w14:textId="77777777" w:rsidR="00695AE2" w:rsidRPr="00503014" w:rsidRDefault="00695AE2" w:rsidP="00695AE2">
      <w:pPr>
        <w:numPr>
          <w:ilvl w:val="0"/>
          <w:numId w:val="86"/>
        </w:numPr>
        <w:spacing w:line="240" w:lineRule="auto"/>
        <w:contextualSpacing/>
        <w:jc w:val="both"/>
      </w:pPr>
      <w:r w:rsidRPr="00503014">
        <w:t>Postopna nadgradnja tehničnega varovanja poslovnih prostorov v skladu z izhodišči in standardi, ki jih je konec leta 2025 oblikovala delovna skupina za varnost, s ciljem večje enotnosti, preglednosti in varnosti objektov.</w:t>
      </w:r>
    </w:p>
    <w:p w14:paraId="1D23139B" w14:textId="77777777" w:rsidR="00695AE2" w:rsidRPr="00503014" w:rsidRDefault="00695AE2" w:rsidP="00695AE2">
      <w:pPr>
        <w:numPr>
          <w:ilvl w:val="0"/>
          <w:numId w:val="86"/>
        </w:numPr>
        <w:spacing w:line="240" w:lineRule="auto"/>
        <w:contextualSpacing/>
        <w:jc w:val="both"/>
      </w:pPr>
      <w:r w:rsidRPr="00503014">
        <w:t>Krepitev sistematičnega pristopa k varnosti in zdravju pri delu, z nadaljevanjem izvajanja ukrepov za varno delovno okolje ter doslednim spremljanjem tveganj na vseh delovnih mestih.</w:t>
      </w:r>
    </w:p>
    <w:p w14:paraId="65B3D0D0" w14:textId="77777777" w:rsidR="00695AE2" w:rsidRPr="00503014" w:rsidRDefault="00695AE2" w:rsidP="00695AE2">
      <w:pPr>
        <w:numPr>
          <w:ilvl w:val="0"/>
          <w:numId w:val="86"/>
        </w:numPr>
        <w:spacing w:line="240" w:lineRule="auto"/>
        <w:contextualSpacing/>
        <w:jc w:val="both"/>
      </w:pPr>
      <w:r w:rsidRPr="00503014">
        <w:t>Posodobitev voznega parka, s prehodom na energetsko učinkovita in okolju prijaznejša vozila, ob nadaljevanju souporabe električnih vozil ter rednih usposabljanjih za zaposlene.</w:t>
      </w:r>
    </w:p>
    <w:p w14:paraId="3E5E9B8C" w14:textId="77777777" w:rsidR="00695AE2" w:rsidRPr="00503014" w:rsidRDefault="00695AE2" w:rsidP="00695AE2">
      <w:pPr>
        <w:numPr>
          <w:ilvl w:val="0"/>
          <w:numId w:val="86"/>
        </w:numPr>
        <w:spacing w:line="240" w:lineRule="auto"/>
        <w:contextualSpacing/>
        <w:jc w:val="both"/>
      </w:pPr>
      <w:r w:rsidRPr="00503014">
        <w:t>Krepitev okoljske odgovornosti, zlasti z ukrepi, ki zmanjšujejo vpliv poslovanja na okolje, izboljšujejo energetsko učinkovitost ter podpirajo trajnostno mobilnost.</w:t>
      </w:r>
    </w:p>
    <w:p w14:paraId="4E82177C" w14:textId="77777777" w:rsidR="00695AE2" w:rsidRPr="00503014" w:rsidRDefault="00695AE2" w:rsidP="00695AE2">
      <w:pPr>
        <w:numPr>
          <w:ilvl w:val="0"/>
          <w:numId w:val="86"/>
        </w:numPr>
        <w:spacing w:line="240" w:lineRule="auto"/>
        <w:contextualSpacing/>
        <w:jc w:val="both"/>
      </w:pPr>
      <w:r w:rsidRPr="00503014">
        <w:t>Nadaljevanje rednih usposabljanj zaposlenih na področju varnosti, vključno z osvežitvenimi programi za ravnanje v tveganih položajih, s poudarkom na preventivi in dvigu varnostne kulture.</w:t>
      </w:r>
    </w:p>
    <w:p w14:paraId="6FCBD0C7" w14:textId="77777777" w:rsidR="00695AE2" w:rsidRPr="00503014" w:rsidRDefault="00695AE2" w:rsidP="00695AE2">
      <w:pPr>
        <w:numPr>
          <w:ilvl w:val="0"/>
          <w:numId w:val="86"/>
        </w:numPr>
        <w:spacing w:line="240" w:lineRule="auto"/>
        <w:contextualSpacing/>
        <w:jc w:val="both"/>
      </w:pPr>
      <w:r w:rsidRPr="00503014">
        <w:t>Posodobitev tehničnega varovanja ter zaščite elektronskega komunikacijskega omrežja, da bo delovanje informacijskih sistemov še naprej varno, stabilno in skladno z varnostnimi priporočili.</w:t>
      </w:r>
    </w:p>
    <w:p w14:paraId="79154F3C" w14:textId="77777777" w:rsidR="00695AE2" w:rsidRPr="00503014" w:rsidRDefault="00695AE2" w:rsidP="00695AE2">
      <w:pPr>
        <w:numPr>
          <w:ilvl w:val="0"/>
          <w:numId w:val="86"/>
        </w:numPr>
        <w:spacing w:line="240" w:lineRule="auto"/>
        <w:contextualSpacing/>
        <w:jc w:val="both"/>
      </w:pPr>
      <w:r w:rsidRPr="00503014">
        <w:t>Prenova razsvetljave v poslovnih prostorih na Šubičevi 2 v Ljubljani, kar bo prispevalo k boljši energetski učinkovitosti, zmanjšanju stroškov ter večjem udobju pri delu.</w:t>
      </w:r>
    </w:p>
    <w:p w14:paraId="418DB532" w14:textId="77777777" w:rsidR="00695AE2" w:rsidRPr="00503014" w:rsidRDefault="00695AE2" w:rsidP="00695AE2">
      <w:pPr>
        <w:numPr>
          <w:ilvl w:val="0"/>
          <w:numId w:val="86"/>
        </w:numPr>
        <w:spacing w:line="240" w:lineRule="auto"/>
        <w:contextualSpacing/>
        <w:jc w:val="both"/>
      </w:pPr>
      <w:r w:rsidRPr="00503014">
        <w:t>Izvedba energetske in protipotresne prenove stavbe na Šubičevi 2, s čimer se bo povečala odpornost objekta na naravne nesreče in dolgoročno zagotovili varni pogoji za delo.</w:t>
      </w:r>
    </w:p>
    <w:p w14:paraId="746D1780" w14:textId="77777777" w:rsidR="00695AE2" w:rsidRPr="00503014" w:rsidRDefault="00695AE2" w:rsidP="00695AE2">
      <w:pPr>
        <w:numPr>
          <w:ilvl w:val="0"/>
          <w:numId w:val="86"/>
        </w:numPr>
        <w:spacing w:line="240" w:lineRule="auto"/>
        <w:contextualSpacing/>
        <w:jc w:val="both"/>
      </w:pPr>
      <w:r w:rsidRPr="00503014">
        <w:t>Zaključek prenove ključnih notranjih aktov, med drugim hišnega reda, ter redno posodabljanje Ocene ogroženosti, skladno z dejanskimi potrebami in ugotovitvami strokovnih služb</w:t>
      </w:r>
      <w:bookmarkStart w:id="133" w:name="_Toc191561767"/>
      <w:bookmarkStart w:id="134" w:name="_Hlk219892677"/>
      <w:r>
        <w:t>.</w:t>
      </w:r>
    </w:p>
    <w:p w14:paraId="182B8FA0" w14:textId="77777777" w:rsidR="00695AE2" w:rsidRPr="00503014" w:rsidRDefault="00695AE2" w:rsidP="00695AE2">
      <w:pPr>
        <w:spacing w:line="240" w:lineRule="auto"/>
        <w:jc w:val="both"/>
        <w:rPr>
          <w:rFonts w:eastAsia="Times New Roman"/>
          <w:b/>
          <w:color w:val="007466"/>
        </w:rPr>
      </w:pPr>
    </w:p>
    <w:p w14:paraId="5A31A5FF" w14:textId="77777777" w:rsidR="00695AE2" w:rsidRPr="00503014" w:rsidRDefault="00695AE2" w:rsidP="00695AE2">
      <w:pPr>
        <w:pStyle w:val="Naslov4"/>
      </w:pPr>
      <w:bookmarkStart w:id="135" w:name="_Toc223093754"/>
      <w:r w:rsidRPr="00503014">
        <w:t>Promocija zdravja na delovnem mestu</w:t>
      </w:r>
      <w:bookmarkEnd w:id="135"/>
    </w:p>
    <w:p w14:paraId="3DB9FC4E" w14:textId="77777777" w:rsidR="00695AE2" w:rsidRPr="00503014" w:rsidRDefault="00695AE2" w:rsidP="00695AE2">
      <w:pPr>
        <w:spacing w:line="240" w:lineRule="auto"/>
        <w:jc w:val="both"/>
      </w:pPr>
    </w:p>
    <w:p w14:paraId="23111FEB" w14:textId="77777777" w:rsidR="00695AE2" w:rsidRPr="00503014" w:rsidRDefault="00695AE2" w:rsidP="00695AE2">
      <w:pPr>
        <w:spacing w:line="240" w:lineRule="auto"/>
        <w:jc w:val="both"/>
      </w:pPr>
      <w:r w:rsidRPr="00503014">
        <w:rPr>
          <w:rFonts w:eastAsia="Calibri"/>
        </w:rPr>
        <w:t xml:space="preserve">Promocija zdravja na delovnem mestu zajema skupna prizadevanja in zavezanost delodajalca, delavcev in družbe za izboljšanje zdravja in dobrega počutja na delovnem mestu. </w:t>
      </w:r>
      <w:r w:rsidRPr="00503014">
        <w:t xml:space="preserve">V okviru načrtovanja promocije zdravja na delovnem mestu delodajalec določi in izvaja sistematično usmerjene aktivnosti in ukrepe, ki so namenjeni vsem delavcem pod enakimi pogoji in katerih namen je ohranjanje in krepitev duševnega in telesnega zdravja. </w:t>
      </w:r>
    </w:p>
    <w:p w14:paraId="67F2F4FD" w14:textId="77777777" w:rsidR="00695AE2" w:rsidRPr="00503014" w:rsidRDefault="00695AE2" w:rsidP="00695AE2">
      <w:pPr>
        <w:spacing w:line="240" w:lineRule="auto"/>
        <w:jc w:val="both"/>
        <w:rPr>
          <w:color w:val="000000" w:themeColor="text1"/>
        </w:rPr>
      </w:pPr>
      <w:r w:rsidRPr="00503014">
        <w:rPr>
          <w:color w:val="000000" w:themeColor="text1"/>
        </w:rPr>
        <w:lastRenderedPageBreak/>
        <w:t xml:space="preserve">Državno odvetništvo je v letu 2024 pristopilo k celoviti prenovi načrta promocije zdravja na delovnem mestu in dne 18. 9. 2024 sprejelo Načrt promocije zdravja na delovnem mestu za Državno odvetništvo. Posodobljen Načrt promocije zdravja na delovnem mestu vključuje širok nabor aktivnosti in ukrepov ter ima več ključnih ciljev, ki se osredotočajo na ohranjanje in krepitev telesnega ter duševnega zdravja zaposlenih. </w:t>
      </w:r>
    </w:p>
    <w:p w14:paraId="6EAD8CD6" w14:textId="77777777" w:rsidR="00695AE2" w:rsidRPr="00503014" w:rsidRDefault="00695AE2" w:rsidP="00695AE2">
      <w:pPr>
        <w:pStyle w:val="Jasna"/>
      </w:pPr>
    </w:p>
    <w:p w14:paraId="1300E269" w14:textId="77777777" w:rsidR="00695AE2" w:rsidRPr="00503014" w:rsidRDefault="00695AE2" w:rsidP="00695AE2">
      <w:pPr>
        <w:pStyle w:val="Jasna"/>
      </w:pPr>
      <w:r w:rsidRPr="00503014">
        <w:t xml:space="preserve">Glavni cilji, ki jih na tem področju zasleduje Državno odvetništvo RS, so: </w:t>
      </w:r>
    </w:p>
    <w:p w14:paraId="23FA8294" w14:textId="77777777" w:rsidR="00695AE2" w:rsidRPr="00453114" w:rsidRDefault="00695AE2" w:rsidP="00695AE2">
      <w:pPr>
        <w:pStyle w:val="Jasna"/>
      </w:pPr>
    </w:p>
    <w:p w14:paraId="5C703697" w14:textId="77777777" w:rsidR="00695AE2" w:rsidRPr="00503014" w:rsidRDefault="00695AE2" w:rsidP="00695AE2">
      <w:pPr>
        <w:numPr>
          <w:ilvl w:val="0"/>
          <w:numId w:val="85"/>
        </w:numPr>
        <w:spacing w:line="240" w:lineRule="auto"/>
        <w:jc w:val="both"/>
      </w:pPr>
      <w:r w:rsidRPr="00503014">
        <w:t>Izboljšanje organizacije dela in delovnega okolja:</w:t>
      </w:r>
    </w:p>
    <w:p w14:paraId="57EB1BFD" w14:textId="77777777" w:rsidR="00695AE2" w:rsidRPr="00503014" w:rsidRDefault="00695AE2" w:rsidP="00695AE2">
      <w:pPr>
        <w:numPr>
          <w:ilvl w:val="1"/>
          <w:numId w:val="85"/>
        </w:numPr>
        <w:spacing w:line="240" w:lineRule="auto"/>
      </w:pPr>
      <w:r w:rsidRPr="00503014">
        <w:t>ustvarjanje bolj zdravega in varnega delovnega okolja,</w:t>
      </w:r>
    </w:p>
    <w:p w14:paraId="719DB0A5" w14:textId="77777777" w:rsidR="00695AE2" w:rsidRPr="00503014" w:rsidRDefault="00695AE2" w:rsidP="00695AE2">
      <w:pPr>
        <w:numPr>
          <w:ilvl w:val="1"/>
          <w:numId w:val="85"/>
        </w:numPr>
        <w:spacing w:line="240" w:lineRule="auto"/>
      </w:pPr>
      <w:r w:rsidRPr="00503014">
        <w:t>spodbujanje organizacijskih sprememb, ki prispevajo k boljšemu zdravju zaposlenih, prijetnejšemu delovnemu okolju in zdravju zaposlenih;</w:t>
      </w:r>
    </w:p>
    <w:p w14:paraId="498E8DD2" w14:textId="77777777" w:rsidR="00695AE2" w:rsidRPr="00503014" w:rsidRDefault="00695AE2" w:rsidP="00695AE2">
      <w:pPr>
        <w:spacing w:line="240" w:lineRule="auto"/>
        <w:ind w:left="1080"/>
      </w:pPr>
    </w:p>
    <w:p w14:paraId="7CE39012" w14:textId="77777777" w:rsidR="00695AE2" w:rsidRPr="00503014" w:rsidRDefault="00695AE2" w:rsidP="00695AE2">
      <w:pPr>
        <w:numPr>
          <w:ilvl w:val="0"/>
          <w:numId w:val="85"/>
        </w:numPr>
        <w:spacing w:line="240" w:lineRule="auto"/>
        <w:jc w:val="both"/>
      </w:pPr>
      <w:r w:rsidRPr="00503014">
        <w:t>Spodbujanje zdravega življenjskega sloga:</w:t>
      </w:r>
    </w:p>
    <w:p w14:paraId="411AFA20" w14:textId="77777777" w:rsidR="00695AE2" w:rsidRPr="00503014" w:rsidRDefault="00695AE2" w:rsidP="00695AE2">
      <w:pPr>
        <w:numPr>
          <w:ilvl w:val="1"/>
          <w:numId w:val="85"/>
        </w:numPr>
        <w:spacing w:line="240" w:lineRule="auto"/>
      </w:pPr>
      <w:r w:rsidRPr="00503014">
        <w:t>motiviranje zaposlenih k sprejemanju zdravih navad in vedenj;</w:t>
      </w:r>
    </w:p>
    <w:p w14:paraId="42FA7391" w14:textId="77777777" w:rsidR="00695AE2" w:rsidRPr="00503014" w:rsidRDefault="00695AE2" w:rsidP="00695AE2">
      <w:pPr>
        <w:numPr>
          <w:ilvl w:val="1"/>
          <w:numId w:val="85"/>
        </w:numPr>
        <w:spacing w:line="240" w:lineRule="auto"/>
      </w:pPr>
      <w:r w:rsidRPr="00503014">
        <w:t>podpora aktivnostim, ki prispevajo k fizičnemu in duševnemu zdravju, kot so redna telesna vadba, uravnotežena prehrana in opustitev nezdravih navad;</w:t>
      </w:r>
    </w:p>
    <w:p w14:paraId="1D3068A1" w14:textId="77777777" w:rsidR="00695AE2" w:rsidRPr="00503014" w:rsidRDefault="00695AE2" w:rsidP="00695AE2">
      <w:pPr>
        <w:spacing w:line="240" w:lineRule="auto"/>
        <w:ind w:left="360"/>
      </w:pPr>
    </w:p>
    <w:p w14:paraId="652AB1FE" w14:textId="77777777" w:rsidR="00695AE2" w:rsidRPr="00503014" w:rsidRDefault="00695AE2" w:rsidP="00695AE2">
      <w:pPr>
        <w:numPr>
          <w:ilvl w:val="0"/>
          <w:numId w:val="85"/>
        </w:numPr>
        <w:spacing w:line="240" w:lineRule="auto"/>
      </w:pPr>
      <w:r w:rsidRPr="00503014">
        <w:t>Krepitev duševnega zdravja:</w:t>
      </w:r>
    </w:p>
    <w:p w14:paraId="31FB3E62" w14:textId="77777777" w:rsidR="00695AE2" w:rsidRPr="00503014" w:rsidRDefault="00695AE2" w:rsidP="00695AE2">
      <w:pPr>
        <w:numPr>
          <w:ilvl w:val="1"/>
          <w:numId w:val="85"/>
        </w:numPr>
        <w:spacing w:line="240" w:lineRule="auto"/>
      </w:pPr>
      <w:r w:rsidRPr="00503014">
        <w:t>zmanjšanje stresa na delovnem mestu, obvladovanja stresa in izboljšanje komunikacijskih veščin;</w:t>
      </w:r>
    </w:p>
    <w:p w14:paraId="0E94F8AA" w14:textId="77777777" w:rsidR="00695AE2" w:rsidRPr="00503014" w:rsidRDefault="00695AE2" w:rsidP="00695AE2">
      <w:pPr>
        <w:numPr>
          <w:ilvl w:val="1"/>
          <w:numId w:val="85"/>
        </w:numPr>
        <w:spacing w:line="240" w:lineRule="auto"/>
      </w:pPr>
      <w:r w:rsidRPr="00503014">
        <w:t>vzpodbujanje zdravega delovnega okolja, ki podpira psihološko dobro počutje zaposlenih;</w:t>
      </w:r>
    </w:p>
    <w:p w14:paraId="04145B0B" w14:textId="77777777" w:rsidR="00695AE2" w:rsidRPr="00503014" w:rsidRDefault="00695AE2" w:rsidP="00695AE2">
      <w:pPr>
        <w:spacing w:line="240" w:lineRule="auto"/>
        <w:ind w:left="360"/>
      </w:pPr>
    </w:p>
    <w:p w14:paraId="1BF55AD6" w14:textId="77777777" w:rsidR="00695AE2" w:rsidRPr="00503014" w:rsidRDefault="00695AE2" w:rsidP="00695AE2">
      <w:pPr>
        <w:numPr>
          <w:ilvl w:val="0"/>
          <w:numId w:val="85"/>
        </w:numPr>
        <w:spacing w:line="240" w:lineRule="auto"/>
      </w:pPr>
      <w:r w:rsidRPr="00503014">
        <w:t>Povečanje motivacije in zadovoljstva zaposlenih:</w:t>
      </w:r>
    </w:p>
    <w:p w14:paraId="2EAA932B" w14:textId="77777777" w:rsidR="00695AE2" w:rsidRPr="00503014" w:rsidRDefault="00695AE2" w:rsidP="00695AE2">
      <w:pPr>
        <w:numPr>
          <w:ilvl w:val="1"/>
          <w:numId w:val="85"/>
        </w:numPr>
        <w:spacing w:line="240" w:lineRule="auto"/>
      </w:pPr>
      <w:r w:rsidRPr="00503014">
        <w:t>izboljšanje zadovoljstva pri delu in povečanje pripadnosti organizaciji;</w:t>
      </w:r>
    </w:p>
    <w:p w14:paraId="60DCA0C6" w14:textId="77777777" w:rsidR="00695AE2" w:rsidRPr="00503014" w:rsidRDefault="00695AE2" w:rsidP="00695AE2">
      <w:pPr>
        <w:numPr>
          <w:ilvl w:val="1"/>
          <w:numId w:val="85"/>
        </w:numPr>
        <w:spacing w:line="240" w:lineRule="auto"/>
      </w:pPr>
      <w:r w:rsidRPr="00503014">
        <w:t>zmanjšanje odsotnosti z dela in ohranjanje že zaposlenih kadrov;</w:t>
      </w:r>
    </w:p>
    <w:p w14:paraId="0B10C910" w14:textId="77777777" w:rsidR="00695AE2" w:rsidRPr="00503014" w:rsidRDefault="00695AE2" w:rsidP="00695AE2">
      <w:pPr>
        <w:spacing w:line="240" w:lineRule="auto"/>
        <w:ind w:left="1080"/>
      </w:pPr>
    </w:p>
    <w:p w14:paraId="1DFE2B54" w14:textId="77777777" w:rsidR="00695AE2" w:rsidRPr="00503014" w:rsidRDefault="00695AE2" w:rsidP="00695AE2">
      <w:pPr>
        <w:numPr>
          <w:ilvl w:val="0"/>
          <w:numId w:val="85"/>
        </w:numPr>
        <w:spacing w:line="240" w:lineRule="auto"/>
      </w:pPr>
      <w:r w:rsidRPr="00503014">
        <w:t>Izobraževanje in ozaveščanje:</w:t>
      </w:r>
    </w:p>
    <w:p w14:paraId="3AD0F80D" w14:textId="77777777" w:rsidR="00695AE2" w:rsidRPr="00503014" w:rsidRDefault="00695AE2" w:rsidP="00695AE2">
      <w:pPr>
        <w:numPr>
          <w:ilvl w:val="1"/>
          <w:numId w:val="85"/>
        </w:numPr>
        <w:spacing w:line="240" w:lineRule="auto"/>
      </w:pPr>
      <w:r w:rsidRPr="00503014">
        <w:t>izobraževanje zaposlenih o pomembnosti zdravja in varnosti na delovnem mestu;</w:t>
      </w:r>
    </w:p>
    <w:p w14:paraId="7DC8EFF3" w14:textId="77777777" w:rsidR="00695AE2" w:rsidRPr="00503014" w:rsidRDefault="00695AE2" w:rsidP="00695AE2">
      <w:pPr>
        <w:numPr>
          <w:ilvl w:val="1"/>
          <w:numId w:val="85"/>
        </w:numPr>
        <w:spacing w:line="240" w:lineRule="auto"/>
      </w:pPr>
      <w:r w:rsidRPr="00503014">
        <w:t>ozaveščanje o zdravem načinu življenja in preprečevanju bolezni;</w:t>
      </w:r>
    </w:p>
    <w:p w14:paraId="20AA2654" w14:textId="77777777" w:rsidR="00695AE2" w:rsidRPr="00503014" w:rsidRDefault="00695AE2" w:rsidP="00695AE2">
      <w:pPr>
        <w:spacing w:line="240" w:lineRule="auto"/>
        <w:ind w:left="1080"/>
      </w:pPr>
    </w:p>
    <w:p w14:paraId="3A8D3178" w14:textId="77777777" w:rsidR="00695AE2" w:rsidRPr="00503014" w:rsidRDefault="00695AE2" w:rsidP="00695AE2">
      <w:pPr>
        <w:numPr>
          <w:ilvl w:val="0"/>
          <w:numId w:val="85"/>
        </w:numPr>
        <w:spacing w:line="240" w:lineRule="auto"/>
      </w:pPr>
      <w:r w:rsidRPr="00503014">
        <w:t>Vključevanje vseh zaposlenih:</w:t>
      </w:r>
    </w:p>
    <w:p w14:paraId="55AF90F9" w14:textId="77777777" w:rsidR="00695AE2" w:rsidRPr="00503014" w:rsidRDefault="00695AE2" w:rsidP="00695AE2">
      <w:pPr>
        <w:numPr>
          <w:ilvl w:val="1"/>
          <w:numId w:val="85"/>
        </w:numPr>
        <w:spacing w:line="240" w:lineRule="auto"/>
      </w:pPr>
      <w:r w:rsidRPr="00503014">
        <w:t>vključevanje vseh zaposlenih v aktivnosti promocije zdravja, ne glede na njihovo delovno mesto ali položaj v organu;</w:t>
      </w:r>
    </w:p>
    <w:p w14:paraId="4B598C21" w14:textId="77777777" w:rsidR="00695AE2" w:rsidRPr="00503014" w:rsidRDefault="00695AE2" w:rsidP="00695AE2">
      <w:pPr>
        <w:numPr>
          <w:ilvl w:val="1"/>
          <w:numId w:val="85"/>
        </w:numPr>
        <w:spacing w:line="240" w:lineRule="auto"/>
      </w:pPr>
      <w:r w:rsidRPr="00503014">
        <w:t>spodbujanje k sodelovanju in prispevanju k skupnim ciljem;</w:t>
      </w:r>
    </w:p>
    <w:p w14:paraId="4561A880" w14:textId="77777777" w:rsidR="00695AE2" w:rsidRPr="00503014" w:rsidRDefault="00695AE2" w:rsidP="00695AE2">
      <w:pPr>
        <w:spacing w:line="240" w:lineRule="auto"/>
        <w:ind w:left="1080"/>
      </w:pPr>
    </w:p>
    <w:p w14:paraId="4E8A2086" w14:textId="77777777" w:rsidR="00695AE2" w:rsidRPr="00503014" w:rsidRDefault="00695AE2" w:rsidP="00695AE2">
      <w:pPr>
        <w:numPr>
          <w:ilvl w:val="0"/>
          <w:numId w:val="85"/>
        </w:numPr>
        <w:spacing w:line="240" w:lineRule="auto"/>
      </w:pPr>
      <w:r w:rsidRPr="00503014">
        <w:t>Trajnostni razvoj in neprekinjeno izboljševanje:</w:t>
      </w:r>
    </w:p>
    <w:p w14:paraId="240E8F58" w14:textId="77777777" w:rsidR="00695AE2" w:rsidRPr="00503014" w:rsidRDefault="00695AE2" w:rsidP="00695AE2">
      <w:pPr>
        <w:numPr>
          <w:ilvl w:val="1"/>
          <w:numId w:val="85"/>
        </w:numPr>
        <w:spacing w:line="240" w:lineRule="auto"/>
      </w:pPr>
      <w:r w:rsidRPr="00503014">
        <w:t>zagotavljanje trajnosti programov promocije zdravja z rednim spremljanjem in vrednotenjem rezultatov;</w:t>
      </w:r>
    </w:p>
    <w:p w14:paraId="5D9DF490" w14:textId="77777777" w:rsidR="00695AE2" w:rsidRPr="00503014" w:rsidRDefault="00695AE2" w:rsidP="00695AE2">
      <w:pPr>
        <w:numPr>
          <w:ilvl w:val="1"/>
          <w:numId w:val="85"/>
        </w:numPr>
        <w:spacing w:line="240" w:lineRule="auto"/>
      </w:pPr>
      <w:r w:rsidRPr="00503014">
        <w:t xml:space="preserve">nenehno prilagajanje in izboljševanje programov glede na potrebe in povratne informacije zaposlenih. </w:t>
      </w:r>
    </w:p>
    <w:p w14:paraId="0FBC311A" w14:textId="77777777" w:rsidR="00695AE2" w:rsidRPr="00503014" w:rsidRDefault="00695AE2" w:rsidP="00695AE2">
      <w:pPr>
        <w:pStyle w:val="Jasna"/>
      </w:pPr>
    </w:p>
    <w:p w14:paraId="41B45E6E" w14:textId="77777777" w:rsidR="00695AE2" w:rsidRPr="00503014" w:rsidRDefault="00695AE2" w:rsidP="00695AE2">
      <w:pPr>
        <w:spacing w:line="240" w:lineRule="auto"/>
        <w:jc w:val="both"/>
        <w:rPr>
          <w:color w:val="000000" w:themeColor="text1"/>
        </w:rPr>
      </w:pPr>
      <w:r w:rsidRPr="00503014">
        <w:rPr>
          <w:rFonts w:eastAsia="Calibri"/>
        </w:rPr>
        <w:t xml:space="preserve">V letu 2025 je bila z odredbo generalne državne odvetnice imenovana delovna skupina za </w:t>
      </w:r>
      <w:r w:rsidRPr="00503014">
        <w:rPr>
          <w:color w:val="000000" w:themeColor="text1"/>
        </w:rPr>
        <w:t xml:space="preserve">izvajanje Načrta promocije zdravja na delovnem mestu, ki predlaga in izvaja ukrepe ter </w:t>
      </w:r>
      <w:r w:rsidRPr="00503014">
        <w:rPr>
          <w:color w:val="000000" w:themeColor="text1"/>
        </w:rPr>
        <w:lastRenderedPageBreak/>
        <w:t xml:space="preserve">aktivnosti, katerih namen je poskrbeti za promocijo zdravja zaposlenih na Državnem odvetništvu RS. </w:t>
      </w:r>
    </w:p>
    <w:p w14:paraId="3F976D57" w14:textId="77777777" w:rsidR="00695AE2" w:rsidRPr="00503014" w:rsidRDefault="00695AE2" w:rsidP="00695AE2">
      <w:pPr>
        <w:pStyle w:val="Jasna"/>
      </w:pPr>
    </w:p>
    <w:p w14:paraId="2F4A721B" w14:textId="77777777" w:rsidR="00695AE2" w:rsidRPr="00503014" w:rsidRDefault="00695AE2" w:rsidP="00695AE2">
      <w:pPr>
        <w:pStyle w:val="Jasna"/>
      </w:pPr>
      <w:r w:rsidRPr="00503014">
        <w:t xml:space="preserve">V letu 2025 so se ukrepi promocije zdravja izvajali v skladu s kadrovskimi, organizacijskimi in finančnimi zmožnostmi. </w:t>
      </w:r>
    </w:p>
    <w:p w14:paraId="560844EF" w14:textId="77777777" w:rsidR="00695AE2" w:rsidRPr="00503014" w:rsidRDefault="00695AE2" w:rsidP="00695AE2">
      <w:pPr>
        <w:overflowPunct w:val="0"/>
        <w:autoSpaceDE w:val="0"/>
        <w:autoSpaceDN w:val="0"/>
        <w:adjustRightInd w:val="0"/>
        <w:spacing w:line="240" w:lineRule="auto"/>
        <w:jc w:val="both"/>
        <w:textAlignment w:val="baseline"/>
        <w:rPr>
          <w:rFonts w:eastAsia="Calibri"/>
          <w:sz w:val="28"/>
          <w:szCs w:val="28"/>
        </w:rPr>
      </w:pPr>
      <w:bookmarkStart w:id="136" w:name="_Hlk94012420"/>
      <w:bookmarkEnd w:id="133"/>
      <w:bookmarkEnd w:id="134"/>
    </w:p>
    <w:p w14:paraId="16495779" w14:textId="77777777" w:rsidR="00695AE2" w:rsidRPr="00503014" w:rsidRDefault="00695AE2" w:rsidP="00695AE2">
      <w:pPr>
        <w:pStyle w:val="Naslov3"/>
      </w:pPr>
      <w:bookmarkStart w:id="137" w:name="_Toc160097154"/>
      <w:bookmarkStart w:id="138" w:name="_Toc191561768"/>
      <w:bookmarkStart w:id="139" w:name="_Toc223093755"/>
      <w:r w:rsidRPr="00503014">
        <w:t>Področje informatike in informatizacije procesov</w:t>
      </w:r>
      <w:bookmarkEnd w:id="137"/>
      <w:bookmarkEnd w:id="138"/>
      <w:bookmarkEnd w:id="139"/>
      <w:r w:rsidRPr="00503014">
        <w:t xml:space="preserve"> </w:t>
      </w:r>
    </w:p>
    <w:p w14:paraId="16AD7DD9" w14:textId="77777777" w:rsidR="00695AE2" w:rsidRPr="00503014" w:rsidRDefault="00695AE2" w:rsidP="00695AE2">
      <w:pPr>
        <w:spacing w:line="240" w:lineRule="auto"/>
        <w:rPr>
          <w:rFonts w:eastAsia="Calibri"/>
          <w:sz w:val="28"/>
          <w:szCs w:val="28"/>
        </w:rPr>
      </w:pPr>
    </w:p>
    <w:p w14:paraId="18C1ACD9" w14:textId="77777777" w:rsidR="00695AE2" w:rsidRPr="00503014" w:rsidRDefault="00695AE2" w:rsidP="00695AE2">
      <w:pPr>
        <w:pStyle w:val="Naslov4"/>
      </w:pPr>
      <w:bookmarkStart w:id="140" w:name="_Toc160097155"/>
      <w:bookmarkStart w:id="141" w:name="_Toc191561769"/>
      <w:bookmarkStart w:id="142" w:name="_Toc223093756"/>
      <w:r w:rsidRPr="00503014">
        <w:t>Splošno</w:t>
      </w:r>
      <w:bookmarkEnd w:id="140"/>
      <w:bookmarkEnd w:id="141"/>
      <w:bookmarkEnd w:id="142"/>
    </w:p>
    <w:p w14:paraId="5910D174" w14:textId="77777777" w:rsidR="00695AE2" w:rsidRPr="00503014" w:rsidRDefault="00695AE2" w:rsidP="00695AE2">
      <w:pPr>
        <w:spacing w:line="240" w:lineRule="auto"/>
        <w:jc w:val="both"/>
        <w:rPr>
          <w:rFonts w:eastAsia="Calibri"/>
        </w:rPr>
      </w:pPr>
    </w:p>
    <w:p w14:paraId="75403A0F" w14:textId="77777777" w:rsidR="00695AE2" w:rsidRPr="00503014" w:rsidRDefault="00695AE2" w:rsidP="00695AE2">
      <w:pPr>
        <w:spacing w:line="240" w:lineRule="auto"/>
        <w:jc w:val="both"/>
        <w:rPr>
          <w:rFonts w:eastAsia="Calibri"/>
        </w:rPr>
      </w:pPr>
      <w:r w:rsidRPr="00503014">
        <w:rPr>
          <w:rFonts w:eastAsia="Calibri"/>
        </w:rPr>
        <w:t xml:space="preserve">Neprekinjeno in brezhibno delovanje računalniške opreme in informacijskega sistema je ključnega pomena in nujno potrebno za nemoteno poslovanje Državnega odvetništva RS. Velik del aktivnosti Službe za informatiko in podporo uporabnikom so zato tudi v letu 2025  predstavljale naloge zagotavljanja informacijske podpore uporabnikom pri procesih dela in vsakodnevnih opravilih ter naloge zagotavljanja pravilnega, varnega in neprekinjenega delovanja celotne infrastrukture, to je strežniške in namizne računalniške opreme, informacijskih sistemov ter spletišč interneta in intraneta. </w:t>
      </w:r>
    </w:p>
    <w:p w14:paraId="3C00595F" w14:textId="77777777" w:rsidR="00695AE2" w:rsidRPr="00503014" w:rsidRDefault="00695AE2" w:rsidP="00695AE2">
      <w:pPr>
        <w:spacing w:line="240" w:lineRule="auto"/>
        <w:jc w:val="both"/>
        <w:rPr>
          <w:rFonts w:eastAsia="Calibri"/>
        </w:rPr>
      </w:pPr>
    </w:p>
    <w:p w14:paraId="7471582B" w14:textId="77777777" w:rsidR="00695AE2" w:rsidRPr="00503014" w:rsidRDefault="00695AE2" w:rsidP="00695AE2">
      <w:pPr>
        <w:spacing w:line="240" w:lineRule="auto"/>
        <w:jc w:val="both"/>
        <w:rPr>
          <w:rFonts w:eastAsia="Calibri"/>
          <w:kern w:val="24"/>
          <w:lang w:eastAsia="sl-SI"/>
        </w:rPr>
      </w:pPr>
      <w:r w:rsidRPr="00503014">
        <w:rPr>
          <w:rFonts w:eastAsia="Calibri"/>
          <w:kern w:val="24"/>
          <w:lang w:eastAsia="sl-SI"/>
        </w:rPr>
        <w:t xml:space="preserve">Državno odvetništvo RS bo na področju informacijsko-komunikacijske tehnologije še naprej delovalo kot samostojen organ in aktivno spremljalo, preizkušalo ter v svoje poslovanje uvajalo informacijske rešitve, skladne z zadnjimi trendi na področju informacijskih tehnologij in njihove rabe v pravosodju. </w:t>
      </w:r>
      <w:r w:rsidRPr="00503014">
        <w:rPr>
          <w:rFonts w:eastAsia="Calibri"/>
        </w:rPr>
        <w:t>Z digitalizacijo poslovnih procesov, okrepljeno in optimalno razporeditvijo človeških in finančnih virov ter z opolnomočenjem vseh zaposlenih z digitalnimi in drugimi potrebnimi kompetencami, bo Državno odvetništvo RS lahko še bolj uspešno opravljalo svoje zakonske naloge in pristojnosti. Notranjim in zunanjim uporabnikom bo zagotavljalo učinkovite, varne in uporabniku prijazne digitalne rešitve, ki bodo omogočale učinkovito delo na delovnem mestu in na daljavo.</w:t>
      </w:r>
    </w:p>
    <w:p w14:paraId="3B504E7A" w14:textId="77777777" w:rsidR="00695AE2" w:rsidRPr="00503014" w:rsidRDefault="00695AE2" w:rsidP="00695AE2">
      <w:pPr>
        <w:spacing w:line="240" w:lineRule="auto"/>
        <w:jc w:val="both"/>
        <w:rPr>
          <w:rFonts w:eastAsia="Calibri"/>
          <w:kern w:val="24"/>
          <w:lang w:eastAsia="sl-SI"/>
        </w:rPr>
      </w:pPr>
    </w:p>
    <w:p w14:paraId="12DF64AE" w14:textId="77777777" w:rsidR="00695AE2" w:rsidRPr="00503014" w:rsidRDefault="00695AE2" w:rsidP="00695AE2">
      <w:pPr>
        <w:spacing w:line="240" w:lineRule="auto"/>
        <w:jc w:val="both"/>
        <w:rPr>
          <w:rFonts w:eastAsia="Calibri"/>
        </w:rPr>
      </w:pPr>
      <w:r w:rsidRPr="00503014">
        <w:rPr>
          <w:rFonts w:eastAsia="Calibri"/>
        </w:rPr>
        <w:t xml:space="preserve">Državno odvetništvo RS si bo tudi nadalje prizadevalo za organizacijo delavnic na temo digitalizacije poslovnega okolja, na katerih bi zaposleni lahko izražali svoja pričakovanja, izpostavili težave in pomisleke in bili ves čas seznanjeni z dejstvom in procesom uvajanja novosti na tem področju. </w:t>
      </w:r>
    </w:p>
    <w:p w14:paraId="1F263032" w14:textId="77777777" w:rsidR="00695AE2" w:rsidRPr="00503014" w:rsidRDefault="00695AE2" w:rsidP="00695AE2">
      <w:pPr>
        <w:spacing w:line="240" w:lineRule="auto"/>
        <w:jc w:val="both"/>
        <w:rPr>
          <w:rFonts w:eastAsia="Calibri"/>
        </w:rPr>
      </w:pPr>
      <w:bookmarkStart w:id="143" w:name="_Hlk219652559"/>
    </w:p>
    <w:p w14:paraId="17139E7F" w14:textId="77777777" w:rsidR="00695AE2" w:rsidRPr="00503014" w:rsidRDefault="00695AE2" w:rsidP="00695AE2">
      <w:pPr>
        <w:pStyle w:val="Naslov4"/>
        <w:ind w:left="0" w:firstLine="0"/>
      </w:pPr>
      <w:bookmarkStart w:id="144" w:name="_Toc191561770"/>
      <w:bookmarkStart w:id="145" w:name="_Toc223093757"/>
      <w:r w:rsidRPr="00503014">
        <w:t>Izvedene konkretne aktivnosti Službe za informatiko in podporo uporabnikom v letu 202</w:t>
      </w:r>
      <w:bookmarkEnd w:id="144"/>
      <w:r w:rsidRPr="00503014">
        <w:t>5</w:t>
      </w:r>
      <w:bookmarkEnd w:id="145"/>
      <w:r w:rsidRPr="00503014">
        <w:t xml:space="preserve">  </w:t>
      </w:r>
    </w:p>
    <w:p w14:paraId="66B427AE" w14:textId="77777777" w:rsidR="00695AE2" w:rsidRPr="00503014" w:rsidRDefault="00695AE2" w:rsidP="00695AE2">
      <w:pPr>
        <w:spacing w:line="240" w:lineRule="auto"/>
        <w:jc w:val="both"/>
        <w:rPr>
          <w:rFonts w:eastAsia="Calibri"/>
        </w:rPr>
      </w:pPr>
    </w:p>
    <w:bookmarkEnd w:id="143"/>
    <w:p w14:paraId="28632B3C" w14:textId="77777777" w:rsidR="00695AE2" w:rsidRPr="00503014" w:rsidRDefault="00695AE2" w:rsidP="00695AE2">
      <w:pPr>
        <w:spacing w:line="240" w:lineRule="auto"/>
        <w:jc w:val="both"/>
      </w:pPr>
      <w:r w:rsidRPr="00503014">
        <w:t>V letu 2025 je Služba za informatiko in podporo uporabnikom izvajala širok nabor aktivnosti, namenjenih zagotavljanju učinkovitega, varnega in stabilnega delovnega okolja za vse zaposlene v organizaciji. Poudarek je bil na upravljanju IS Feniks in celotne informacijsko-komunikacijske infrastrukture, podpori končnim uporabnikom ter izvajanju vzdrževalnih, varnostnih in nadzornih operacij, katerih cilj je bil zmanjšati tveganja za motnje in povečati učinkovitost delovanja informacijskega sistema.</w:t>
      </w:r>
    </w:p>
    <w:p w14:paraId="7F7E5B49" w14:textId="77777777" w:rsidR="00695AE2" w:rsidRPr="00503014" w:rsidRDefault="00695AE2" w:rsidP="00695AE2">
      <w:pPr>
        <w:tabs>
          <w:tab w:val="num" w:pos="720"/>
        </w:tabs>
        <w:spacing w:line="240" w:lineRule="auto"/>
        <w:jc w:val="both"/>
      </w:pPr>
    </w:p>
    <w:p w14:paraId="2D80EC18" w14:textId="77777777" w:rsidR="00695AE2" w:rsidRPr="00503014" w:rsidRDefault="00695AE2" w:rsidP="00695AE2">
      <w:pPr>
        <w:tabs>
          <w:tab w:val="num" w:pos="720"/>
        </w:tabs>
        <w:spacing w:line="240" w:lineRule="auto"/>
        <w:jc w:val="both"/>
      </w:pPr>
      <w:r w:rsidRPr="00503014">
        <w:t xml:space="preserve">Služba za informatiko in podporo uporabnikom je v letu 2025 nadaljevala s sistematičnim vzdrževanjem in posodabljanjem strojne opreme. To je vključevalo redne tehnične preglede delovnih postaj in strežnikov, zamenjavo zastarelih računalnikov z novejšimi modeli za </w:t>
      </w:r>
      <w:r w:rsidRPr="00503014">
        <w:lastRenderedPageBreak/>
        <w:t>izboljšanje zmogljivosti, testiranje združljivosti strojne opreme s posodobljenimi programskimi rešitvami in sprotno odpravljanje napak na opremi ter izvajanje manjših popravil.</w:t>
      </w:r>
    </w:p>
    <w:p w14:paraId="45EE0FD6" w14:textId="77777777" w:rsidR="00695AE2" w:rsidRPr="00503014" w:rsidRDefault="00695AE2" w:rsidP="00695AE2">
      <w:pPr>
        <w:tabs>
          <w:tab w:val="num" w:pos="720"/>
        </w:tabs>
        <w:spacing w:line="240" w:lineRule="auto"/>
        <w:jc w:val="both"/>
      </w:pPr>
    </w:p>
    <w:p w14:paraId="58E26AA5" w14:textId="77777777" w:rsidR="00695AE2" w:rsidRPr="00503014" w:rsidRDefault="00695AE2" w:rsidP="00695AE2">
      <w:pPr>
        <w:spacing w:line="240" w:lineRule="auto"/>
        <w:jc w:val="both"/>
      </w:pPr>
      <w:r w:rsidRPr="00503014">
        <w:t xml:space="preserve">Na Državnem odvetništvu RS smo v letu 2025 tako posodobili večje število perifernih naprav. Poudarek je bil na nakupu prenosnih računalnikov s priključno postajo, saj Državno odvetništvo RS sledi načelu ene delovne postaje na zaposlenega, zato se zamenjava računalnikov izvaja skupaj s priklopnimi postajami. Ohranjajo se večji namizni ekrani s profesionalno tipkovnico in miško in se je v letu 2025 tako izvedel tudi nakup novih ekranov. V letu 2025 je bila izvedena tudi zamenjava dotrajanih fotokopirnih strojev z novimi, prav tako je bil zaradi odpovedi v sejni sobi zamenjan avdio video konferenčni sistem. Optimizacija s posodobitvami strojne opreme je zmanjšala število okvar in s tem izredno servisiranje. </w:t>
      </w:r>
    </w:p>
    <w:p w14:paraId="012216FC" w14:textId="77777777" w:rsidR="00695AE2" w:rsidRPr="00503014" w:rsidRDefault="00695AE2" w:rsidP="00695AE2">
      <w:pPr>
        <w:spacing w:line="240" w:lineRule="auto"/>
        <w:jc w:val="both"/>
      </w:pPr>
    </w:p>
    <w:p w14:paraId="13D86943" w14:textId="77777777" w:rsidR="00695AE2" w:rsidRPr="00503014" w:rsidRDefault="00695AE2" w:rsidP="00695AE2">
      <w:pPr>
        <w:spacing w:line="240" w:lineRule="auto"/>
        <w:jc w:val="both"/>
      </w:pPr>
      <w:r w:rsidRPr="00503014">
        <w:t>V letu 2025 se je ponovno obnovila veljavnost licenčne programske opreme za produkte Microsoft Office 365, Visio in Kal licence za povezovanje v državno računalniški oblak – DRO. Obnovljene so bile tudi licence IMIS za dokumentni sistem. Licence so vezane na skeniranje dokumentov v bazo ARC/IMIS v dokumentnem sistemu IS Feniks in se ohranjajo naprej za delovanje baze dokumentov v centralnem DRO arhivu CEH. Prav tako je bila podaljšana letna licenca za diktirano prepisovalni sistem Eneterprise speechexec za centralni prenos diktatov k administraciji v prepis.</w:t>
      </w:r>
    </w:p>
    <w:p w14:paraId="704AED27" w14:textId="77777777" w:rsidR="00695AE2" w:rsidRPr="00503014" w:rsidRDefault="00695AE2" w:rsidP="00695AE2">
      <w:pPr>
        <w:spacing w:line="240" w:lineRule="auto"/>
        <w:jc w:val="both"/>
      </w:pPr>
    </w:p>
    <w:p w14:paraId="0578F742" w14:textId="77777777" w:rsidR="00695AE2" w:rsidRPr="00503014" w:rsidRDefault="00695AE2" w:rsidP="00695AE2">
      <w:pPr>
        <w:tabs>
          <w:tab w:val="num" w:pos="720"/>
        </w:tabs>
        <w:spacing w:line="240" w:lineRule="auto"/>
        <w:jc w:val="both"/>
      </w:pPr>
      <w:r w:rsidRPr="00503014">
        <w:t>Državno odvetništvo RS še vedno upravlja z nekaj lastne strežniške arhitekture, ki je osrednji element informacijskega sistema za vodenje prisotnosti in diktirano prepisovalnega sistema, zato je bila skrb Službe za informatiko in podporo uporabnikom namenjena tudi zagotavljanju njenega stabilnega delovanja. Izvajale so se redne namestitve varnostnih popravkov in posodobitev, spremljala se je obremenitev strežnikov ter optimizirala zmogljivost, zagotavljalo se je delovanje virtualizacijskih platform. Prav tako se je spremljalo delovanje omrežne infrastrukture, delovanje komunikacijskih stikal in sistemov, ki so temelj učinkovite interne in eksterne povezanosti. Zagotavljalo se je delovanje omrežne infrastrukture in spremljalo stabilnost in obremenjenost lokalnega omrežja (LAN). V letu 2025 ni bilo zabeleženih večjih izpadov, zabeleženi manjši incidenti pa so bili uspešno odpravljeni v kratkih časovnih odzivih s pomočjo zunanjih izvajalcev.</w:t>
      </w:r>
    </w:p>
    <w:p w14:paraId="0CB24113" w14:textId="77777777" w:rsidR="00695AE2" w:rsidRPr="00503014" w:rsidRDefault="00695AE2" w:rsidP="00695AE2">
      <w:pPr>
        <w:tabs>
          <w:tab w:val="num" w:pos="720"/>
        </w:tabs>
        <w:spacing w:line="240" w:lineRule="auto"/>
        <w:jc w:val="both"/>
      </w:pPr>
    </w:p>
    <w:p w14:paraId="2D771BD1" w14:textId="77777777" w:rsidR="00695AE2" w:rsidRPr="00503014" w:rsidRDefault="00695AE2" w:rsidP="00695AE2">
      <w:pPr>
        <w:tabs>
          <w:tab w:val="num" w:pos="720"/>
        </w:tabs>
        <w:spacing w:line="240" w:lineRule="auto"/>
        <w:jc w:val="both"/>
      </w:pPr>
      <w:r w:rsidRPr="00503014">
        <w:t>Služba za informatiko in podporo uporabnikom je vzdrževala tudi komunikacijske storitve v stacionarnem telefonskem IP sistemu in mobilni telekomunikaciji, v videokonferenčnih sistemih za interno in zunanjo komunikacijo, v e-poštni infrastrukturi s filtriranjem nezaželene pošte in v storitvah za varno izmenjavo dokumentov in oddaljenih sejah. Optimizacija teh sistemov je pripomogla k bolj tekočemu izvajanju dela ter manjšemu številu izpadov in motenj komunikacije.</w:t>
      </w:r>
    </w:p>
    <w:p w14:paraId="4D72F751" w14:textId="77777777" w:rsidR="00695AE2" w:rsidRPr="00503014" w:rsidRDefault="00695AE2" w:rsidP="00695AE2">
      <w:pPr>
        <w:tabs>
          <w:tab w:val="num" w:pos="720"/>
        </w:tabs>
        <w:spacing w:line="240" w:lineRule="auto"/>
        <w:jc w:val="both"/>
      </w:pPr>
    </w:p>
    <w:p w14:paraId="4E86C8D3" w14:textId="77777777" w:rsidR="00695AE2" w:rsidRPr="00503014" w:rsidRDefault="00695AE2" w:rsidP="00695AE2">
      <w:pPr>
        <w:tabs>
          <w:tab w:val="num" w:pos="720"/>
        </w:tabs>
        <w:spacing w:line="240" w:lineRule="auto"/>
        <w:jc w:val="both"/>
      </w:pPr>
      <w:r w:rsidRPr="00503014">
        <w:t>Velik del vsakodnevnih aktivnosti je bil  tudi v letu 2025 posvečen podpori uporabnikom. Služba za informatiko in podporo uporabnikom je nudila tehnično pomoč pri težavah z aplikacijami, dostopi in IKS ter opremo. Ob uvedbi novih rešitev so se izvajala interna izobraževanja za uporabnike, pripravljene so bile interne smernice za uporabo programske opreme. Pomoč je bila v povprečju zagotovljena z zelo dobrimi odzivnimi časi, kar je pripomoglo k večjemu zadovoljstvu uporabnikov in zmanjšanju operativnih motenj.</w:t>
      </w:r>
    </w:p>
    <w:p w14:paraId="23D31DCC" w14:textId="77777777" w:rsidR="00695AE2" w:rsidRPr="00503014" w:rsidRDefault="00695AE2" w:rsidP="00695AE2">
      <w:pPr>
        <w:tabs>
          <w:tab w:val="num" w:pos="720"/>
        </w:tabs>
        <w:spacing w:line="240" w:lineRule="auto"/>
        <w:jc w:val="both"/>
      </w:pPr>
    </w:p>
    <w:p w14:paraId="752AD819" w14:textId="77777777" w:rsidR="00695AE2" w:rsidRPr="00503014" w:rsidRDefault="00695AE2" w:rsidP="00695AE2">
      <w:pPr>
        <w:tabs>
          <w:tab w:val="num" w:pos="720"/>
        </w:tabs>
        <w:spacing w:line="240" w:lineRule="auto"/>
        <w:jc w:val="both"/>
      </w:pPr>
      <w:r w:rsidRPr="00503014">
        <w:lastRenderedPageBreak/>
        <w:t>Število uporabnikov, ki opravljajo delo na daljavo, ostaja pomemben del delovanja. Služba za informatiko in podporo uporabnikom je zagotavljala podporo na delu od doma pri vzpostavitvi in vzdrževanju varnih VPN-povezav, skrbela za ustrezno konfiguracijo prenosnikov in mobilnih naprav ter kontrolirala varnostne nastavitve za oddaljene uporabnike. Reševanje tehničnih težav je bilo hitro, na daljavo preko oddaljene podpore. Posebna pozornost je bila namenjena skladnosti z varnostnimi standardi pri delu od doma — šifriranje, nadzor nad dostopi in pravilno ravnanje z občutljivimi podatki.</w:t>
      </w:r>
    </w:p>
    <w:p w14:paraId="07B131BE" w14:textId="77777777" w:rsidR="00695AE2" w:rsidRPr="00503014" w:rsidRDefault="00695AE2" w:rsidP="00695AE2">
      <w:pPr>
        <w:tabs>
          <w:tab w:val="num" w:pos="720"/>
        </w:tabs>
        <w:spacing w:line="240" w:lineRule="auto"/>
        <w:jc w:val="both"/>
      </w:pPr>
    </w:p>
    <w:p w14:paraId="33CE06D6" w14:textId="77777777" w:rsidR="00695AE2" w:rsidRPr="00503014" w:rsidRDefault="00695AE2" w:rsidP="00695AE2">
      <w:pPr>
        <w:tabs>
          <w:tab w:val="num" w:pos="720"/>
        </w:tabs>
        <w:spacing w:line="240" w:lineRule="auto"/>
        <w:jc w:val="both"/>
      </w:pPr>
      <w:r w:rsidRPr="00503014">
        <w:t xml:space="preserve">Številne ključne aktivnosti Služba za informatiko in podporo uporabnikom so bile usmerjene v upravljanje informacijskega sistema IS Feniks. Izvajali so se redni nadzori nad delovanjem vseh komponent sistema, tako na vsebinski strani Državnega odvetništva RS kot na infrastrukturi s strani gostovanja na Ministrstvu za digitalno preobrazbo in izvajalca. Izvajali so se preventivni vzdrževalni ukrepi in s tem načrtovane posodobitve. Spremljali so se licenčni produkti, njihova obremenjenost, delovanje programske opreme in se je s tem zagotavljala združljivost med različnimi sistemi. Cilj teh aktivnosti je bil zagotoviti predvidljivo delovanje infrastrukture ter zmanjšati število motenj. </w:t>
      </w:r>
    </w:p>
    <w:p w14:paraId="01E91E28" w14:textId="77777777" w:rsidR="00695AE2" w:rsidRPr="00503014" w:rsidRDefault="00695AE2" w:rsidP="00695AE2">
      <w:pPr>
        <w:widowControl w:val="0"/>
        <w:tabs>
          <w:tab w:val="left" w:pos="6525"/>
        </w:tabs>
        <w:spacing w:line="240" w:lineRule="auto"/>
        <w:jc w:val="both"/>
        <w:rPr>
          <w:rFonts w:eastAsia="Calibri"/>
        </w:rPr>
      </w:pPr>
    </w:p>
    <w:p w14:paraId="673692E9" w14:textId="77777777" w:rsidR="00695AE2" w:rsidRPr="00503014" w:rsidRDefault="00695AE2" w:rsidP="00695AE2">
      <w:pPr>
        <w:pStyle w:val="Naslov4"/>
      </w:pPr>
      <w:bookmarkStart w:id="146" w:name="_Toc191561771"/>
      <w:bookmarkStart w:id="147" w:name="_Toc223093758"/>
      <w:bookmarkStart w:id="148" w:name="_Hlk219652764"/>
      <w:r w:rsidRPr="00503014">
        <w:t>Informacijsko-dokumentni sistem Feniks</w:t>
      </w:r>
      <w:bookmarkEnd w:id="146"/>
      <w:bookmarkEnd w:id="147"/>
    </w:p>
    <w:p w14:paraId="33AEDF32" w14:textId="77777777" w:rsidR="00695AE2" w:rsidRPr="00503014" w:rsidRDefault="00695AE2" w:rsidP="00695AE2">
      <w:pPr>
        <w:spacing w:line="240" w:lineRule="auto"/>
        <w:jc w:val="both"/>
        <w:rPr>
          <w:rFonts w:eastAsia="Calibri"/>
        </w:rPr>
      </w:pPr>
    </w:p>
    <w:p w14:paraId="56B556E2" w14:textId="77777777" w:rsidR="00695AE2" w:rsidRPr="00503014" w:rsidRDefault="00695AE2" w:rsidP="00695AE2">
      <w:pPr>
        <w:autoSpaceDE w:val="0"/>
        <w:autoSpaceDN w:val="0"/>
        <w:spacing w:line="240" w:lineRule="auto"/>
        <w:jc w:val="both"/>
        <w:rPr>
          <w:rFonts w:eastAsia="Calibri"/>
        </w:rPr>
      </w:pPr>
      <w:r w:rsidRPr="00503014">
        <w:rPr>
          <w:rFonts w:eastAsia="Calibri"/>
        </w:rPr>
        <w:t xml:space="preserve">Državno odvetništvo RS na vseh ravneh uporablja enoten centraliziran informacijsko- dokumentni sistem, ki v zaledju učinkovito povezuje vse notranje informacijske storitve in informatizirane zbirke podatkov ter informacijske sisteme drugih deležnikov, kar omogoča hitro, varno in zanesljivo izmenjavo podatkov, posledično pa hitrejše in učinkovitejše delo. </w:t>
      </w:r>
    </w:p>
    <w:p w14:paraId="05D2EE27" w14:textId="77777777" w:rsidR="00695AE2" w:rsidRPr="00503014" w:rsidRDefault="00695AE2" w:rsidP="00695AE2">
      <w:pPr>
        <w:spacing w:line="240" w:lineRule="auto"/>
        <w:jc w:val="both"/>
        <w:rPr>
          <w:rFonts w:eastAsia="Calibri"/>
        </w:rPr>
      </w:pPr>
    </w:p>
    <w:p w14:paraId="0806FDAD" w14:textId="77777777" w:rsidR="00695AE2" w:rsidRPr="00503014" w:rsidRDefault="00695AE2" w:rsidP="00695AE2">
      <w:pPr>
        <w:spacing w:line="240" w:lineRule="auto"/>
        <w:jc w:val="both"/>
        <w:rPr>
          <w:rFonts w:eastAsia="Calibri"/>
        </w:rPr>
      </w:pPr>
      <w:r w:rsidRPr="00503014">
        <w:rPr>
          <w:rFonts w:eastAsia="Calibri"/>
        </w:rPr>
        <w:t>Z uporabo novega informacijsko-dokumentni sistem Feniks (v nadaljevanju: IS Feniks) je Državno odvetništvo RS začelo v decembru 2023.</w:t>
      </w:r>
    </w:p>
    <w:p w14:paraId="0F3E8F79" w14:textId="77777777" w:rsidR="00695AE2" w:rsidRPr="00503014" w:rsidRDefault="00695AE2" w:rsidP="00695AE2">
      <w:pPr>
        <w:spacing w:line="240" w:lineRule="auto"/>
        <w:jc w:val="both"/>
        <w:rPr>
          <w:rFonts w:eastAsia="Calibri"/>
          <w:kern w:val="24"/>
          <w:lang w:eastAsia="sl-SI"/>
        </w:rPr>
      </w:pPr>
    </w:p>
    <w:p w14:paraId="6E12BC38" w14:textId="77777777" w:rsidR="00695AE2" w:rsidRPr="00503014" w:rsidRDefault="00695AE2" w:rsidP="00695AE2">
      <w:pPr>
        <w:spacing w:line="240" w:lineRule="auto"/>
        <w:jc w:val="both"/>
        <w:rPr>
          <w:rFonts w:eastAsia="Calibri"/>
        </w:rPr>
      </w:pPr>
      <w:r w:rsidRPr="00503014">
        <w:rPr>
          <w:rFonts w:eastAsia="Calibri"/>
        </w:rPr>
        <w:t>Projekt izgradnje novega informacijsko-dokumentnega sistema je potekal v okviru operacije Učinkovito pravosodje, ki je bila financirana iz evropskih in integralnih sredstev; Ministrstvo za pravosodje je nastopalo kot upravičenec, Državno odvetništvo RS pa kot udeleženec. Operacija se je izvajala v okviru operativnega programa kohezijske politike 2014-2020, zato je imel projekt izjemno kratek rok realizacije, in sicer je bilo treba prevzem IS Feniks izvesti do 12. 12. 2023. Uspešno izpeljan projekt je rezultat trdega in predanega dela zaposlenih na Državnem odvetništvu RS,  saj je bil nov informacijsko-dokumentni sistem zgrajen in predan v uporabo v manj kot letu dni od podpisa pogodbe z izbranim izvajalcem. Za vpeljavo novega sistema je to res velik uspeh.</w:t>
      </w:r>
    </w:p>
    <w:p w14:paraId="5FCB9113" w14:textId="77777777" w:rsidR="00695AE2" w:rsidRPr="00503014" w:rsidRDefault="00695AE2" w:rsidP="00695AE2">
      <w:pPr>
        <w:spacing w:line="240" w:lineRule="auto"/>
        <w:jc w:val="both"/>
        <w:rPr>
          <w:rFonts w:eastAsia="Calibri"/>
        </w:rPr>
      </w:pPr>
    </w:p>
    <w:p w14:paraId="1F8972ED" w14:textId="77777777" w:rsidR="00695AE2" w:rsidRPr="00503014" w:rsidRDefault="00695AE2" w:rsidP="00695AE2">
      <w:pPr>
        <w:autoSpaceDE w:val="0"/>
        <w:autoSpaceDN w:val="0"/>
        <w:spacing w:line="240" w:lineRule="auto"/>
        <w:jc w:val="both"/>
        <w:rPr>
          <w:rFonts w:eastAsia="Calibri"/>
        </w:rPr>
      </w:pPr>
      <w:r w:rsidRPr="00503014">
        <w:rPr>
          <w:rFonts w:eastAsia="Calibri"/>
        </w:rPr>
        <w:t xml:space="preserve">Cilj  implementacije novega informacijsko-dokumentnega sistema je bil posodobiti poslovanje in zmanjšati administrativno breme pri izvajanju poslovnih procesov na Državnem odvetništvu RS. Pri razvoju IS Feniks je bila upoštevana potreba po vseh lastnostih sodobnega elektronskega dokumentnega sistema, čimbolj enostavnem sodelovanju med uporabniki, dobri podpori pri avtomatizaciji enostavnih ponavljajočih nalog, ponovni uporabi že zajetih podatkov, podpori različnim delovnim tokovom, podpori mobilnosti in hkrati varnosti ter delovanje v Državnem računalniškem oblaku. </w:t>
      </w:r>
    </w:p>
    <w:p w14:paraId="770AAC96" w14:textId="77777777" w:rsidR="00695AE2" w:rsidRPr="00503014" w:rsidRDefault="00695AE2" w:rsidP="00695AE2">
      <w:pPr>
        <w:autoSpaceDE w:val="0"/>
        <w:autoSpaceDN w:val="0"/>
        <w:spacing w:line="240" w:lineRule="auto"/>
        <w:jc w:val="both"/>
        <w:rPr>
          <w:rFonts w:eastAsia="Calibri"/>
        </w:rPr>
      </w:pPr>
    </w:p>
    <w:p w14:paraId="6F8BE310" w14:textId="77777777" w:rsidR="00695AE2" w:rsidRPr="00503014" w:rsidRDefault="00695AE2" w:rsidP="00695AE2">
      <w:pPr>
        <w:autoSpaceDE w:val="0"/>
        <w:autoSpaceDN w:val="0"/>
        <w:spacing w:line="240" w:lineRule="auto"/>
        <w:jc w:val="both"/>
        <w:rPr>
          <w:rFonts w:eastAsia="Calibri"/>
        </w:rPr>
      </w:pPr>
      <w:r w:rsidRPr="00503014">
        <w:rPr>
          <w:rFonts w:eastAsia="Calibri"/>
        </w:rPr>
        <w:t xml:space="preserve">IS Feniks predstavlja sodobno, varno, modularno in uporabniku prijazno rešitev za podporo vodenju dokumentarnega gradiva in nadzora poslovnih procesov. Sestavlja ga pet modulov, in </w:t>
      </w:r>
      <w:r w:rsidRPr="00503014">
        <w:rPr>
          <w:rFonts w:eastAsia="Calibri"/>
        </w:rPr>
        <w:lastRenderedPageBreak/>
        <w:t>sicer modul za obravnavo spisov (in dokumentov), modul za finančno spremljavo spisa, modul za statistiko, modul za sistemsko administracijo in modul za integracije in migracijo. Razpoložljivost določenih funkcionalnosti je odvisna od dodeljene vloge določenemu uporabniku za delo v sistemu. Rešitve v IS Feniks so zasnovane tako, da bodo zadovoljile trenutne in prihodnje potrebe zaposlenih na Državnem odvetništvu RS, saj omogočajo:</w:t>
      </w:r>
    </w:p>
    <w:p w14:paraId="6492BE4B" w14:textId="77777777" w:rsidR="00695AE2" w:rsidRPr="00503014" w:rsidRDefault="00695AE2" w:rsidP="00695AE2">
      <w:pPr>
        <w:autoSpaceDE w:val="0"/>
        <w:autoSpaceDN w:val="0"/>
        <w:spacing w:line="240" w:lineRule="auto"/>
        <w:jc w:val="both"/>
        <w:rPr>
          <w:rFonts w:eastAsia="Calibri"/>
        </w:rPr>
      </w:pPr>
    </w:p>
    <w:p w14:paraId="6C9B2939" w14:textId="77777777" w:rsidR="00695AE2" w:rsidRPr="00503014" w:rsidRDefault="00695AE2" w:rsidP="00695AE2">
      <w:pPr>
        <w:numPr>
          <w:ilvl w:val="0"/>
          <w:numId w:val="45"/>
        </w:numPr>
        <w:autoSpaceDE w:val="0"/>
        <w:autoSpaceDN w:val="0"/>
        <w:spacing w:line="240" w:lineRule="auto"/>
        <w:contextualSpacing/>
        <w:jc w:val="both"/>
        <w:rPr>
          <w:rFonts w:eastAsia="Calibri"/>
        </w:rPr>
      </w:pPr>
      <w:r w:rsidRPr="00503014">
        <w:rPr>
          <w:rFonts w:eastAsia="Calibri"/>
        </w:rPr>
        <w:t>evidentiranje dokumentov,</w:t>
      </w:r>
    </w:p>
    <w:p w14:paraId="178951B7" w14:textId="77777777" w:rsidR="00695AE2" w:rsidRPr="00503014" w:rsidRDefault="00695AE2" w:rsidP="00695AE2">
      <w:pPr>
        <w:numPr>
          <w:ilvl w:val="0"/>
          <w:numId w:val="45"/>
        </w:numPr>
        <w:autoSpaceDE w:val="0"/>
        <w:autoSpaceDN w:val="0"/>
        <w:spacing w:line="240" w:lineRule="auto"/>
        <w:contextualSpacing/>
        <w:jc w:val="both"/>
        <w:rPr>
          <w:rFonts w:eastAsia="Calibri"/>
        </w:rPr>
      </w:pPr>
      <w:r w:rsidRPr="00503014">
        <w:rPr>
          <w:rFonts w:eastAsia="Calibri"/>
        </w:rPr>
        <w:t>realizacijo različnih poslovnih procesov,</w:t>
      </w:r>
    </w:p>
    <w:p w14:paraId="0A10A370" w14:textId="77777777" w:rsidR="00695AE2" w:rsidRPr="00503014" w:rsidRDefault="00695AE2" w:rsidP="00695AE2">
      <w:pPr>
        <w:numPr>
          <w:ilvl w:val="0"/>
          <w:numId w:val="45"/>
        </w:numPr>
        <w:autoSpaceDE w:val="0"/>
        <w:autoSpaceDN w:val="0"/>
        <w:spacing w:line="240" w:lineRule="auto"/>
        <w:contextualSpacing/>
        <w:jc w:val="both"/>
        <w:rPr>
          <w:rFonts w:eastAsia="Calibri"/>
        </w:rPr>
      </w:pPr>
      <w:r w:rsidRPr="00503014">
        <w:rPr>
          <w:rFonts w:eastAsia="Calibri"/>
        </w:rPr>
        <w:t>hranjenje digitalnih dokumentov in</w:t>
      </w:r>
    </w:p>
    <w:p w14:paraId="3B5ABDE1" w14:textId="77777777" w:rsidR="00695AE2" w:rsidRPr="00503014" w:rsidRDefault="00695AE2" w:rsidP="00695AE2">
      <w:pPr>
        <w:numPr>
          <w:ilvl w:val="0"/>
          <w:numId w:val="45"/>
        </w:numPr>
        <w:autoSpaceDE w:val="0"/>
        <w:autoSpaceDN w:val="0"/>
        <w:spacing w:line="240" w:lineRule="auto"/>
        <w:contextualSpacing/>
        <w:jc w:val="both"/>
        <w:rPr>
          <w:rFonts w:eastAsia="Calibri"/>
        </w:rPr>
      </w:pPr>
      <w:r w:rsidRPr="00503014">
        <w:rPr>
          <w:rFonts w:eastAsia="Calibri"/>
        </w:rPr>
        <w:t>elektronsko izmenjavo digitalno podpisanih dokumentov.</w:t>
      </w:r>
    </w:p>
    <w:p w14:paraId="23333170" w14:textId="77777777" w:rsidR="00695AE2" w:rsidRPr="00503014" w:rsidRDefault="00695AE2" w:rsidP="00695AE2">
      <w:pPr>
        <w:autoSpaceDE w:val="0"/>
        <w:autoSpaceDN w:val="0"/>
        <w:spacing w:line="240" w:lineRule="auto"/>
        <w:jc w:val="both"/>
        <w:rPr>
          <w:rFonts w:eastAsia="Calibri"/>
        </w:rPr>
      </w:pPr>
    </w:p>
    <w:p w14:paraId="7DFC6136" w14:textId="77777777" w:rsidR="00695AE2" w:rsidRPr="00503014" w:rsidRDefault="00695AE2" w:rsidP="00695AE2">
      <w:pPr>
        <w:widowControl w:val="0"/>
        <w:tabs>
          <w:tab w:val="left" w:pos="6525"/>
        </w:tabs>
        <w:spacing w:line="240" w:lineRule="auto"/>
        <w:jc w:val="both"/>
        <w:rPr>
          <w:rFonts w:eastAsia="Calibri"/>
        </w:rPr>
      </w:pPr>
      <w:r w:rsidRPr="00503014">
        <w:rPr>
          <w:rFonts w:eastAsia="Calibri"/>
        </w:rPr>
        <w:t xml:space="preserve">Celotno dokumentno poslovanje organa se je z dnem 12. 12. 2023 preneslo v nov sistem, izvedena je bila tudi obsežna migracija podatkov iz starega sistema v nov sistem. </w:t>
      </w:r>
    </w:p>
    <w:p w14:paraId="562A586A" w14:textId="77777777" w:rsidR="00695AE2" w:rsidRPr="00503014" w:rsidRDefault="00695AE2" w:rsidP="00695AE2">
      <w:pPr>
        <w:widowControl w:val="0"/>
        <w:tabs>
          <w:tab w:val="left" w:pos="6525"/>
        </w:tabs>
        <w:spacing w:line="240" w:lineRule="auto"/>
        <w:jc w:val="both"/>
        <w:rPr>
          <w:rFonts w:eastAsia="Calibri"/>
        </w:rPr>
      </w:pPr>
    </w:p>
    <w:p w14:paraId="318EC7D4" w14:textId="77777777" w:rsidR="00695AE2" w:rsidRPr="00503014" w:rsidRDefault="00695AE2" w:rsidP="00695AE2">
      <w:pPr>
        <w:widowControl w:val="0"/>
        <w:tabs>
          <w:tab w:val="left" w:pos="6525"/>
        </w:tabs>
        <w:spacing w:line="240" w:lineRule="auto"/>
        <w:jc w:val="both"/>
        <w:rPr>
          <w:rFonts w:eastAsia="Calibri"/>
        </w:rPr>
      </w:pPr>
      <w:r w:rsidRPr="00503014">
        <w:rPr>
          <w:rFonts w:eastAsia="Calibri"/>
        </w:rPr>
        <w:t xml:space="preserve">Med letom 2025 so se še nadalje izvajale prilagoditve in nadgradnje sistema v delih, kjer se je pokazalo, da bi bili dobrodošli popravki ali dopolnitve, tudi glede na ugotovljene potrebe uporabnikov, ki so se definirale šele med uporabo sistema v produkcijski rabi. Dvoletna pogodba za vzdrževanje IS Feniks finančno podpira tudi nekatere nove uporabniške zahteve. V praksi se je namreč pokazalo, da bi se določene akcije lahko avtomatizirale (na primer avtomatično kreiranje prakse Državnega odvetništva RS iz prejetih sodb, avtomatično brisanje in nastavljanje datuma zaključka spisa v primeru dvostopenjske rešitve spisa), na nekaterih mestih so se pojavile potrebe po dodatnih kontrolah (na primer pri premiku spisa v koledar sistem uporabnika opozori v primeru, da so na spisu vneseni roki in naroki, uporabnik pa želi spis dati v koledar po vnesem roku oziroma naroku; vzpostavitev opozorila uporabniku na vsaki neuvrščeni vhodni pošti, ki nam je bila vročena preko varnega elektronskega predala, v primeru, da je datum prejema pred datumom vpogleda v dokument), na nekaterih mestih pa so se izvedle nadgradnje tudi v delu dodatnih funkcionalnosti (na primer nadgradnja delovanja številčenja v popisu spisa v primeru pridružitve). Ker je IS Feniks zgrajen po modulih, so se tudi nadgradnje izvajale po modulih, glavno jedro IS Feniks pa je bilo med letom 2025 večkrat nadgrajeno na zadnjo verzijo s strani izvajalca. Z nadgradnjo jedra smo tako prejeli nekaj naših posodobitev, predvsem pa je izvajalec odpravljal napake, skladno z našimi prijavami napak. Skupno je bilo v letu 2025 izvedeno nekaj čez 30 nadgradenj IS Feniks. </w:t>
      </w:r>
    </w:p>
    <w:p w14:paraId="4D94EA61" w14:textId="77777777" w:rsidR="00695AE2" w:rsidRPr="00503014" w:rsidRDefault="00695AE2" w:rsidP="00695AE2">
      <w:pPr>
        <w:spacing w:line="240" w:lineRule="auto"/>
        <w:jc w:val="both"/>
        <w:rPr>
          <w:rFonts w:eastAsia="Calibri"/>
        </w:rPr>
      </w:pPr>
    </w:p>
    <w:p w14:paraId="64F06753" w14:textId="77777777" w:rsidR="00695AE2" w:rsidRPr="00503014" w:rsidRDefault="00695AE2" w:rsidP="00695AE2">
      <w:pPr>
        <w:spacing w:line="240" w:lineRule="auto"/>
        <w:jc w:val="both"/>
        <w:rPr>
          <w:rFonts w:eastAsia="Calibri"/>
        </w:rPr>
      </w:pPr>
      <w:r w:rsidRPr="00503014">
        <w:rPr>
          <w:rFonts w:eastAsia="Calibri"/>
        </w:rPr>
        <w:t xml:space="preserve">Del novega informacijsko-dokumentnega sistema je tudi modul, s katerim se celostno beležijo terjatve organa. Pisarna za vodenje obveznosti, ki je organizirana na sedežu Državnega odvetništva RS v Ljubljani, vodi in skrbi za pridobivanje poplačil od dolžnikov za celoten organ, torej tudi za vse zunanje oddelke. Pridobitev statističnih podatkov vseh odprtih terjatev, prejetih plačil, odpisov, idr. je zdaj veliko lažja, podatki so bolj točni in hitreje dostopni. </w:t>
      </w:r>
    </w:p>
    <w:p w14:paraId="75B8BE0E" w14:textId="77777777" w:rsidR="00695AE2" w:rsidRPr="00503014" w:rsidRDefault="00695AE2" w:rsidP="00695AE2">
      <w:pPr>
        <w:spacing w:line="240" w:lineRule="auto"/>
        <w:jc w:val="both"/>
        <w:rPr>
          <w:rFonts w:eastAsia="Calibri"/>
        </w:rPr>
      </w:pPr>
    </w:p>
    <w:p w14:paraId="4B60164C" w14:textId="77777777" w:rsidR="00695AE2" w:rsidRPr="00503014" w:rsidRDefault="00695AE2" w:rsidP="00695AE2">
      <w:pPr>
        <w:autoSpaceDE w:val="0"/>
        <w:autoSpaceDN w:val="0"/>
        <w:spacing w:line="240" w:lineRule="auto"/>
        <w:jc w:val="both"/>
        <w:rPr>
          <w:rFonts w:eastAsia="Calibri"/>
        </w:rPr>
      </w:pPr>
      <w:r w:rsidRPr="00503014">
        <w:rPr>
          <w:rFonts w:eastAsia="Calibri"/>
        </w:rPr>
        <w:t>Ker se je pogodba za vzdrževanje IS Feniks iztekla 12. 12. 2025, je Državno odvetništvo RS pristopilo k izvedbi javnega naročila za pridobitev novega izvajalca vzdrževanja in nadgradenj sistema. Do izbire izvajalca je bilo za obdobje od 13. 12. 2025 do 31. 1. 2026 zagotovljeno osnovno vzdrževanje preko evidenčnega postopka, saj je neprekinjeno delovanje sistema ključno za nemoteno poslovanje organa.</w:t>
      </w:r>
    </w:p>
    <w:p w14:paraId="40443B26" w14:textId="77777777" w:rsidR="00695AE2" w:rsidRPr="00503014" w:rsidRDefault="00695AE2" w:rsidP="00695AE2">
      <w:pPr>
        <w:autoSpaceDE w:val="0"/>
        <w:autoSpaceDN w:val="0"/>
        <w:spacing w:line="240" w:lineRule="auto"/>
        <w:jc w:val="both"/>
        <w:rPr>
          <w:rFonts w:eastAsia="Calibri"/>
        </w:rPr>
      </w:pPr>
    </w:p>
    <w:p w14:paraId="149DFCF8" w14:textId="77777777" w:rsidR="00695AE2" w:rsidRPr="00503014" w:rsidRDefault="00695AE2" w:rsidP="00695AE2">
      <w:pPr>
        <w:autoSpaceDE w:val="0"/>
        <w:autoSpaceDN w:val="0"/>
        <w:spacing w:line="240" w:lineRule="auto"/>
        <w:jc w:val="both"/>
        <w:rPr>
          <w:rFonts w:eastAsia="Calibri"/>
        </w:rPr>
      </w:pPr>
      <w:r w:rsidRPr="00503014">
        <w:rPr>
          <w:rFonts w:eastAsia="Calibri"/>
        </w:rPr>
        <w:t xml:space="preserve">Zaradi potreb po digitalizaciji poslovanja in po točnih in pravočasnih informacijah, ki jih državni odvetnik potrebuje za uspešno delo, se bo IS Feniks v bodoče še prilagajal in dograjeval, na ta </w:t>
      </w:r>
      <w:r w:rsidRPr="00503014">
        <w:rPr>
          <w:rFonts w:eastAsia="Calibri"/>
        </w:rPr>
        <w:lastRenderedPageBreak/>
        <w:t>način pa se bo izboljševalo njegove lastnosti delovanja in uporabnost glede na vsebinske in tehnične zahteve.</w:t>
      </w:r>
    </w:p>
    <w:p w14:paraId="0BFE799C" w14:textId="77777777" w:rsidR="00695AE2" w:rsidRPr="00503014" w:rsidRDefault="00695AE2" w:rsidP="00695AE2">
      <w:pPr>
        <w:autoSpaceDE w:val="0"/>
        <w:autoSpaceDN w:val="0"/>
        <w:spacing w:line="240" w:lineRule="auto"/>
        <w:jc w:val="both"/>
        <w:rPr>
          <w:rFonts w:eastAsia="Calibri"/>
        </w:rPr>
      </w:pPr>
    </w:p>
    <w:p w14:paraId="3C8BFC09" w14:textId="77777777" w:rsidR="00695AE2" w:rsidRPr="00503014" w:rsidRDefault="00695AE2" w:rsidP="00695AE2">
      <w:pPr>
        <w:pStyle w:val="Naslov4"/>
      </w:pPr>
      <w:bookmarkStart w:id="149" w:name="_Toc160097157"/>
      <w:bookmarkStart w:id="150" w:name="_Toc191561772"/>
      <w:bookmarkStart w:id="151" w:name="_Toc223093759"/>
      <w:bookmarkEnd w:id="148"/>
      <w:r w:rsidRPr="00503014">
        <w:t>Strategija digitalne transformacije Državnega odvetništva RS</w:t>
      </w:r>
      <w:bookmarkEnd w:id="149"/>
      <w:bookmarkEnd w:id="150"/>
      <w:bookmarkEnd w:id="151"/>
      <w:r w:rsidRPr="00503014">
        <w:t xml:space="preserve"> </w:t>
      </w:r>
    </w:p>
    <w:p w14:paraId="6150BF1B" w14:textId="77777777" w:rsidR="00695AE2" w:rsidRPr="00503014" w:rsidRDefault="00695AE2" w:rsidP="00695AE2">
      <w:pPr>
        <w:spacing w:line="240" w:lineRule="auto"/>
        <w:contextualSpacing/>
        <w:jc w:val="both"/>
        <w:rPr>
          <w:rFonts w:eastAsia="Calibri"/>
          <w:b/>
          <w:bCs/>
          <w:color w:val="007466"/>
        </w:rPr>
      </w:pPr>
      <w:bookmarkStart w:id="152" w:name="_Hlk64546683"/>
    </w:p>
    <w:p w14:paraId="71C066D7" w14:textId="77777777" w:rsidR="00695AE2" w:rsidRPr="00503014" w:rsidRDefault="00695AE2" w:rsidP="00695AE2">
      <w:pPr>
        <w:spacing w:line="240" w:lineRule="auto"/>
        <w:contextualSpacing/>
        <w:jc w:val="both"/>
        <w:rPr>
          <w:rFonts w:eastAsia="Calibri"/>
        </w:rPr>
      </w:pPr>
      <w:r w:rsidRPr="00503014">
        <w:rPr>
          <w:rFonts w:eastAsia="Calibri"/>
        </w:rPr>
        <w:t xml:space="preserve">Digitalizacija poslovnega okolja je pomemben razvojni in strateški cilj Državnega odvetništva RS in mora slediti razvoju digitalnih rešitev celotnega pravosodnega sistema. Strategija digitalne preobrazbe Državnega odvetništva RS ni zgolj seznam projektov za uvajanje digitalnih rešitev, tehnologija in tehnične podrobnosti pa </w:t>
      </w:r>
      <w:r w:rsidRPr="00503014">
        <w:rPr>
          <w:rFonts w:eastAsia="Calibri"/>
          <w:kern w:val="24"/>
          <w:lang w:eastAsia="sl-SI"/>
        </w:rPr>
        <w:t>zajemajo le majhen del strategije. Strategija</w:t>
      </w:r>
      <w:r w:rsidRPr="00503014">
        <w:rPr>
          <w:rFonts w:eastAsia="Calibri"/>
        </w:rPr>
        <w:t xml:space="preserve"> je plod sodelovanja in prispevek vseh deležnikov znotraj organa. Z njo smo zastavili smernice, ki nam bodo pomagale združiti vse za digitalizacijo pomembne elemente, to je upravljanje in nadzor, poslovne procese, kulturo in vedenje ter IT in infrastrukturo, v optimalno delujoč, neločljivo povezan ekosistem.</w:t>
      </w:r>
      <w:bookmarkEnd w:id="152"/>
      <w:r w:rsidRPr="00503014">
        <w:rPr>
          <w:rFonts w:eastAsia="Calibri"/>
        </w:rPr>
        <w:t xml:space="preserve"> </w:t>
      </w:r>
    </w:p>
    <w:p w14:paraId="7D3645DB" w14:textId="77777777" w:rsidR="00695AE2" w:rsidRPr="00503014" w:rsidRDefault="00695AE2" w:rsidP="00695AE2">
      <w:pPr>
        <w:tabs>
          <w:tab w:val="left" w:pos="1540"/>
        </w:tabs>
        <w:spacing w:line="240" w:lineRule="auto"/>
        <w:jc w:val="both"/>
        <w:rPr>
          <w:rFonts w:eastAsia="Calibri"/>
        </w:rPr>
      </w:pPr>
      <w:bookmarkStart w:id="153" w:name="_Hlk97191496"/>
    </w:p>
    <w:p w14:paraId="2622D739"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Obstoječa Strategija digitalne preobrazbe Državnega odvetništva RS </w:t>
      </w:r>
      <w:bookmarkEnd w:id="153"/>
      <w:r w:rsidRPr="00503014">
        <w:rPr>
          <w:rFonts w:eastAsia="Calibri"/>
        </w:rPr>
        <w:t xml:space="preserve">vsebuje vizijo razvoja organa na področju IKT do leta 2030. Ta strategija </w:t>
      </w:r>
      <w:r w:rsidRPr="00503014">
        <w:rPr>
          <w:rFonts w:eastAsia="Calibri"/>
          <w:kern w:val="24"/>
          <w:lang w:eastAsia="sl-SI"/>
        </w:rPr>
        <w:t xml:space="preserve">Državno odvetništvo RS tudi na področju IKT opredeljuje kot samostojen organ, ki deluje in aktivno spremlja, preizkuša ter v svoje poslovanje uvaja informacijske rešitve, skladne z zadnjimi trendi na področju informacijskih tehnologij in njihove rabe v pravosodju. Z digitalizacijo poslovnih procesov, okrepljeno in optimalno razporeditvijo človeških in finančnih virov ter z opolnomočenjem vseh zaposlenih z digitalnimi in drugimi potrebnimi kompetencami Državno odvetništvo RS uspešno opravlja svoje zakonske naloge in izvaja pristojnosti. Notranjim in zunanjim uporabnikom zagotavlja učinkovite, varne in uporabniku prijazne digitalne rešitve, ki omogočajo učinkovito delo na delovnem mestu in na daljavo. Državno odvetništvo RS na vseh ravneh uporablja enotni centralizirani informacijski sistem Vpisniki, ki v zaledju učinkovito povezuje vse notranje IS, informacijske storitve in informatizirane zbirke podatkov ter informacijske sisteme drugih deležnikov (javne zbirke podatkov, sodišča, stranke), kar omogoča hitro, varno in zanesljivo izmenjavo podatkov ter posledično hitrejše in učinkovitejše delo, ko lahko državni odvetniki namenijo manj časa administrativnim opravilom in več časa zahtevnejšemu strokovnemu oziroma vsebinskemu delu. </w:t>
      </w:r>
    </w:p>
    <w:p w14:paraId="21A77881" w14:textId="77777777" w:rsidR="00695AE2" w:rsidRPr="00503014" w:rsidRDefault="00695AE2" w:rsidP="00695AE2">
      <w:pPr>
        <w:spacing w:line="240" w:lineRule="auto"/>
        <w:jc w:val="both"/>
        <w:rPr>
          <w:rFonts w:eastAsia="Calibri"/>
          <w:kern w:val="24"/>
          <w:lang w:eastAsia="sl-SI"/>
        </w:rPr>
      </w:pPr>
    </w:p>
    <w:p w14:paraId="30C6BBB0" w14:textId="77777777" w:rsidR="00695AE2" w:rsidRPr="00503014" w:rsidRDefault="00695AE2" w:rsidP="00695AE2">
      <w:pPr>
        <w:spacing w:line="240" w:lineRule="auto"/>
        <w:jc w:val="both"/>
        <w:rPr>
          <w:rFonts w:eastAsia="Times New Roman"/>
          <w:lang w:eastAsia="sl-SI"/>
        </w:rPr>
      </w:pPr>
      <w:r w:rsidRPr="00503014">
        <w:rPr>
          <w:rFonts w:eastAsia="Calibri"/>
          <w:kern w:val="24"/>
          <w:lang w:eastAsia="sl-SI"/>
        </w:rPr>
        <w:t xml:space="preserve">Državni odvetniki bodo v letu 2030 še vedno najprej vrhunski pravni strokovnjaki, ki bodo hkrati vešči in napredni uporabniki informacijskih rešitev. Svoje delo bodo lahko opravljali krajevno neodvisno, na vseh točkah pa bodo s pomočjo tehnoloških rešitev nemoteno, hitro in preprosto dostopali do vseh virov (spisov, internih zbirk podatkov, javnih zbirk podatkov ipd.), potrebnih za svoje delo. Pri pripravi dokumentov si bodo pomagali z učinkovitimi, uporabnikom prijaznimi rešitvami, medtem ko jim bosta umetna inteligenca in obsežna notranja podatkovna zbirka pravne prakse za njihovo področje dela v veliko pomoč pri učinkovitejšem in hitrejšem reševanju zadev. </w:t>
      </w:r>
      <w:r w:rsidRPr="00503014">
        <w:rPr>
          <w:rFonts w:eastAsia="Times New Roman"/>
          <w:kern w:val="24"/>
          <w:lang w:eastAsia="sl-SI"/>
        </w:rPr>
        <w:t>Čeprav bodo posamezniki še vedno lahko tiskali dokumente in jih uporabljali v fizični obliki, bodo poslovni procesi temeljili na elektronski izmenjavi dokumentov.</w:t>
      </w:r>
    </w:p>
    <w:p w14:paraId="531B2C13" w14:textId="77777777" w:rsidR="00695AE2" w:rsidRPr="00503014" w:rsidRDefault="00695AE2" w:rsidP="00695AE2">
      <w:pPr>
        <w:spacing w:line="240" w:lineRule="auto"/>
        <w:contextualSpacing/>
        <w:jc w:val="both"/>
        <w:rPr>
          <w:rFonts w:eastAsia="Calibri"/>
        </w:rPr>
      </w:pPr>
    </w:p>
    <w:p w14:paraId="5476A646" w14:textId="77777777" w:rsidR="00695AE2" w:rsidRPr="00503014" w:rsidRDefault="00695AE2" w:rsidP="00695AE2">
      <w:pPr>
        <w:spacing w:line="240" w:lineRule="auto"/>
        <w:contextualSpacing/>
        <w:jc w:val="both"/>
        <w:rPr>
          <w:rFonts w:eastAsia="Calibri"/>
        </w:rPr>
      </w:pPr>
      <w:r w:rsidRPr="00503014">
        <w:rPr>
          <w:rFonts w:eastAsia="Calibri"/>
        </w:rPr>
        <w:t xml:space="preserve">Z digitalizacijo poslovnih procesov, okrepljeno in optimalno razporeditvijo človeških in finančnih virov ter z usposobljenostjo vseh zaposlenih bo strankam (državnim organom, državljanom, podjetjem …) zagotovljena višja kakovost storitev, v želji po zmanjšanju tveganja za nastanek spornih razmerij jim bodo na razpolago smernice in vzorci, ki jih bo oblikovalo Državno odvetništvo Republike Slovenije. </w:t>
      </w:r>
    </w:p>
    <w:p w14:paraId="2EB34869" w14:textId="77777777" w:rsidR="00695AE2" w:rsidRPr="00503014" w:rsidRDefault="00695AE2" w:rsidP="00695AE2">
      <w:pPr>
        <w:spacing w:line="240" w:lineRule="auto"/>
        <w:jc w:val="both"/>
        <w:rPr>
          <w:rFonts w:eastAsia="Calibri"/>
        </w:rPr>
      </w:pPr>
      <w:r w:rsidRPr="00503014">
        <w:rPr>
          <w:rFonts w:eastAsia="Calibri"/>
        </w:rPr>
        <w:lastRenderedPageBreak/>
        <w:t>Vsebina Strategije digitalne preobrazbe Državnega odvetništva RS do leta 2030:</w:t>
      </w:r>
    </w:p>
    <w:p w14:paraId="2EEDAE66" w14:textId="77777777" w:rsidR="00695AE2" w:rsidRPr="00503014" w:rsidRDefault="00695AE2" w:rsidP="00695AE2">
      <w:pPr>
        <w:numPr>
          <w:ilvl w:val="0"/>
          <w:numId w:val="46"/>
        </w:numPr>
        <w:spacing w:line="240" w:lineRule="auto"/>
        <w:ind w:left="714" w:hanging="357"/>
        <w:contextualSpacing/>
        <w:jc w:val="both"/>
        <w:rPr>
          <w:rFonts w:eastAsia="Times New Roman"/>
          <w:lang w:eastAsia="sl-SI"/>
        </w:rPr>
      </w:pPr>
      <w:r w:rsidRPr="00503014">
        <w:rPr>
          <w:rFonts w:eastAsia="Calibri"/>
          <w:kern w:val="24"/>
          <w:lang w:eastAsia="sl-SI"/>
        </w:rPr>
        <w:t>štiri področja: upravljanje in nadzor, poslovni procesi, kultura in vedenje, IT in infrastruktura;</w:t>
      </w:r>
    </w:p>
    <w:p w14:paraId="6F48591E" w14:textId="77777777" w:rsidR="00695AE2" w:rsidRPr="00503014" w:rsidRDefault="00695AE2" w:rsidP="00695AE2">
      <w:pPr>
        <w:numPr>
          <w:ilvl w:val="0"/>
          <w:numId w:val="46"/>
        </w:numPr>
        <w:spacing w:line="240" w:lineRule="auto"/>
        <w:ind w:left="714" w:hanging="357"/>
        <w:jc w:val="both"/>
        <w:rPr>
          <w:rFonts w:eastAsia="Times New Roman"/>
          <w:lang w:eastAsia="sl-SI"/>
        </w:rPr>
      </w:pPr>
      <w:r w:rsidRPr="00503014">
        <w:rPr>
          <w:rFonts w:eastAsia="Times New Roman"/>
          <w:kern w:val="24"/>
          <w:lang w:eastAsia="sl-SI"/>
        </w:rPr>
        <w:t>strateški cilji so porazdeljeni po področjih, ki so ključna za učinkovito in smotrno digitalizacijo ter rabo digitalnih rešitev;</w:t>
      </w:r>
    </w:p>
    <w:p w14:paraId="458FBA7A" w14:textId="77777777" w:rsidR="00695AE2" w:rsidRPr="00503014" w:rsidRDefault="00695AE2" w:rsidP="00695AE2">
      <w:pPr>
        <w:numPr>
          <w:ilvl w:val="0"/>
          <w:numId w:val="46"/>
        </w:numPr>
        <w:spacing w:line="240" w:lineRule="auto"/>
        <w:ind w:left="714" w:hanging="357"/>
        <w:contextualSpacing/>
        <w:jc w:val="both"/>
        <w:rPr>
          <w:rFonts w:eastAsia="Times New Roman"/>
          <w:lang w:eastAsia="sl-SI"/>
        </w:rPr>
      </w:pPr>
      <w:r w:rsidRPr="00503014">
        <w:rPr>
          <w:rFonts w:eastAsia="Calibri"/>
          <w:kern w:val="24"/>
          <w:lang w:eastAsia="sl-SI"/>
        </w:rPr>
        <w:t>poudarki v strategiji so na:</w:t>
      </w:r>
    </w:p>
    <w:p w14:paraId="35F1A76C" w14:textId="77777777" w:rsidR="00695AE2" w:rsidRPr="00503014" w:rsidRDefault="00695AE2" w:rsidP="00695AE2">
      <w:pPr>
        <w:numPr>
          <w:ilvl w:val="1"/>
          <w:numId w:val="22"/>
        </w:numPr>
        <w:spacing w:line="240" w:lineRule="auto"/>
        <w:contextualSpacing/>
        <w:jc w:val="both"/>
        <w:rPr>
          <w:rFonts w:eastAsia="Times New Roman"/>
          <w:lang w:eastAsia="sl-SI"/>
        </w:rPr>
      </w:pPr>
      <w:r w:rsidRPr="00503014">
        <w:rPr>
          <w:rFonts w:eastAsia="Calibri"/>
          <w:kern w:val="24"/>
          <w:lang w:eastAsia="sl-SI"/>
        </w:rPr>
        <w:t xml:space="preserve">skupnem sodelovanju deležnikov, </w:t>
      </w:r>
    </w:p>
    <w:p w14:paraId="12B0B08E" w14:textId="77777777" w:rsidR="00695AE2" w:rsidRPr="00503014" w:rsidRDefault="00695AE2" w:rsidP="00695AE2">
      <w:pPr>
        <w:numPr>
          <w:ilvl w:val="1"/>
          <w:numId w:val="22"/>
        </w:numPr>
        <w:spacing w:line="240" w:lineRule="auto"/>
        <w:contextualSpacing/>
        <w:jc w:val="both"/>
        <w:rPr>
          <w:rFonts w:eastAsia="Times New Roman"/>
          <w:lang w:eastAsia="sl-SI"/>
        </w:rPr>
      </w:pPr>
      <w:r w:rsidRPr="00503014">
        <w:rPr>
          <w:rFonts w:eastAsia="Calibri"/>
          <w:kern w:val="24"/>
          <w:lang w:eastAsia="sl-SI"/>
        </w:rPr>
        <w:t>komunikaciji znotraj organizacije,</w:t>
      </w:r>
    </w:p>
    <w:p w14:paraId="1F71F4A8" w14:textId="77777777" w:rsidR="00695AE2" w:rsidRPr="00503014" w:rsidRDefault="00695AE2" w:rsidP="00695AE2">
      <w:pPr>
        <w:numPr>
          <w:ilvl w:val="1"/>
          <w:numId w:val="22"/>
        </w:numPr>
        <w:spacing w:line="240" w:lineRule="auto"/>
        <w:contextualSpacing/>
        <w:jc w:val="both"/>
        <w:rPr>
          <w:rFonts w:eastAsia="Times New Roman"/>
          <w:lang w:eastAsia="sl-SI"/>
        </w:rPr>
      </w:pPr>
      <w:r w:rsidRPr="00503014">
        <w:rPr>
          <w:rFonts w:eastAsia="Calibri"/>
          <w:kern w:val="24"/>
          <w:lang w:eastAsia="sl-SI"/>
        </w:rPr>
        <w:t>opolnomočenju uporabnikov in zagotavljanju podpore,</w:t>
      </w:r>
    </w:p>
    <w:p w14:paraId="71C385EE" w14:textId="77777777" w:rsidR="00695AE2" w:rsidRPr="00503014" w:rsidRDefault="00695AE2" w:rsidP="00695AE2">
      <w:pPr>
        <w:numPr>
          <w:ilvl w:val="1"/>
          <w:numId w:val="22"/>
        </w:numPr>
        <w:spacing w:line="240" w:lineRule="auto"/>
        <w:contextualSpacing/>
        <w:jc w:val="both"/>
        <w:rPr>
          <w:rFonts w:eastAsia="Times New Roman"/>
          <w:lang w:eastAsia="sl-SI"/>
        </w:rPr>
      </w:pPr>
      <w:r w:rsidRPr="00503014">
        <w:rPr>
          <w:rFonts w:eastAsia="Calibri"/>
          <w:kern w:val="24"/>
          <w:lang w:eastAsia="sl-SI"/>
        </w:rPr>
        <w:t>povezovanju in sodelovanju</w:t>
      </w:r>
      <w:r w:rsidRPr="00503014">
        <w:rPr>
          <w:rFonts w:eastAsia="Calibri"/>
          <w:kern w:val="24"/>
          <w:lang w:val="it-IT" w:eastAsia="sl-SI"/>
        </w:rPr>
        <w:t xml:space="preserve"> </w:t>
      </w:r>
      <w:r w:rsidRPr="00503014">
        <w:rPr>
          <w:rFonts w:eastAsia="Calibri"/>
          <w:kern w:val="24"/>
          <w:lang w:eastAsia="sl-SI"/>
        </w:rPr>
        <w:t>z zunanjimi deležniki v pravosodni verigi,</w:t>
      </w:r>
    </w:p>
    <w:p w14:paraId="74F5DE70" w14:textId="77777777" w:rsidR="00695AE2" w:rsidRPr="00503014" w:rsidRDefault="00695AE2" w:rsidP="00695AE2">
      <w:pPr>
        <w:numPr>
          <w:ilvl w:val="1"/>
          <w:numId w:val="22"/>
        </w:numPr>
        <w:spacing w:line="240" w:lineRule="auto"/>
        <w:contextualSpacing/>
        <w:jc w:val="both"/>
        <w:rPr>
          <w:rFonts w:eastAsia="Times New Roman"/>
          <w:lang w:eastAsia="sl-SI"/>
        </w:rPr>
      </w:pPr>
      <w:r w:rsidRPr="00503014">
        <w:rPr>
          <w:rFonts w:eastAsia="Calibri"/>
          <w:kern w:val="24"/>
          <w:lang w:eastAsia="sl-SI"/>
        </w:rPr>
        <w:t>podpiranju dela državnih odvetnikov in drugih zaposlenih ne glede na kraj in čas.</w:t>
      </w:r>
    </w:p>
    <w:p w14:paraId="17636CF2" w14:textId="77777777" w:rsidR="00695AE2" w:rsidRPr="00503014" w:rsidRDefault="00695AE2" w:rsidP="00695AE2">
      <w:pPr>
        <w:spacing w:line="240" w:lineRule="auto"/>
        <w:rPr>
          <w:rFonts w:eastAsia="Calibri"/>
          <w:color w:val="007466"/>
        </w:rPr>
      </w:pPr>
    </w:p>
    <w:p w14:paraId="5C5735F0" w14:textId="77777777" w:rsidR="00695AE2" w:rsidRPr="00503014" w:rsidRDefault="00695AE2" w:rsidP="00695AE2">
      <w:pPr>
        <w:spacing w:line="240" w:lineRule="auto"/>
        <w:jc w:val="both"/>
        <w:rPr>
          <w:rFonts w:eastAsia="Calibri"/>
        </w:rPr>
      </w:pPr>
      <w:r w:rsidRPr="00503014">
        <w:rPr>
          <w:rFonts w:eastAsia="Calibri"/>
        </w:rPr>
        <w:t xml:space="preserve">Na Državnem odvetništvu RS se zavedamo, da </w:t>
      </w:r>
      <w:r w:rsidRPr="00503014">
        <w:rPr>
          <w:rFonts w:eastAsia="Calibri"/>
          <w:lang w:eastAsia="sl-SI"/>
        </w:rPr>
        <w:t xml:space="preserve">ob pravilnem načinu izvajanja digitalizacija lahko prinese številne prednosti, kot so hitrejše in lažje delo, večja učinkovitost in zanesljivost ter optimalnejši izkoristek finančnih sredstev, večje zadovoljstvo zaposlenih in boljša kakovost dela, na drugi strani pa ob nepravilnem načinu izvajanju lahko povzroči dodatne težave, visoke stroške ter nezadovoljstvo in jezo uporabnikov oziroma (zunanjih) strank. Zaradi vsega navedenega mora biti digitalizacija premišljena in dobro načrtovana, odgovornost zanjo pa morajo prevzeti posamezniki na vseh ravneh organizacije, ki morajo proces digitalizacije tudi podpirati. </w:t>
      </w:r>
      <w:r w:rsidRPr="00503014">
        <w:rPr>
          <w:rFonts w:eastAsia="Calibri"/>
        </w:rPr>
        <w:t>Tehnološke rešitve kljub svoji morebitni učinkovitosti namreč ne bodo nikoli sprejete, če jih končni uporabniki ne vzamejo za svoje. To pa je mogoče doseči le, če so v proces digitalizacije ter postopek razvoja, testiranja in vpeljave digitalnih rešitev vključeni predstavniki vseh področij dela organa.</w:t>
      </w:r>
    </w:p>
    <w:p w14:paraId="18BD109B" w14:textId="77777777" w:rsidR="00695AE2" w:rsidRPr="00503014" w:rsidRDefault="00695AE2" w:rsidP="00695AE2">
      <w:pPr>
        <w:spacing w:line="240" w:lineRule="auto"/>
        <w:jc w:val="both"/>
        <w:rPr>
          <w:rFonts w:eastAsia="Calibri"/>
        </w:rPr>
      </w:pPr>
    </w:p>
    <w:p w14:paraId="2832CAAC" w14:textId="77777777" w:rsidR="00695AE2" w:rsidRPr="00503014" w:rsidRDefault="00695AE2" w:rsidP="00695AE2">
      <w:pPr>
        <w:pStyle w:val="Naslov4"/>
      </w:pPr>
      <w:bookmarkStart w:id="154" w:name="_Toc223093760"/>
      <w:r w:rsidRPr="00503014">
        <w:t>Uvajanje umetne inteligence v poslovne procese Državnega odvetništva RS</w:t>
      </w:r>
      <w:bookmarkEnd w:id="154"/>
      <w:r w:rsidRPr="00503014">
        <w:t xml:space="preserve">  </w:t>
      </w:r>
    </w:p>
    <w:p w14:paraId="3F960373" w14:textId="77777777" w:rsidR="00695AE2" w:rsidRPr="00503014" w:rsidRDefault="00695AE2" w:rsidP="00695AE2">
      <w:pPr>
        <w:spacing w:line="240" w:lineRule="auto"/>
        <w:jc w:val="both"/>
        <w:rPr>
          <w:rFonts w:eastAsia="Calibri"/>
        </w:rPr>
      </w:pPr>
    </w:p>
    <w:p w14:paraId="790F19E2" w14:textId="77777777" w:rsidR="00695AE2" w:rsidRDefault="00695AE2" w:rsidP="00695AE2">
      <w:pPr>
        <w:spacing w:line="240" w:lineRule="auto"/>
        <w:jc w:val="both"/>
        <w:rPr>
          <w:rFonts w:eastAsia="Aptos"/>
          <w:kern w:val="2"/>
          <w14:ligatures w14:val="standardContextual"/>
        </w:rPr>
      </w:pPr>
      <w:r w:rsidRPr="00E70378">
        <w:rPr>
          <w:rFonts w:eastAsia="Aptos"/>
          <w:kern w:val="2"/>
          <w14:ligatures w14:val="standardContextual"/>
        </w:rPr>
        <w:t xml:space="preserve">Z odredbo generalne državne odvetnice z dne 15. 9. 2025 je bila ustanovljena delovna skupina za koordinacijo nalog poslovanja Državnega odvetništva </w:t>
      </w:r>
      <w:r>
        <w:rPr>
          <w:rFonts w:eastAsia="Aptos"/>
          <w:kern w:val="2"/>
          <w14:ligatures w14:val="standardContextual"/>
        </w:rPr>
        <w:t xml:space="preserve">RS </w:t>
      </w:r>
      <w:r w:rsidRPr="00E70378">
        <w:rPr>
          <w:rFonts w:eastAsia="Aptos"/>
          <w:kern w:val="2"/>
          <w14:ligatures w14:val="standardContextual"/>
        </w:rPr>
        <w:t xml:space="preserve">na področju digitalizacije in umetne inteligence ter za sodelovanje z drugimi organi na tem področju. </w:t>
      </w:r>
    </w:p>
    <w:p w14:paraId="5360DB67" w14:textId="77777777" w:rsidR="00695AE2" w:rsidRDefault="00695AE2" w:rsidP="00695AE2">
      <w:pPr>
        <w:spacing w:line="240" w:lineRule="auto"/>
        <w:jc w:val="both"/>
        <w:rPr>
          <w:rFonts w:eastAsia="Aptos"/>
          <w:kern w:val="2"/>
          <w14:ligatures w14:val="standardContextual"/>
        </w:rPr>
      </w:pPr>
    </w:p>
    <w:p w14:paraId="45CDD243" w14:textId="77777777" w:rsidR="00695AE2" w:rsidRDefault="00695AE2" w:rsidP="00695AE2">
      <w:pPr>
        <w:spacing w:line="240" w:lineRule="auto"/>
        <w:jc w:val="both"/>
        <w:rPr>
          <w:rFonts w:eastAsia="Aptos"/>
          <w:kern w:val="2"/>
          <w14:ligatures w14:val="standardContextual"/>
        </w:rPr>
      </w:pPr>
      <w:r w:rsidRPr="00E70378">
        <w:rPr>
          <w:rFonts w:eastAsia="Aptos"/>
          <w:kern w:val="2"/>
          <w14:ligatures w14:val="standardContextual"/>
        </w:rPr>
        <w:t>Naloge delovne skupine obsegajo pripravo Smernic za uporabo umetne inteligence pri delu na Državnem odvetništvu R</w:t>
      </w:r>
      <w:r>
        <w:rPr>
          <w:rFonts w:eastAsia="Aptos"/>
          <w:kern w:val="2"/>
          <w14:ligatures w14:val="standardContextual"/>
        </w:rPr>
        <w:t>S</w:t>
      </w:r>
      <w:r w:rsidRPr="00E70378">
        <w:rPr>
          <w:rFonts w:eastAsia="Aptos"/>
          <w:kern w:val="2"/>
          <w14:ligatures w14:val="standardContextual"/>
        </w:rPr>
        <w:t xml:space="preserve">, spremljanje uvajanja sistemov umetne inteligence v poslovanje Državnega odvetništva </w:t>
      </w:r>
      <w:r>
        <w:rPr>
          <w:rFonts w:eastAsia="Aptos"/>
          <w:kern w:val="2"/>
          <w14:ligatures w14:val="standardContextual"/>
        </w:rPr>
        <w:t xml:space="preserve">RS </w:t>
      </w:r>
      <w:r w:rsidRPr="00E70378">
        <w:rPr>
          <w:rFonts w:eastAsia="Aptos"/>
          <w:kern w:val="2"/>
          <w14:ligatures w14:val="standardContextual"/>
        </w:rPr>
        <w:t>z vidika Akta EU o umetni inteligenci, Smernic EU o razvrščanju visoko tveganih sistemov umetne inteligence, Strategije digitalne Slovenije 2030, Strategij</w:t>
      </w:r>
      <w:r>
        <w:rPr>
          <w:rFonts w:eastAsia="Aptos"/>
          <w:kern w:val="2"/>
          <w14:ligatures w14:val="standardContextual"/>
        </w:rPr>
        <w:t>e</w:t>
      </w:r>
      <w:r w:rsidRPr="00E70378">
        <w:rPr>
          <w:rFonts w:eastAsia="Aptos"/>
          <w:kern w:val="2"/>
          <w14:ligatures w14:val="standardContextual"/>
        </w:rPr>
        <w:t xml:space="preserve"> digitalne transformacije Državnega odvetništva </w:t>
      </w:r>
      <w:r>
        <w:rPr>
          <w:rFonts w:eastAsia="Aptos"/>
          <w:kern w:val="2"/>
          <w14:ligatures w14:val="standardContextual"/>
        </w:rPr>
        <w:t xml:space="preserve">RS </w:t>
      </w:r>
      <w:r w:rsidRPr="00E70378">
        <w:rPr>
          <w:rFonts w:eastAsia="Aptos"/>
          <w:kern w:val="2"/>
          <w14:ligatures w14:val="standardContextual"/>
        </w:rPr>
        <w:t>do leta 2030 in ostalih relevantnih podlag, podajanje predlogov nadaljnje digitalizacije in avtomatizacije ter uvedbe sistemov umetne inteligence v poslovanje Državnega odvetništva</w:t>
      </w:r>
      <w:r>
        <w:rPr>
          <w:rFonts w:eastAsia="Aptos"/>
          <w:kern w:val="2"/>
          <w14:ligatures w14:val="standardContextual"/>
        </w:rPr>
        <w:t xml:space="preserve"> RS</w:t>
      </w:r>
      <w:r w:rsidRPr="00E70378">
        <w:rPr>
          <w:rFonts w:eastAsia="Aptos"/>
          <w:kern w:val="2"/>
          <w14:ligatures w14:val="standardContextual"/>
        </w:rPr>
        <w:t xml:space="preserve"> in sodelovanje z drugimi organi na področju digitalizacije in umetne inteligence v Sloveniji v delu, vezanem na poslovanje Državnega odvetništva</w:t>
      </w:r>
      <w:r>
        <w:rPr>
          <w:rFonts w:eastAsia="Aptos"/>
          <w:kern w:val="2"/>
          <w14:ligatures w14:val="standardContextual"/>
        </w:rPr>
        <w:t xml:space="preserve"> RS</w:t>
      </w:r>
      <w:r w:rsidRPr="00E70378">
        <w:rPr>
          <w:rFonts w:eastAsia="Aptos"/>
          <w:kern w:val="2"/>
          <w14:ligatures w14:val="standardContextual"/>
        </w:rPr>
        <w:t xml:space="preserve">. </w:t>
      </w:r>
    </w:p>
    <w:p w14:paraId="04083800" w14:textId="77777777" w:rsidR="00695AE2" w:rsidRDefault="00695AE2" w:rsidP="00695AE2">
      <w:pPr>
        <w:spacing w:line="240" w:lineRule="auto"/>
        <w:jc w:val="both"/>
        <w:rPr>
          <w:rFonts w:eastAsia="Aptos"/>
          <w:kern w:val="2"/>
          <w14:ligatures w14:val="standardContextual"/>
        </w:rPr>
      </w:pPr>
    </w:p>
    <w:p w14:paraId="4A58FB71" w14:textId="77777777" w:rsidR="00695AE2" w:rsidRPr="00E70378" w:rsidRDefault="00695AE2" w:rsidP="00695AE2">
      <w:pPr>
        <w:spacing w:line="240" w:lineRule="auto"/>
        <w:jc w:val="both"/>
        <w:rPr>
          <w:rFonts w:eastAsia="Aptos"/>
          <w:kern w:val="2"/>
          <w14:ligatures w14:val="standardContextual"/>
        </w:rPr>
      </w:pPr>
      <w:r w:rsidRPr="00E70378">
        <w:rPr>
          <w:rFonts w:eastAsia="Aptos"/>
          <w:kern w:val="2"/>
          <w14:ligatures w14:val="standardContextual"/>
        </w:rPr>
        <w:t xml:space="preserve">Zaradi velikega števila članov skupine je bila ta neformalno razdeljena na štiri podskupine, ki vsaka podrobneje obravnava po eno od zapisanih nalog. </w:t>
      </w:r>
    </w:p>
    <w:p w14:paraId="52B2F4AB" w14:textId="77777777" w:rsidR="00695AE2" w:rsidRDefault="00695AE2" w:rsidP="00695AE2">
      <w:pPr>
        <w:spacing w:line="240" w:lineRule="auto"/>
        <w:jc w:val="both"/>
        <w:rPr>
          <w:rFonts w:eastAsia="Aptos"/>
          <w:kern w:val="2"/>
          <w14:ligatures w14:val="standardContextual"/>
        </w:rPr>
      </w:pPr>
    </w:p>
    <w:p w14:paraId="36611D10" w14:textId="77777777" w:rsidR="00695AE2" w:rsidRDefault="00695AE2" w:rsidP="00695AE2">
      <w:pPr>
        <w:spacing w:line="240" w:lineRule="auto"/>
        <w:jc w:val="both"/>
        <w:rPr>
          <w:rFonts w:eastAsia="Aptos"/>
          <w:kern w:val="2"/>
          <w14:ligatures w14:val="standardContextual"/>
        </w:rPr>
      </w:pPr>
      <w:r w:rsidRPr="00E70378">
        <w:rPr>
          <w:rFonts w:eastAsia="Aptos"/>
          <w:kern w:val="2"/>
          <w14:ligatures w14:val="standardContextual"/>
        </w:rPr>
        <w:t xml:space="preserve">Konec leta 2025 je bil v sklepni pripravi dokument Smernice Državnega odvetništva RS za odgovorno uporabo umetne inteligence na delovnem mestu, v pripravi sta Poročilo o izvajanju Strategije digitalne transformacije Državnega odvetništva RS 2020-2025 in novelirana </w:t>
      </w:r>
      <w:r w:rsidRPr="00E70378">
        <w:rPr>
          <w:rFonts w:eastAsia="Aptos"/>
          <w:kern w:val="2"/>
          <w14:ligatures w14:val="standardContextual"/>
        </w:rPr>
        <w:lastRenderedPageBreak/>
        <w:t xml:space="preserve">Strategija digitalne transformacije Državnega odvetništva RS z operativnim načrtom za obdobje 2026 – 2030. </w:t>
      </w:r>
    </w:p>
    <w:p w14:paraId="46A4B997" w14:textId="77777777" w:rsidR="00695AE2" w:rsidRDefault="00695AE2" w:rsidP="00695AE2">
      <w:pPr>
        <w:spacing w:line="240" w:lineRule="auto"/>
        <w:jc w:val="both"/>
        <w:rPr>
          <w:rFonts w:eastAsia="Aptos"/>
          <w:kern w:val="2"/>
          <w14:ligatures w14:val="standardContextual"/>
        </w:rPr>
      </w:pPr>
    </w:p>
    <w:p w14:paraId="3870BA56" w14:textId="77777777" w:rsidR="00695AE2" w:rsidRPr="00E70378" w:rsidRDefault="00695AE2" w:rsidP="00695AE2">
      <w:pPr>
        <w:spacing w:line="240" w:lineRule="auto"/>
        <w:jc w:val="both"/>
        <w:rPr>
          <w:rFonts w:eastAsia="Aptos"/>
          <w:kern w:val="2"/>
          <w14:ligatures w14:val="standardContextual"/>
        </w:rPr>
      </w:pPr>
      <w:r w:rsidRPr="00E70378">
        <w:rPr>
          <w:rFonts w:eastAsia="Aptos"/>
          <w:kern w:val="2"/>
          <w14:ligatures w14:val="standardContextual"/>
        </w:rPr>
        <w:t xml:space="preserve">Delovna skupina je prek Ministrstva za pravosodje sodelovala pri </w:t>
      </w:r>
      <w:r>
        <w:rPr>
          <w:rFonts w:eastAsia="Aptos"/>
          <w:kern w:val="2"/>
          <w14:ligatures w14:val="standardContextual"/>
        </w:rPr>
        <w:t>P</w:t>
      </w:r>
      <w:r w:rsidRPr="00E70378">
        <w:rPr>
          <w:rFonts w:eastAsia="Aptos"/>
          <w:kern w:val="2"/>
          <w14:ligatures w14:val="standardContextual"/>
        </w:rPr>
        <w:t>ripravi smernic Evropske komisije o razvrščanju visoko tveganih sistemov po Uredbi (EU) 2024/1689 (Aktu o umetni inteligenci).</w:t>
      </w:r>
    </w:p>
    <w:p w14:paraId="57A93EF8" w14:textId="77777777" w:rsidR="00695AE2" w:rsidRDefault="00695AE2" w:rsidP="00695AE2">
      <w:pPr>
        <w:spacing w:line="240" w:lineRule="auto"/>
        <w:jc w:val="both"/>
        <w:rPr>
          <w:rFonts w:eastAsia="Aptos"/>
          <w:kern w:val="2"/>
          <w14:ligatures w14:val="standardContextual"/>
        </w:rPr>
      </w:pPr>
    </w:p>
    <w:p w14:paraId="12E1A61C" w14:textId="77777777" w:rsidR="00695AE2" w:rsidRDefault="00695AE2" w:rsidP="00695AE2">
      <w:pPr>
        <w:spacing w:line="240" w:lineRule="auto"/>
        <w:jc w:val="both"/>
        <w:rPr>
          <w:rFonts w:eastAsia="Aptos"/>
          <w:kern w:val="2"/>
          <w14:ligatures w14:val="standardContextual"/>
        </w:rPr>
      </w:pPr>
      <w:r w:rsidRPr="00E70378">
        <w:rPr>
          <w:rFonts w:eastAsia="Aptos"/>
          <w:kern w:val="2"/>
          <w14:ligatures w14:val="standardContextual"/>
        </w:rPr>
        <w:t>V sklopu sodelovanja z drugimi organi na področju digitalizacije in umetne inteligence je delovna skupina že poleti 2025 podala pobudo za usklajeno delovanje na področju pravosodja. To pobudo je Državno odvetništvo RS na skupnem sestanku decembra 2025 predstavilo predstavnikom Ministrstva za pravosodje, Ustavnega sodišča in Vrhovnega državnega tožilstva. Vrhovno sodišče RS je bilo o pobudi obveščeno pisno. V svoji pobudi je Državno odvetništvo RS predlagalo skupno sodelovanje pri projektih digitalizacije pravosodja, med drugim pri oblikovanju skupnega predloga prednostne raziskovalne teme v okviru Ciljnega raziskovalnega programa. Udeleženci sestanka so se strinjali, da je smiselno, da organi pravosodja na področju digitalizacije pravosodja intenzivneje sodelujejo, se povezujejo ter iščejo skupne točke in sinergije, kar je lahko doseženo predvsem z redno komunikacijo na najvišjem vodstvenem in hkrati operativnem nivoju. Na sestanku je bil sprejet sklep, da Ministrstvo za pravosodje prične z aktivnostmi za ustanovitev Sveta za digitalizacijo v pravosodju, pa tudi, da bodo vsi deležniki v prihodnje intenzivneje sodelovali pri oblikovanju strateških dokumentov, ki so obenem osnova za pridobivanje dodatnih nacionalnih in predvsem EU sredstev.</w:t>
      </w:r>
    </w:p>
    <w:p w14:paraId="75AE36DE" w14:textId="77777777" w:rsidR="00695AE2" w:rsidRDefault="00695AE2" w:rsidP="00695AE2">
      <w:pPr>
        <w:spacing w:line="240" w:lineRule="auto"/>
        <w:jc w:val="both"/>
        <w:rPr>
          <w:rFonts w:eastAsia="Aptos"/>
          <w:kern w:val="2"/>
          <w14:ligatures w14:val="standardContextual"/>
        </w:rPr>
      </w:pPr>
    </w:p>
    <w:p w14:paraId="377BD36B" w14:textId="77777777" w:rsidR="00695AE2" w:rsidRPr="00E70378" w:rsidRDefault="00695AE2" w:rsidP="00695AE2">
      <w:pPr>
        <w:spacing w:line="240" w:lineRule="auto"/>
        <w:jc w:val="both"/>
      </w:pPr>
      <w:r w:rsidRPr="00503014">
        <w:t xml:space="preserve">V letu 2026 delovna skupina načrtuje dokončanje </w:t>
      </w:r>
      <w:r>
        <w:t xml:space="preserve">zgoraj </w:t>
      </w:r>
      <w:r w:rsidRPr="00503014">
        <w:t>navedenih dokumentov, več časa pa bo namenjala tudi obravnavi predlogov nadaljnje digitalizacije in avtomatizacije ter uvedbi sistemov umetne inteligence v poslovanje Državnega odvetništva RS.</w:t>
      </w:r>
    </w:p>
    <w:p w14:paraId="246A7196" w14:textId="77777777" w:rsidR="00695AE2" w:rsidRPr="00464AEF" w:rsidRDefault="00695AE2" w:rsidP="00695AE2">
      <w:pPr>
        <w:pStyle w:val="Jasna"/>
        <w:rPr>
          <w:sz w:val="28"/>
          <w:szCs w:val="28"/>
        </w:rPr>
      </w:pPr>
      <w:bookmarkStart w:id="155" w:name="_Toc160097158"/>
      <w:bookmarkStart w:id="156" w:name="_Toc191561773"/>
      <w:bookmarkStart w:id="157" w:name="_Hlk62723122"/>
      <w:bookmarkEnd w:id="136"/>
    </w:p>
    <w:p w14:paraId="2294466F" w14:textId="77777777" w:rsidR="00695AE2" w:rsidRPr="00503014" w:rsidRDefault="00695AE2" w:rsidP="00695AE2">
      <w:pPr>
        <w:pStyle w:val="Naslov3"/>
        <w:ind w:left="0" w:firstLine="0"/>
      </w:pPr>
      <w:bookmarkStart w:id="158" w:name="_Toc223093761"/>
      <w:r w:rsidRPr="00503014">
        <w:t>Področje organizacije dela in poslovnih procesov znotraj Državnega odvetništva RS</w:t>
      </w:r>
      <w:bookmarkEnd w:id="155"/>
      <w:bookmarkEnd w:id="156"/>
      <w:bookmarkEnd w:id="158"/>
    </w:p>
    <w:p w14:paraId="2D5ED9FB" w14:textId="77777777" w:rsidR="00695AE2" w:rsidRPr="00503014" w:rsidRDefault="00695AE2" w:rsidP="00695AE2">
      <w:pPr>
        <w:spacing w:line="240" w:lineRule="auto"/>
        <w:jc w:val="both"/>
        <w:rPr>
          <w:rFonts w:eastAsia="Calibri"/>
          <w:sz w:val="28"/>
          <w:szCs w:val="28"/>
          <w:highlight w:val="yellow"/>
        </w:rPr>
      </w:pPr>
    </w:p>
    <w:p w14:paraId="2ADD3ADE" w14:textId="77777777" w:rsidR="00695AE2" w:rsidRPr="00503014" w:rsidRDefault="00695AE2" w:rsidP="00695AE2">
      <w:pPr>
        <w:pStyle w:val="Naslov4"/>
        <w:rPr>
          <w:lang w:eastAsia="sl-SI"/>
        </w:rPr>
      </w:pPr>
      <w:bookmarkStart w:id="159" w:name="_Toc160097159"/>
      <w:bookmarkStart w:id="160" w:name="_Toc191561774"/>
      <w:bookmarkStart w:id="161" w:name="_Toc223093762"/>
      <w:r w:rsidRPr="00503014">
        <w:rPr>
          <w:lang w:eastAsia="sl-SI"/>
        </w:rPr>
        <w:t>Splošno</w:t>
      </w:r>
      <w:bookmarkEnd w:id="159"/>
      <w:bookmarkEnd w:id="160"/>
      <w:bookmarkEnd w:id="161"/>
    </w:p>
    <w:p w14:paraId="04281179" w14:textId="77777777" w:rsidR="00695AE2" w:rsidRPr="00503014" w:rsidRDefault="00695AE2" w:rsidP="00695AE2">
      <w:pPr>
        <w:spacing w:line="240" w:lineRule="auto"/>
        <w:jc w:val="both"/>
        <w:rPr>
          <w:rFonts w:eastAsia="Calibri"/>
          <w:szCs w:val="20"/>
          <w:lang w:eastAsia="sl-SI"/>
        </w:rPr>
      </w:pPr>
    </w:p>
    <w:p w14:paraId="1032F2A0" w14:textId="77777777" w:rsidR="00695AE2" w:rsidRPr="00503014" w:rsidRDefault="00695AE2" w:rsidP="00695AE2">
      <w:pPr>
        <w:spacing w:line="240" w:lineRule="auto"/>
        <w:jc w:val="both"/>
        <w:rPr>
          <w:rFonts w:eastAsia="Calibri"/>
        </w:rPr>
      </w:pPr>
      <w:r w:rsidRPr="00503014">
        <w:rPr>
          <w:rFonts w:eastAsia="Calibri"/>
          <w:szCs w:val="20"/>
          <w:lang w:eastAsia="sl-SI"/>
        </w:rPr>
        <w:t xml:space="preserve">S prilagoditvijo notranje organizacije organa, učinkovitejšo uporabo informacijske tehnologije pri poslovanju ter uvajanjem sistemskih pristopov pri upravljanju organa in poslovanju z zadevami, </w:t>
      </w:r>
      <w:r w:rsidRPr="00503014">
        <w:rPr>
          <w:rFonts w:eastAsia="Calibri"/>
        </w:rPr>
        <w:t xml:space="preserve">Državno odvetništvo RS </w:t>
      </w:r>
      <w:r w:rsidRPr="00503014">
        <w:rPr>
          <w:rFonts w:eastAsia="Times New Roman"/>
          <w:lang w:eastAsia="sl-SI"/>
        </w:rPr>
        <w:t>nenehno optimizira svoje delovne procese in racionalizira poslovanje.</w:t>
      </w:r>
      <w:r w:rsidRPr="00503014">
        <w:rPr>
          <w:rFonts w:eastAsia="Calibri"/>
        </w:rPr>
        <w:t xml:space="preserve"> </w:t>
      </w:r>
    </w:p>
    <w:p w14:paraId="0D92A94A" w14:textId="77777777" w:rsidR="00695AE2" w:rsidRPr="00503014" w:rsidRDefault="00695AE2" w:rsidP="00695AE2">
      <w:pPr>
        <w:spacing w:line="240" w:lineRule="auto"/>
        <w:jc w:val="both"/>
        <w:rPr>
          <w:rFonts w:eastAsia="Calibri"/>
          <w:bCs/>
        </w:rPr>
      </w:pPr>
    </w:p>
    <w:p w14:paraId="4E752218"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Organizacija dela znotraj posameznih organizacijskih enot je prilagojena zagotavljanju učinkovitosti in uspešnosti, pri čemer se upoštevajo interni dogovori in veljavna zakonodaja, pravilniki ter drugi interni akti. Zaposleni so dobro organizirani, naloge so enakomerno porazdeljene in pravočasno opravljene. Tudi ob nadomeščanju sodelavcev delo zaradi ustrezne usposobljenosti in dobre organiziranosti zaposlenih poteka nemoteno. </w:t>
      </w:r>
    </w:p>
    <w:p w14:paraId="7EA9E4FB" w14:textId="77777777" w:rsidR="00695AE2" w:rsidRPr="00503014" w:rsidRDefault="00695AE2" w:rsidP="00695AE2">
      <w:pPr>
        <w:spacing w:line="240" w:lineRule="auto"/>
        <w:jc w:val="both"/>
        <w:rPr>
          <w:rFonts w:eastAsia="Times New Roman"/>
          <w:lang w:eastAsia="sl-SI"/>
        </w:rPr>
      </w:pPr>
    </w:p>
    <w:p w14:paraId="56C27176" w14:textId="77777777" w:rsidR="00695AE2" w:rsidRPr="00503014" w:rsidRDefault="00695AE2" w:rsidP="00695AE2">
      <w:pPr>
        <w:spacing w:line="240" w:lineRule="auto"/>
        <w:jc w:val="both"/>
        <w:rPr>
          <w:rFonts w:eastAsia="Calibri"/>
        </w:rPr>
      </w:pPr>
      <w:r w:rsidRPr="00503014">
        <w:rPr>
          <w:rFonts w:eastAsia="Times New Roman"/>
          <w:lang w:eastAsia="sl-SI"/>
        </w:rPr>
        <w:t xml:space="preserve">Redni delovni sestanki omogočajo tekoče reševanje strokovnih in organizacijskih vprašanj. </w:t>
      </w:r>
      <w:r w:rsidRPr="00503014">
        <w:rPr>
          <w:rFonts w:eastAsia="Calibri"/>
          <w:bCs/>
        </w:rPr>
        <w:t>Zaposleni imajo možnost podati svoja razmišljanja, konstruktivne pripombe in predloge za nadaljnje učinkovito in uspešno delo.</w:t>
      </w:r>
      <w:r w:rsidRPr="00503014">
        <w:rPr>
          <w:rFonts w:eastAsia="Calibri"/>
        </w:rPr>
        <w:t xml:space="preserve"> Na sestankih prisotni med seboj izmenjujejo izkušnje, skupaj razrešujejo tekočo problematiko, ki se pojavlja v zvezi z delom, iščejo se možnosti in rešitve za racionalizacijo poslovanja ter se dogovarja o enotnem načinu dela. </w:t>
      </w:r>
    </w:p>
    <w:p w14:paraId="7859147E"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lastRenderedPageBreak/>
        <w:t>Delo poteka na ustrezni strokovni ravni, med zaposlenimi pa vlada visoka raven odgovornosti. Zaposleni aktivno prispevajo konstruktivne predloge rešitev, kar dodatno krepi učinkovitost organa.</w:t>
      </w:r>
    </w:p>
    <w:p w14:paraId="0C741AE4" w14:textId="77777777" w:rsidR="00695AE2" w:rsidRPr="00503014" w:rsidRDefault="00695AE2" w:rsidP="00695AE2">
      <w:pPr>
        <w:spacing w:line="240" w:lineRule="auto"/>
        <w:jc w:val="both"/>
        <w:rPr>
          <w:rFonts w:eastAsia="Times New Roman"/>
          <w:lang w:eastAsia="sl-SI"/>
        </w:rPr>
      </w:pPr>
    </w:p>
    <w:p w14:paraId="5D384CB5"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Spoštljiva komunikacija med zaposlenimi omogoča nemoteno, učinkovito in uspešno delo, zavedanje o pomembnosti njihovega prispevka k uspešnemu delovanju organa ter pozitivna naravnanost pa pripomoreta k boljši delovni klimi in učinkovitemu reševanju morebitnih težav, ki se obravnavajo sproti in v konstruktivnem duhu.</w:t>
      </w:r>
    </w:p>
    <w:p w14:paraId="53E39837" w14:textId="77777777" w:rsidR="00695AE2" w:rsidRPr="00503014" w:rsidRDefault="00695AE2" w:rsidP="00695AE2">
      <w:pPr>
        <w:spacing w:line="240" w:lineRule="auto"/>
        <w:jc w:val="both"/>
        <w:rPr>
          <w:rFonts w:eastAsia="Calibri"/>
        </w:rPr>
      </w:pPr>
    </w:p>
    <w:p w14:paraId="5D53555D" w14:textId="77777777" w:rsidR="00695AE2" w:rsidRPr="00503014" w:rsidRDefault="00695AE2" w:rsidP="00695AE2">
      <w:pPr>
        <w:spacing w:line="240" w:lineRule="auto"/>
        <w:jc w:val="both"/>
        <w:rPr>
          <w:rFonts w:eastAsia="Calibri"/>
        </w:rPr>
      </w:pPr>
      <w:r w:rsidRPr="00503014">
        <w:rPr>
          <w:rFonts w:eastAsia="Calibri"/>
        </w:rPr>
        <w:t xml:space="preserve">V smeri poenotenja in optimizacije poslovanja Državnega odvetništva RS je tudi v letu 2025 potekalo vrsto aktivnosti, ki so pomembne iz vidika zagotavljanja usklajenega načina dela v posameznih vpisnikih oziroma pri posamezni vrsti zadev. </w:t>
      </w:r>
    </w:p>
    <w:p w14:paraId="60FEB364" w14:textId="77777777" w:rsidR="00695AE2" w:rsidRPr="00503014" w:rsidRDefault="00695AE2" w:rsidP="00695AE2">
      <w:pPr>
        <w:spacing w:line="240" w:lineRule="auto"/>
        <w:jc w:val="both"/>
        <w:rPr>
          <w:rFonts w:eastAsia="Calibri"/>
        </w:rPr>
      </w:pPr>
    </w:p>
    <w:p w14:paraId="2634DEAB" w14:textId="77777777" w:rsidR="00695AE2" w:rsidRPr="00503014" w:rsidRDefault="00695AE2" w:rsidP="00695AE2">
      <w:pPr>
        <w:spacing w:line="240" w:lineRule="auto"/>
        <w:jc w:val="both"/>
        <w:rPr>
          <w:rFonts w:eastAsia="Calibri"/>
        </w:rPr>
      </w:pPr>
      <w:r w:rsidRPr="00503014">
        <w:rPr>
          <w:rFonts w:eastAsia="Calibri"/>
        </w:rPr>
        <w:t xml:space="preserve">Vodstvo Državnega odvetništva RS si je tudi v letu 2025 prizadevalo za čim več neposrednih stikov z zaposlenimi. Tako je bilo izvedenih kar nekaj obiskov posameznih zunanjih oddelkov ter srečanj z oddelki na sedežu Državnega odvetništva RS v Ljubljani. Na srečanjih so zaposleni predstavili morebitne potrebe glede izboljšanja delovnih pogojev ter delovnih sredstev, podali predloge glede organizacije dela, opisali svoje počutje pri opravljanju dela ter predstavili svoje poglede na delovanje organa in svoji vlogi v njem. </w:t>
      </w:r>
    </w:p>
    <w:p w14:paraId="554F09B5" w14:textId="77777777" w:rsidR="00695AE2" w:rsidRPr="00503014" w:rsidRDefault="00695AE2" w:rsidP="00695AE2">
      <w:pPr>
        <w:spacing w:line="240" w:lineRule="auto"/>
        <w:jc w:val="both"/>
        <w:rPr>
          <w:rFonts w:eastAsia="Times New Roman"/>
          <w:lang w:eastAsia="sl-SI"/>
        </w:rPr>
      </w:pPr>
    </w:p>
    <w:p w14:paraId="54343873" w14:textId="77777777" w:rsidR="00695AE2" w:rsidRPr="00503014" w:rsidRDefault="00695AE2" w:rsidP="00695AE2">
      <w:pPr>
        <w:pStyle w:val="Naslov4"/>
        <w:ind w:left="0" w:firstLine="0"/>
      </w:pPr>
      <w:bookmarkStart w:id="162" w:name="_Toc223093763"/>
      <w:r w:rsidRPr="00503014">
        <w:rPr>
          <w:iCs/>
        </w:rPr>
        <w:t xml:space="preserve">Splošno navodilo </w:t>
      </w:r>
      <w:r w:rsidRPr="00503014">
        <w:t>o dodeljevanju spisov s posameznega pravnega področja oziroma vrste zadev znotraj pravnega področja posameznemu profilu kadra, ki izvaja naloge Državnega odvetništva Republike Slovenije</w:t>
      </w:r>
      <w:bookmarkEnd w:id="162"/>
    </w:p>
    <w:p w14:paraId="7266697E" w14:textId="77777777" w:rsidR="00695AE2" w:rsidRPr="00503014" w:rsidRDefault="00695AE2" w:rsidP="00695AE2">
      <w:pPr>
        <w:pStyle w:val="Jasna"/>
        <w:rPr>
          <w:lang w:eastAsia="sl-SI"/>
        </w:rPr>
      </w:pPr>
    </w:p>
    <w:p w14:paraId="5DE9FF2F" w14:textId="77777777" w:rsidR="00695AE2" w:rsidRPr="00503014" w:rsidRDefault="00695AE2" w:rsidP="00695AE2">
      <w:pPr>
        <w:spacing w:line="240" w:lineRule="auto"/>
        <w:jc w:val="both"/>
      </w:pPr>
      <w:r w:rsidRPr="00503014">
        <w:t>Dodeljevanje spisov s posameznega pravnega področja ali vrste zadev znotraj pravnega področja na Državnem odvetništvu RS oziroma dodeljevanje zadev na oddelku urejata 20. in 21. člen Pravilnika o poslovanju državnega odvetništva, ki kot osnovno pravilo uvajata vrstni red prispetja zadev in njihovo dodelitev  državnim odvetnikom ali kandidatom po vrstnem redu prispetja ob upoštevanju šifranta oziroma razdelitev po abecednem redu začetnic priimkov ali nazivov strank, ki so sprožile postopek ali predlagale uvedbo postopka, ter se dodelijo državnim odvetnikom ali kandidatom ob upoštevanju šifranta državnih odvetnikov in kandidatov; če se vodijo vpisniki po različnih vrstah zadev, se zadeve dodeljujejo državnim odvetnikom ali kandidatom po vrstnem redu šifrantov za vsako vrsto zadev posebej. Generalni državni odvetnik sam ali na predlog vodje oddelka lahko odredi drugačen vrstni red dodeljevanja novih zadev na oddelku ali odredi, da se določene vrste novih zadev dodeljujejo v reševanje določenemu državnemu odvetniku ali kandidatu na tem oddelku.</w:t>
      </w:r>
    </w:p>
    <w:p w14:paraId="74EF8404" w14:textId="77777777" w:rsidR="00695AE2" w:rsidRPr="00503014" w:rsidRDefault="00695AE2" w:rsidP="00695AE2">
      <w:pPr>
        <w:spacing w:line="240" w:lineRule="auto"/>
        <w:jc w:val="both"/>
      </w:pPr>
    </w:p>
    <w:p w14:paraId="23A87468" w14:textId="77777777" w:rsidR="00695AE2" w:rsidRPr="00503014" w:rsidRDefault="00695AE2" w:rsidP="00695AE2">
      <w:pPr>
        <w:spacing w:line="240" w:lineRule="auto"/>
        <w:jc w:val="both"/>
      </w:pPr>
      <w:r w:rsidRPr="00503014">
        <w:t xml:space="preserve">Na podlagi spremljanja podatkov glede dodeljevanja zadev, upoštevaje tudi za posamezne oddelke izdane odredbe generalne državne odvetnice o načinu dodeljevanja zadev na oddelku ali pa odredbe, s katerimi so bila na določenih oddelkih sprejeta navodila za dodeljevanje zadev na oddelku, prav tako pa tudi analize odzivnih poročil vodij oddelkov, ki jih generalni državni odvetnici pošiljajo na podlagi določbe 26. člena Pravilnika o poslovanju državnega odvetništva, je bilo ugotovljeno, da državni odvetniki in kandidati za državne odvetnike iz različnih oddelkov prejemajo v delo spise iz različnih pravnih področij oziroma različne vrste zadev iz določenega pravnega področja. Znotraj organa, glede na oddelke, kjer so razporejeni, prihaja do največjih razlik v vsebini njihovega dela predvsem pri kandidatih za državne odvetnike in je njihov položaj oziroma vsebino njihovega dela treba bolj uskladiti. V smeri </w:t>
      </w:r>
      <w:r w:rsidRPr="00503014">
        <w:lastRenderedPageBreak/>
        <w:t xml:space="preserve">poenotenja načinov dodeljevanja spisov po oddelkih je bila zato problematika določitve predloga glede vsebine dela za posamezne profile zaposlenih, to je višjih državnih odvetnikov, državnih odvetnikov in kandidatov za državne odvetnike, ena od nalog z odredbo generalne državne odvetnice ustanovljene Delovne skupine za pripravo kriterijev obremenjenosti za posamezen profil strokovnega kadra in za izdelavo ocene potrebne kadrovske strukture strokovnega kadra na Državnem odvetništvu RS. </w:t>
      </w:r>
    </w:p>
    <w:p w14:paraId="10868370" w14:textId="77777777" w:rsidR="00695AE2" w:rsidRPr="00503014" w:rsidRDefault="00695AE2" w:rsidP="00695AE2">
      <w:pPr>
        <w:pStyle w:val="Jasna"/>
      </w:pPr>
    </w:p>
    <w:p w14:paraId="136D285F" w14:textId="77777777" w:rsidR="00695AE2" w:rsidRPr="00503014" w:rsidRDefault="00695AE2" w:rsidP="00695AE2">
      <w:pPr>
        <w:pStyle w:val="Jasna"/>
      </w:pPr>
      <w:r w:rsidRPr="00503014">
        <w:t>Delovna skupina</w:t>
      </w:r>
      <w:r w:rsidRPr="00503014">
        <w:rPr>
          <w:rFonts w:eastAsia="Times New Roman" w:cs="Times New Roman"/>
          <w:iCs/>
        </w:rPr>
        <w:t xml:space="preserve"> </w:t>
      </w:r>
      <w:r w:rsidRPr="00503014">
        <w:t>je tako oblikovala predlog glede vsebine dela za posamezne profile zaposlenih, to je višjih državnih odvetnikov, državnih odvetnikov in kandidatov za državne odvetnike, ki je bil obravnavan na kolegiju državnega odvetništva.</w:t>
      </w:r>
    </w:p>
    <w:p w14:paraId="5DB27F54" w14:textId="77777777" w:rsidR="00695AE2" w:rsidRPr="00503014" w:rsidRDefault="00695AE2" w:rsidP="00695AE2">
      <w:pPr>
        <w:pStyle w:val="Jasna"/>
      </w:pPr>
    </w:p>
    <w:p w14:paraId="23CBA9E9" w14:textId="77777777" w:rsidR="00695AE2" w:rsidRPr="00503014" w:rsidRDefault="00695AE2" w:rsidP="00695AE2">
      <w:pPr>
        <w:pStyle w:val="Jasna"/>
        <w:rPr>
          <w:rFonts w:eastAsia="Times New Roman" w:cs="Times New Roman"/>
          <w:b/>
          <w:iCs/>
          <w:lang w:eastAsia="sl-SI"/>
        </w:rPr>
      </w:pPr>
      <w:r w:rsidRPr="00503014">
        <w:t xml:space="preserve">Na podlagi sklepa kolegija je generalna državna odvetnica na podlagi 50. člena ZDOdv izdala </w:t>
      </w:r>
      <w:r w:rsidRPr="00503014">
        <w:rPr>
          <w:rFonts w:eastAsia="Times New Roman"/>
          <w:iCs/>
        </w:rPr>
        <w:t xml:space="preserve">Splošno navodilo </w:t>
      </w:r>
      <w:r w:rsidRPr="00503014">
        <w:t xml:space="preserve">o dodeljevanju spisov s posameznega pravnega področja oziroma vrste zadev znotraj pravnega področja posameznemu profilu kadra, ki izvaja naloge Državnega odvetništva Republike Slovenije. </w:t>
      </w:r>
    </w:p>
    <w:p w14:paraId="574214CD" w14:textId="77777777" w:rsidR="00695AE2" w:rsidRPr="00503014" w:rsidRDefault="00695AE2" w:rsidP="00695AE2">
      <w:pPr>
        <w:spacing w:line="240" w:lineRule="auto"/>
        <w:jc w:val="both"/>
      </w:pPr>
    </w:p>
    <w:p w14:paraId="1D24EF6A" w14:textId="77777777" w:rsidR="00695AE2" w:rsidRPr="00503014" w:rsidRDefault="00695AE2" w:rsidP="00695AE2">
      <w:pPr>
        <w:spacing w:line="240" w:lineRule="auto"/>
        <w:jc w:val="both"/>
        <w:rPr>
          <w:rFonts w:eastAsia="Calibri"/>
        </w:rPr>
      </w:pPr>
      <w:r w:rsidRPr="00503014">
        <w:t>Da pa bi se pri dodeljevanju spisov na posameznem oddelku lahko dovolj upoštevale tudi konkretne, predvsem seveda kadrovske okoliščine posameznih oddelkov, torej število in strukturo zaposlenih na oddelku, pa predmetna navodila še vedno dopuščajo vodjem posameznih zunanjih oddelkov in oddelkov na sedežu Državnega odvetništva, da lahko znotraj splošnih pravil, kot izhajajo iz predmetnih navodil, generalni državni odvetnici predlagajo izdajo odredb ali sprejem navodil, s katerimi bo dodeljevanje novih zadev v okviru posameznega oddelka še natančneje urejeno.</w:t>
      </w:r>
    </w:p>
    <w:p w14:paraId="2D018169" w14:textId="77777777" w:rsidR="00695AE2" w:rsidRPr="00503014" w:rsidRDefault="00695AE2" w:rsidP="00695AE2">
      <w:pPr>
        <w:spacing w:line="240" w:lineRule="auto"/>
        <w:jc w:val="both"/>
        <w:rPr>
          <w:rFonts w:eastAsia="Calibri"/>
        </w:rPr>
      </w:pPr>
      <w:bookmarkStart w:id="163" w:name="_Hlk219892863"/>
    </w:p>
    <w:p w14:paraId="2DCE730F" w14:textId="77777777" w:rsidR="00695AE2" w:rsidRPr="00503014" w:rsidRDefault="00695AE2" w:rsidP="00695AE2">
      <w:pPr>
        <w:pStyle w:val="Naslov4"/>
      </w:pPr>
      <w:bookmarkStart w:id="164" w:name="_Toc223093764"/>
      <w:bookmarkStart w:id="165" w:name="_Toc160097161"/>
      <w:bookmarkStart w:id="166" w:name="_Toc191561776"/>
      <w:bookmarkEnd w:id="163"/>
      <w:r w:rsidRPr="00503014">
        <w:t>Interni akti</w:t>
      </w:r>
      <w:bookmarkEnd w:id="164"/>
      <w:r w:rsidRPr="00503014">
        <w:t xml:space="preserve"> </w:t>
      </w:r>
    </w:p>
    <w:p w14:paraId="6420DF16" w14:textId="77777777" w:rsidR="00695AE2" w:rsidRPr="00503014" w:rsidRDefault="00695AE2" w:rsidP="00695AE2">
      <w:pPr>
        <w:spacing w:line="240" w:lineRule="auto"/>
        <w:jc w:val="both"/>
        <w:rPr>
          <w:rFonts w:eastAsia="Calibri"/>
        </w:rPr>
      </w:pPr>
    </w:p>
    <w:p w14:paraId="5C1B4A9F" w14:textId="77777777" w:rsidR="00695AE2" w:rsidRPr="00503014" w:rsidRDefault="00695AE2" w:rsidP="00695AE2">
      <w:pPr>
        <w:spacing w:line="240" w:lineRule="auto"/>
        <w:jc w:val="both"/>
        <w:rPr>
          <w:rFonts w:eastAsia="Calibri"/>
        </w:rPr>
      </w:pPr>
      <w:r w:rsidRPr="00503014">
        <w:rPr>
          <w:rFonts w:eastAsia="Calibri"/>
        </w:rPr>
        <w:t>Posodobitve in spremembe internih aktov so se izvajale tudi v letu 2025. Glede na ugotovljene potrebe so se sprejemali novi ter posodabljali že veljavni interni akti Državnega odvetništva RS, skladno s spremembami delovnega okolja in veljavne zakonodaje.</w:t>
      </w:r>
    </w:p>
    <w:p w14:paraId="1E0AAABA" w14:textId="77777777" w:rsidR="00695AE2" w:rsidRPr="00503014" w:rsidRDefault="00695AE2" w:rsidP="00695AE2">
      <w:pPr>
        <w:spacing w:line="240" w:lineRule="auto"/>
        <w:jc w:val="both"/>
        <w:rPr>
          <w:rFonts w:eastAsia="Calibri"/>
        </w:rPr>
      </w:pPr>
    </w:p>
    <w:p w14:paraId="1A4469CE" w14:textId="77777777" w:rsidR="00695AE2" w:rsidRPr="00503014" w:rsidRDefault="00695AE2" w:rsidP="00695AE2">
      <w:pPr>
        <w:pStyle w:val="Naslov4"/>
        <w:rPr>
          <w:lang w:eastAsia="sl-SI"/>
        </w:rPr>
      </w:pPr>
      <w:bookmarkStart w:id="167" w:name="_Toc223093765"/>
      <w:r w:rsidRPr="00503014">
        <w:rPr>
          <w:lang w:eastAsia="sl-SI"/>
        </w:rPr>
        <w:t>IS Feniks in notranja pravila</w:t>
      </w:r>
      <w:bookmarkEnd w:id="167"/>
    </w:p>
    <w:p w14:paraId="4D9BBB35" w14:textId="77777777" w:rsidR="00695AE2" w:rsidRPr="00503014" w:rsidRDefault="00695AE2" w:rsidP="00695AE2">
      <w:pPr>
        <w:spacing w:line="240" w:lineRule="auto"/>
        <w:jc w:val="both"/>
        <w:rPr>
          <w:rFonts w:eastAsia="Calibri"/>
        </w:rPr>
      </w:pPr>
    </w:p>
    <w:p w14:paraId="6A69C302" w14:textId="77777777" w:rsidR="00695AE2" w:rsidRPr="00503014" w:rsidRDefault="00695AE2" w:rsidP="00695AE2">
      <w:pPr>
        <w:spacing w:line="240" w:lineRule="auto"/>
        <w:jc w:val="both"/>
        <w:rPr>
          <w:rFonts w:eastAsia="Calibri"/>
        </w:rPr>
      </w:pPr>
      <w:r w:rsidRPr="00503014">
        <w:rPr>
          <w:rFonts w:eastAsia="Calibri"/>
        </w:rPr>
        <w:t xml:space="preserve">V sklopu projekta izgradnje in uvedbe novega informacijsko-dokumentnega sistema se je izvedel tudi projekt priprave t. i. notranjih pravil. Notranja pravila so pravila, ki jih v skladu z Zakonom o varstvu dokumentarnega in arhivskega gradiva ter arhivih kot svoj interni pravni akt sprejme organ glede izvajanja zajema in dolgoročne hrambe svojega dokumentarnega in arhivskega gradiva v digitalni obliki ter spremljevalnih storitev. Tudi priprava notranjih pravil je bil vsebinsko in časovno zahteven projekt, ki se je izvajal s pomočjo zunanjega izvajalca. Pripravljenih je bilo okrog dvajset dokumentov oziroma notranjih aktov (na primer Delovni postopki zajema, e-hrambe in spremljevalnih storitev, Informacijske varnostne politike, Obvladovanje internih aktov na Državnem odvetništvu RS), ki skupaj tvorijo notranja pravila. </w:t>
      </w:r>
    </w:p>
    <w:p w14:paraId="766B0CFF" w14:textId="77777777" w:rsidR="00695AE2" w:rsidRPr="00503014" w:rsidRDefault="00695AE2" w:rsidP="00695AE2">
      <w:pPr>
        <w:spacing w:line="240" w:lineRule="auto"/>
        <w:jc w:val="both"/>
        <w:rPr>
          <w:rFonts w:eastAsia="Calibri"/>
        </w:rPr>
      </w:pPr>
    </w:p>
    <w:p w14:paraId="03DE9AB6" w14:textId="77777777" w:rsidR="00695AE2" w:rsidRPr="00503014" w:rsidRDefault="00695AE2" w:rsidP="00695AE2">
      <w:pPr>
        <w:autoSpaceDE w:val="0"/>
        <w:autoSpaceDN w:val="0"/>
        <w:adjustRightInd w:val="0"/>
        <w:spacing w:line="240" w:lineRule="auto"/>
        <w:jc w:val="both"/>
        <w:rPr>
          <w:rFonts w:eastAsia="Calibri"/>
        </w:rPr>
      </w:pPr>
      <w:r w:rsidRPr="00503014">
        <w:rPr>
          <w:rFonts w:eastAsia="Calibri"/>
        </w:rPr>
        <w:t>V začetku letu 2025 je Državno odvetništvo RS prejelo odločbo Arhiva Republike Slovenije, s katero je potrdilo, da so notranja pravila Državnega odvetništva RS skladna z Zakonom o varstvu dokumentarnega in arhivskega gradiva ter arhivih, Uredbo o varstvu dokumentarnega in arhivskega gradiva in Pravilnikom o enotnih tehnoloških zahtevah za zajem in hrambo gradiva v digitalni obliki ter da so vpisana v register potrjenih notranjih pravil.</w:t>
      </w:r>
    </w:p>
    <w:p w14:paraId="2E490134" w14:textId="77777777" w:rsidR="00695AE2" w:rsidRPr="00503014" w:rsidRDefault="00695AE2" w:rsidP="00695AE2">
      <w:pPr>
        <w:pStyle w:val="Naslov3"/>
      </w:pPr>
      <w:bookmarkStart w:id="168" w:name="_Toc168844862"/>
      <w:bookmarkStart w:id="169" w:name="_Toc191561859"/>
      <w:bookmarkStart w:id="170" w:name="_Toc223093766"/>
      <w:bookmarkEnd w:id="157"/>
      <w:bookmarkEnd w:id="165"/>
      <w:bookmarkEnd w:id="166"/>
      <w:r w:rsidRPr="00503014">
        <w:lastRenderedPageBreak/>
        <w:t>Projekt Državnega odvetništva RS</w:t>
      </w:r>
      <w:bookmarkEnd w:id="168"/>
      <w:bookmarkEnd w:id="169"/>
      <w:bookmarkEnd w:id="170"/>
      <w:r w:rsidRPr="00503014">
        <w:t xml:space="preserve"> </w:t>
      </w:r>
    </w:p>
    <w:p w14:paraId="41BFF717" w14:textId="77777777" w:rsidR="00695AE2" w:rsidRPr="00464AEF" w:rsidRDefault="00695AE2" w:rsidP="00695AE2">
      <w:pPr>
        <w:pStyle w:val="Jasna"/>
        <w:rPr>
          <w:sz w:val="28"/>
          <w:szCs w:val="28"/>
          <w:lang w:eastAsia="sl-SI"/>
        </w:rPr>
      </w:pPr>
      <w:bookmarkStart w:id="171" w:name="_Toc65589895"/>
    </w:p>
    <w:p w14:paraId="7C7706F7" w14:textId="77777777" w:rsidR="00695AE2" w:rsidRPr="00503014" w:rsidRDefault="00695AE2" w:rsidP="00695AE2">
      <w:pPr>
        <w:pStyle w:val="Naslov4"/>
      </w:pPr>
      <w:bookmarkStart w:id="172" w:name="_Toc168844863"/>
      <w:bookmarkStart w:id="173" w:name="_Toc191561860"/>
      <w:bookmarkStart w:id="174" w:name="_Toc223093767"/>
      <w:bookmarkEnd w:id="171"/>
      <w:r w:rsidRPr="00503014">
        <w:t>Uvod</w:t>
      </w:r>
      <w:bookmarkEnd w:id="172"/>
      <w:bookmarkEnd w:id="173"/>
      <w:bookmarkEnd w:id="174"/>
    </w:p>
    <w:p w14:paraId="7D533B38" w14:textId="77777777" w:rsidR="00695AE2" w:rsidRPr="00A32D55" w:rsidRDefault="00695AE2" w:rsidP="00695AE2">
      <w:pPr>
        <w:spacing w:line="240" w:lineRule="auto"/>
        <w:jc w:val="both"/>
        <w:rPr>
          <w:rFonts w:eastAsia="Times New Roman"/>
          <w:kern w:val="24"/>
          <w:lang w:eastAsia="sl-SI"/>
        </w:rPr>
      </w:pPr>
    </w:p>
    <w:p w14:paraId="7D13DF88" w14:textId="77777777" w:rsidR="00695AE2" w:rsidRPr="00503014" w:rsidRDefault="00695AE2" w:rsidP="00695AE2">
      <w:pPr>
        <w:spacing w:line="240" w:lineRule="auto"/>
        <w:jc w:val="both"/>
        <w:rPr>
          <w:rFonts w:eastAsia="Calibri"/>
          <w:lang w:eastAsia="sl-SI"/>
        </w:rPr>
      </w:pPr>
      <w:r w:rsidRPr="00503014">
        <w:rPr>
          <w:rFonts w:eastAsia="Times New Roman"/>
          <w:kern w:val="24"/>
          <w:lang w:eastAsia="sl-SI"/>
        </w:rPr>
        <w:t>Digitalizacija poslovnega okolja je pomemben razvojni in strateški cilj Državnega odvetništva RS.</w:t>
      </w:r>
      <w:r w:rsidRPr="00503014">
        <w:rPr>
          <w:rFonts w:eastAsia="Calibri"/>
          <w:lang w:eastAsia="sl-SI"/>
        </w:rPr>
        <w:t xml:space="preserve"> </w:t>
      </w:r>
    </w:p>
    <w:p w14:paraId="7E735EE9" w14:textId="77777777" w:rsidR="00695AE2" w:rsidRPr="00503014" w:rsidRDefault="00695AE2" w:rsidP="00695AE2">
      <w:pPr>
        <w:spacing w:line="240" w:lineRule="auto"/>
        <w:jc w:val="both"/>
        <w:rPr>
          <w:rFonts w:eastAsia="Calibri"/>
          <w:lang w:eastAsia="sl-SI"/>
        </w:rPr>
      </w:pPr>
    </w:p>
    <w:p w14:paraId="2B0D1040" w14:textId="77777777" w:rsidR="00695AE2" w:rsidRPr="00503014" w:rsidRDefault="00695AE2" w:rsidP="00695AE2">
      <w:pPr>
        <w:spacing w:line="240" w:lineRule="auto"/>
        <w:jc w:val="both"/>
        <w:rPr>
          <w:rFonts w:eastAsia="Calibri"/>
          <w:lang w:eastAsia="sl-SI"/>
        </w:rPr>
      </w:pPr>
      <w:r w:rsidRPr="00503014">
        <w:rPr>
          <w:rFonts w:eastAsia="Calibri"/>
          <w:lang w:eastAsia="sl-SI"/>
        </w:rPr>
        <w:t>Nadaljnja digitalizacija poslovanja pomeni spremembo organizacije ob uporabi ali prenovi informacijsko-komunikacijske tehnologije z namenom večje produktivnosti, trajnostne naravnanosti in doseganja finančnih prihrankov. Digitalizacija skupaj z optimizacijo operativnih procesov omogoča nove poslovne modele in spodbuja inovacije tudi v delu in poslovanju Državnega odvetništva RS.</w:t>
      </w:r>
    </w:p>
    <w:p w14:paraId="2F35279D" w14:textId="77777777" w:rsidR="00695AE2" w:rsidRPr="00503014" w:rsidRDefault="00695AE2" w:rsidP="00695AE2">
      <w:pPr>
        <w:spacing w:line="240" w:lineRule="auto"/>
        <w:jc w:val="both"/>
        <w:rPr>
          <w:rFonts w:eastAsia="Calibri"/>
          <w:lang w:eastAsia="sl-SI"/>
        </w:rPr>
      </w:pPr>
    </w:p>
    <w:p w14:paraId="253D8D00" w14:textId="77777777" w:rsidR="00695AE2" w:rsidRPr="00503014" w:rsidRDefault="00695AE2" w:rsidP="00695AE2">
      <w:pPr>
        <w:spacing w:line="240" w:lineRule="auto"/>
        <w:jc w:val="both"/>
        <w:rPr>
          <w:rFonts w:eastAsia="Calibri"/>
        </w:rPr>
      </w:pPr>
      <w:r w:rsidRPr="00503014">
        <w:rPr>
          <w:rFonts w:eastAsia="Calibri"/>
          <w:lang w:eastAsia="sl-SI"/>
        </w:rPr>
        <w:t>Državno odvetništvo RS je bilo do zdaj usmerjeno zlasti v digitalizacijo poslovnih procesov in informacijskih zbirk.</w:t>
      </w:r>
      <w:r w:rsidRPr="00503014">
        <w:rPr>
          <w:rFonts w:eastAsia="Calibri"/>
        </w:rPr>
        <w:t xml:space="preserve"> Cilj projekta »Izboljšanje informacijskega sistema in procesov poslovanja na državnem odvetništvu in državnem tožilstvu« je bil izgradnja novega, sodobnega </w:t>
      </w:r>
      <w:r w:rsidRPr="00503014">
        <w:rPr>
          <w:rFonts w:eastAsia="Calibri"/>
          <w:lang w:eastAsia="sl-SI"/>
        </w:rPr>
        <w:t>informacijsko-dokumentnega sistema.</w:t>
      </w:r>
      <w:r w:rsidRPr="00503014">
        <w:rPr>
          <w:rFonts w:eastAsia="Calibri"/>
        </w:rPr>
        <w:t xml:space="preserve"> Z zaključkom projekta je Državno odvetništvo RS v roku, skladnem z zahtevami projekta, dne 12. 12. 2023 prevzelo v uporabo nov IS Feniks in je IS Feniks v celoti nadomestil stari IS Vpisniki.</w:t>
      </w:r>
    </w:p>
    <w:p w14:paraId="4557001B" w14:textId="77777777" w:rsidR="00695AE2" w:rsidRPr="00503014" w:rsidRDefault="00695AE2" w:rsidP="00695AE2">
      <w:pPr>
        <w:spacing w:line="240" w:lineRule="auto"/>
        <w:jc w:val="both"/>
        <w:rPr>
          <w:rFonts w:eastAsia="Calibri"/>
        </w:rPr>
      </w:pPr>
    </w:p>
    <w:p w14:paraId="35ABF41C" w14:textId="77777777" w:rsidR="00695AE2" w:rsidRPr="00503014" w:rsidRDefault="00695AE2" w:rsidP="00695AE2">
      <w:pPr>
        <w:spacing w:line="240" w:lineRule="auto"/>
        <w:jc w:val="both"/>
        <w:rPr>
          <w:rFonts w:eastAsia="Calibri"/>
          <w:lang w:eastAsia="sl-SI"/>
        </w:rPr>
      </w:pPr>
      <w:r w:rsidRPr="00503014">
        <w:rPr>
          <w:rFonts w:eastAsia="Calibri"/>
        </w:rPr>
        <w:t xml:space="preserve">Nadaljnja digitalizacija je usmerjena k cilju brezpapirnega poslovanja z zastopanimi državnimi institucijami in poslovanja z zunanjimi uporabniki. </w:t>
      </w:r>
    </w:p>
    <w:p w14:paraId="20C0AA05" w14:textId="77777777" w:rsidR="00695AE2" w:rsidRPr="00503014" w:rsidRDefault="00695AE2" w:rsidP="00695AE2">
      <w:pPr>
        <w:spacing w:line="240" w:lineRule="auto"/>
        <w:jc w:val="both"/>
        <w:rPr>
          <w:rFonts w:eastAsia="Calibri"/>
          <w:lang w:eastAsia="sl-SI"/>
        </w:rPr>
      </w:pPr>
    </w:p>
    <w:p w14:paraId="1A473F1C" w14:textId="77777777" w:rsidR="00695AE2" w:rsidRPr="00503014" w:rsidRDefault="00695AE2" w:rsidP="00695AE2">
      <w:pPr>
        <w:pStyle w:val="Naslov4"/>
        <w:rPr>
          <w:lang w:eastAsia="sl-SI"/>
        </w:rPr>
      </w:pPr>
      <w:bookmarkStart w:id="175" w:name="_Toc97639720"/>
      <w:bookmarkStart w:id="176" w:name="_Toc168844872"/>
      <w:bookmarkStart w:id="177" w:name="_Toc191561861"/>
      <w:bookmarkStart w:id="178" w:name="_Toc223093768"/>
      <w:r w:rsidRPr="00503014">
        <w:rPr>
          <w:lang w:eastAsia="sl-SI"/>
        </w:rPr>
        <w:t>Projekt »Digitalizacija in povezljivost Državnega odvetništva RS«</w:t>
      </w:r>
      <w:bookmarkEnd w:id="175"/>
      <w:bookmarkEnd w:id="176"/>
      <w:bookmarkEnd w:id="177"/>
      <w:bookmarkEnd w:id="178"/>
      <w:r w:rsidRPr="00503014">
        <w:rPr>
          <w:lang w:eastAsia="sl-SI"/>
        </w:rPr>
        <w:t xml:space="preserve"> </w:t>
      </w:r>
    </w:p>
    <w:p w14:paraId="3A4CDEFA" w14:textId="77777777" w:rsidR="00695AE2" w:rsidRPr="00503014" w:rsidRDefault="00695AE2" w:rsidP="00695AE2">
      <w:pPr>
        <w:spacing w:line="240" w:lineRule="auto"/>
        <w:jc w:val="both"/>
        <w:rPr>
          <w:rFonts w:eastAsia="Times New Roman"/>
          <w:color w:val="007466"/>
          <w:kern w:val="24"/>
          <w:lang w:eastAsia="sl-SI"/>
        </w:rPr>
      </w:pPr>
    </w:p>
    <w:p w14:paraId="3212F370" w14:textId="77777777" w:rsidR="00695AE2" w:rsidRPr="00503014" w:rsidRDefault="00695AE2" w:rsidP="00695AE2">
      <w:pPr>
        <w:pStyle w:val="Naslov5"/>
        <w:rPr>
          <w:lang w:eastAsia="sl-SI"/>
        </w:rPr>
      </w:pPr>
      <w:bookmarkStart w:id="179" w:name="_Toc191561862"/>
      <w:bookmarkStart w:id="180" w:name="_Toc223093769"/>
      <w:r w:rsidRPr="00503014">
        <w:rPr>
          <w:lang w:eastAsia="sl-SI"/>
        </w:rPr>
        <w:t>Splošno</w:t>
      </w:r>
      <w:bookmarkEnd w:id="179"/>
      <w:bookmarkEnd w:id="180"/>
    </w:p>
    <w:p w14:paraId="1C11E8A1" w14:textId="77777777" w:rsidR="00695AE2" w:rsidRPr="00503014" w:rsidRDefault="00695AE2" w:rsidP="00695AE2">
      <w:pPr>
        <w:shd w:val="clear" w:color="auto" w:fill="FFFFFF"/>
        <w:spacing w:line="240" w:lineRule="auto"/>
        <w:jc w:val="both"/>
        <w:rPr>
          <w:rFonts w:eastAsia="Calibri"/>
          <w:lang w:eastAsia="sl-SI"/>
        </w:rPr>
      </w:pPr>
    </w:p>
    <w:p w14:paraId="76163344" w14:textId="77777777" w:rsidR="00695AE2" w:rsidRPr="00503014" w:rsidRDefault="00695AE2" w:rsidP="00695AE2">
      <w:pPr>
        <w:autoSpaceDE w:val="0"/>
        <w:autoSpaceDN w:val="0"/>
        <w:adjustRightInd w:val="0"/>
        <w:spacing w:line="240" w:lineRule="auto"/>
        <w:jc w:val="both"/>
      </w:pPr>
      <w:r w:rsidRPr="00503014">
        <w:rPr>
          <w:rFonts w:eastAsia="Calibri"/>
          <w:lang w:eastAsia="sl-SI"/>
        </w:rPr>
        <w:t>Projekt »Digitalizacija in povezljivost Državnega odvetništva</w:t>
      </w:r>
      <w:r w:rsidRPr="00503014">
        <w:rPr>
          <w:rFonts w:eastAsia="Times New Roman"/>
          <w:kern w:val="24"/>
          <w:lang w:eastAsia="sl-SI"/>
        </w:rPr>
        <w:t xml:space="preserve"> RS«</w:t>
      </w:r>
      <w:r w:rsidRPr="00503014">
        <w:rPr>
          <w:rFonts w:eastAsia="Times New Roman"/>
          <w:lang w:eastAsia="sl-SI"/>
        </w:rPr>
        <w:t xml:space="preserve"> </w:t>
      </w:r>
      <w:r w:rsidRPr="00503014">
        <w:rPr>
          <w:rFonts w:eastAsia="Calibri"/>
        </w:rPr>
        <w:t xml:space="preserve">je bil potrjen v okviru načrta za okrevanje in odpornost, v okviru ukrepa digitalizacija pravosodja (šifra: C2.K7.IN). Načrt za okrevanje in odpornost (NOO) je nacionalni program reform in naložb, s katerimi želi država ublažiti gospodarske in socialne posledice pandemije COVID-19. Projekt </w:t>
      </w:r>
      <w:r w:rsidRPr="00503014">
        <w:t xml:space="preserve">se je financiral iz evropskih sredstev preko ustanovljenega Sklada za okrevanje in odpornost v okviru Ministrstva za finance.  </w:t>
      </w:r>
    </w:p>
    <w:p w14:paraId="4CB99C2E" w14:textId="77777777" w:rsidR="00695AE2" w:rsidRPr="00503014" w:rsidRDefault="00695AE2" w:rsidP="00695AE2">
      <w:pPr>
        <w:spacing w:line="240" w:lineRule="auto"/>
        <w:jc w:val="both"/>
        <w:rPr>
          <w:rFonts w:eastAsia="Times New Roman"/>
          <w:lang w:eastAsia="sl-SI"/>
        </w:rPr>
      </w:pPr>
    </w:p>
    <w:p w14:paraId="07A980E2"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Projekt pomeni nadaljevanje projektov na področju digitalizacije Državnega odvetništva RS, s posebnim poudarkom na povezovanju in odprtosti Državnega odvetništva</w:t>
      </w:r>
      <w:r w:rsidRPr="00503014">
        <w:rPr>
          <w:rFonts w:eastAsia="Times New Roman"/>
          <w:kern w:val="24"/>
          <w:lang w:eastAsia="sl-SI"/>
        </w:rPr>
        <w:t xml:space="preserve"> RS</w:t>
      </w:r>
      <w:r w:rsidRPr="00503014">
        <w:rPr>
          <w:rFonts w:eastAsia="Times New Roman"/>
          <w:lang w:eastAsia="sl-SI"/>
        </w:rPr>
        <w:t xml:space="preserve"> do državljanov, gospodarskih subjektov in državnih institucij. </w:t>
      </w:r>
    </w:p>
    <w:p w14:paraId="0CC20E5C" w14:textId="77777777" w:rsidR="00695AE2" w:rsidRPr="00503014" w:rsidRDefault="00695AE2" w:rsidP="00695AE2">
      <w:pPr>
        <w:spacing w:line="240" w:lineRule="auto"/>
        <w:jc w:val="both"/>
        <w:rPr>
          <w:rFonts w:eastAsia="Times New Roman"/>
          <w:lang w:eastAsia="sl-SI"/>
        </w:rPr>
      </w:pPr>
    </w:p>
    <w:p w14:paraId="0BAD9201" w14:textId="77777777" w:rsidR="00695AE2" w:rsidRPr="00503014" w:rsidRDefault="00695AE2" w:rsidP="00695AE2">
      <w:pPr>
        <w:pStyle w:val="Naslov5"/>
        <w:rPr>
          <w:b/>
          <w:lang w:eastAsia="sl-SI"/>
        </w:rPr>
      </w:pPr>
      <w:bookmarkStart w:id="181" w:name="_Toc168844873"/>
      <w:bookmarkStart w:id="182" w:name="_Toc191561863"/>
      <w:bookmarkStart w:id="183" w:name="_Toc223093770"/>
      <w:r w:rsidRPr="00503014">
        <w:rPr>
          <w:lang w:eastAsia="sl-SI"/>
        </w:rPr>
        <w:t>Cilj</w:t>
      </w:r>
      <w:bookmarkEnd w:id="181"/>
      <w:r w:rsidRPr="00503014">
        <w:rPr>
          <w:lang w:eastAsia="sl-SI"/>
        </w:rPr>
        <w:t xml:space="preserve"> projekta</w:t>
      </w:r>
      <w:bookmarkEnd w:id="182"/>
      <w:bookmarkEnd w:id="183"/>
      <w:r w:rsidRPr="00503014">
        <w:rPr>
          <w:lang w:eastAsia="sl-SI"/>
        </w:rPr>
        <w:t xml:space="preserve"> </w:t>
      </w:r>
    </w:p>
    <w:p w14:paraId="1CC6D4C8" w14:textId="77777777" w:rsidR="00695AE2" w:rsidRPr="00503014" w:rsidRDefault="00695AE2" w:rsidP="00695AE2">
      <w:pPr>
        <w:spacing w:line="240" w:lineRule="auto"/>
        <w:jc w:val="both"/>
        <w:rPr>
          <w:rFonts w:eastAsia="Times New Roman"/>
          <w:bCs/>
        </w:rPr>
      </w:pPr>
    </w:p>
    <w:p w14:paraId="12DDBAC6" w14:textId="77777777" w:rsidR="00695AE2" w:rsidRPr="00503014" w:rsidRDefault="00695AE2" w:rsidP="00695AE2">
      <w:pPr>
        <w:spacing w:line="240" w:lineRule="auto"/>
        <w:jc w:val="both"/>
      </w:pPr>
      <w:r w:rsidRPr="00503014">
        <w:t>Namen in ključni cilj projekta je bila uvedba e-poslovanja na delu vhodnih dokumentov Državnega odvetništva RS</w:t>
      </w:r>
      <w:r w:rsidRPr="00503014">
        <w:rPr>
          <w:rFonts w:eastAsia="Calibri"/>
        </w:rPr>
        <w:t xml:space="preserve"> </w:t>
      </w:r>
      <w:r w:rsidRPr="00503014">
        <w:t>preko spletnih portalov SPOT in eUprava ter nadgradnja IS Feniks z izdelavo novega generičnega servisa za izmenjavo dokumentarnega gradiva s Finančno upravo Republike Slovenije (FURS).</w:t>
      </w:r>
    </w:p>
    <w:p w14:paraId="5F5307A8" w14:textId="77777777" w:rsidR="00695AE2" w:rsidRPr="00503014" w:rsidRDefault="00695AE2" w:rsidP="00695AE2">
      <w:pPr>
        <w:spacing w:line="240" w:lineRule="auto"/>
        <w:jc w:val="both"/>
      </w:pPr>
    </w:p>
    <w:p w14:paraId="0F59AE0C" w14:textId="77777777" w:rsidR="00695AE2" w:rsidRPr="00503014" w:rsidRDefault="00695AE2" w:rsidP="00695AE2">
      <w:pPr>
        <w:spacing w:line="240" w:lineRule="auto"/>
        <w:jc w:val="both"/>
      </w:pPr>
      <w:r w:rsidRPr="00503014">
        <w:t xml:space="preserve">Državno odvetništvo RS je z namenom dosega cilja omogočilo možnost oddaje predhodno definiranih obrazcev preko spletnih portalov eUprava in SPOT, v dokumentno-informacijskem </w:t>
      </w:r>
      <w:r w:rsidRPr="00503014">
        <w:lastRenderedPageBreak/>
        <w:t>sistemu Državnega odvetništva RS IS Feniks je bila izvedena avtomatizacija obdelave dokumentov, izdelan pa je bil tudi generični servis za izmenjavo dokumentov. Izboljšala se je učinkovitost in povezljivost Državnega odvetništva RS, povečala se je varnost z vidika varovanja osebnih podatkov (omogočena je boljša revizijska sled dostopov), z nakupom dveh novih interaktivnih zaslonov, ki sta namenjena tudi usposabljanju zaposlenih, pa so se in se še bodo izboljšala njihova digitalna znanja in spretnosti.</w:t>
      </w:r>
    </w:p>
    <w:p w14:paraId="7E76B90E" w14:textId="77777777" w:rsidR="00695AE2" w:rsidRPr="00503014" w:rsidRDefault="00695AE2" w:rsidP="00695AE2">
      <w:pPr>
        <w:autoSpaceDE w:val="0"/>
        <w:autoSpaceDN w:val="0"/>
        <w:adjustRightInd w:val="0"/>
        <w:spacing w:line="240" w:lineRule="auto"/>
        <w:jc w:val="both"/>
      </w:pPr>
    </w:p>
    <w:p w14:paraId="2BA63EDB" w14:textId="77777777" w:rsidR="00695AE2" w:rsidRPr="00503014" w:rsidRDefault="00695AE2" w:rsidP="00695AE2">
      <w:pPr>
        <w:autoSpaceDE w:val="0"/>
        <w:autoSpaceDN w:val="0"/>
        <w:adjustRightInd w:val="0"/>
        <w:spacing w:line="240" w:lineRule="auto"/>
        <w:jc w:val="both"/>
      </w:pPr>
      <w:r w:rsidRPr="00503014">
        <w:t>Z investicijo so se zagotovili tehnični in organizacijski pogoji, ki omogočajo varno elektronsko izmenjavo podatkov in dokumentov z uporabniki.</w:t>
      </w:r>
    </w:p>
    <w:p w14:paraId="23C61946" w14:textId="77777777" w:rsidR="00695AE2" w:rsidRPr="00503014" w:rsidRDefault="00695AE2" w:rsidP="00695AE2">
      <w:pPr>
        <w:pStyle w:val="Jasna"/>
        <w:rPr>
          <w:lang w:eastAsia="sl-SI"/>
        </w:rPr>
      </w:pPr>
      <w:bookmarkStart w:id="184" w:name="_Toc168844875"/>
      <w:bookmarkStart w:id="185" w:name="_Toc191561864"/>
    </w:p>
    <w:p w14:paraId="01C45160" w14:textId="77777777" w:rsidR="00695AE2" w:rsidRPr="00503014" w:rsidRDefault="00695AE2" w:rsidP="00695AE2">
      <w:pPr>
        <w:pStyle w:val="Naslov5"/>
        <w:rPr>
          <w:b/>
          <w:lang w:eastAsia="sl-SI"/>
        </w:rPr>
      </w:pPr>
      <w:bookmarkStart w:id="186" w:name="_Toc223093771"/>
      <w:r w:rsidRPr="00503014">
        <w:rPr>
          <w:lang w:eastAsia="sl-SI"/>
        </w:rPr>
        <w:t>Izvedene dejavnosti v letu 202</w:t>
      </w:r>
      <w:bookmarkEnd w:id="184"/>
      <w:bookmarkEnd w:id="185"/>
      <w:r w:rsidRPr="00503014">
        <w:rPr>
          <w:lang w:eastAsia="sl-SI"/>
        </w:rPr>
        <w:t>5</w:t>
      </w:r>
      <w:bookmarkEnd w:id="186"/>
    </w:p>
    <w:p w14:paraId="6372732A" w14:textId="77777777" w:rsidR="00695AE2" w:rsidRPr="00503014" w:rsidRDefault="00695AE2" w:rsidP="00695AE2">
      <w:pPr>
        <w:spacing w:line="240" w:lineRule="auto"/>
        <w:jc w:val="both"/>
        <w:rPr>
          <w:rFonts w:eastAsia="Calibri"/>
        </w:rPr>
      </w:pPr>
    </w:p>
    <w:p w14:paraId="38B9014E" w14:textId="77777777" w:rsidR="00695AE2" w:rsidRPr="00503014" w:rsidRDefault="00695AE2" w:rsidP="00695AE2">
      <w:pPr>
        <w:spacing w:line="240" w:lineRule="auto"/>
        <w:jc w:val="both"/>
        <w:rPr>
          <w:rFonts w:eastAsia="Calibri"/>
        </w:rPr>
      </w:pPr>
      <w:r w:rsidRPr="00503014">
        <w:rPr>
          <w:rFonts w:eastAsia="Calibri"/>
        </w:rPr>
        <w:t xml:space="preserve">Državno odvetništvo RS je v letu 2025 nadaljevalo z izvajanjem aktivnosti. </w:t>
      </w:r>
    </w:p>
    <w:p w14:paraId="2C73DF29" w14:textId="77777777" w:rsidR="00695AE2" w:rsidRPr="00503014" w:rsidRDefault="00695AE2" w:rsidP="00695AE2">
      <w:pPr>
        <w:autoSpaceDE w:val="0"/>
        <w:autoSpaceDN w:val="0"/>
        <w:adjustRightInd w:val="0"/>
        <w:spacing w:line="240" w:lineRule="auto"/>
        <w:jc w:val="both"/>
        <w:rPr>
          <w:highlight w:val="green"/>
        </w:rPr>
      </w:pPr>
    </w:p>
    <w:p w14:paraId="7444E8DB" w14:textId="77777777" w:rsidR="00695AE2" w:rsidRPr="00503014" w:rsidRDefault="00695AE2" w:rsidP="00695AE2">
      <w:pPr>
        <w:spacing w:line="240" w:lineRule="auto"/>
        <w:jc w:val="both"/>
      </w:pPr>
      <w:r w:rsidRPr="00503014">
        <w:t>V okviru projekta so bile izvedene naslednje aktivnosti:</w:t>
      </w:r>
    </w:p>
    <w:p w14:paraId="12A605E8" w14:textId="77777777" w:rsidR="00695AE2" w:rsidRPr="00503014" w:rsidRDefault="00695AE2" w:rsidP="00695AE2">
      <w:pPr>
        <w:numPr>
          <w:ilvl w:val="0"/>
          <w:numId w:val="87"/>
        </w:numPr>
        <w:spacing w:line="240" w:lineRule="auto"/>
        <w:jc w:val="both"/>
      </w:pPr>
      <w:r w:rsidRPr="00503014">
        <w:t>nadgradnja portala SPOT z dodatno funkcionalnostjo, in sicer filtrom za prikazovanje obrazcev izbranim subjektom in vmesnikom za dodeljevanje pooblastil;</w:t>
      </w:r>
    </w:p>
    <w:p w14:paraId="063D61F0" w14:textId="77777777" w:rsidR="00695AE2" w:rsidRPr="00503014" w:rsidRDefault="00695AE2" w:rsidP="00695AE2">
      <w:pPr>
        <w:numPr>
          <w:ilvl w:val="0"/>
          <w:numId w:val="87"/>
        </w:numPr>
        <w:spacing w:line="240" w:lineRule="auto"/>
        <w:jc w:val="both"/>
      </w:pPr>
      <w:r w:rsidRPr="00503014">
        <w:t>nadgradnja IS Feniks – prevzem vlog iz portala eUprava in dodatne avtomatizacije;</w:t>
      </w:r>
    </w:p>
    <w:p w14:paraId="7BE2E0B1" w14:textId="77777777" w:rsidR="00695AE2" w:rsidRPr="00503014" w:rsidRDefault="00695AE2" w:rsidP="00695AE2">
      <w:pPr>
        <w:numPr>
          <w:ilvl w:val="0"/>
          <w:numId w:val="87"/>
        </w:numPr>
        <w:spacing w:line="240" w:lineRule="auto"/>
        <w:jc w:val="both"/>
      </w:pPr>
      <w:r w:rsidRPr="00503014">
        <w:t>izdelava generičnega servisa za izmenjavo dokumentov med Finančno upravo Republike Slovenije (IS EDS) in Državnim odvetništvom RS (IS Feniks);</w:t>
      </w:r>
    </w:p>
    <w:p w14:paraId="49D2E275" w14:textId="77777777" w:rsidR="00695AE2" w:rsidRPr="00503014" w:rsidRDefault="00695AE2" w:rsidP="00695AE2">
      <w:pPr>
        <w:numPr>
          <w:ilvl w:val="0"/>
          <w:numId w:val="87"/>
        </w:numPr>
        <w:spacing w:line="240" w:lineRule="auto"/>
        <w:jc w:val="both"/>
      </w:pPr>
      <w:r w:rsidRPr="00503014">
        <w:t>nakup dveh novih interaktivnih zaslonov z integriranim Windows računalnikom;</w:t>
      </w:r>
    </w:p>
    <w:p w14:paraId="3A467B98" w14:textId="77777777" w:rsidR="00695AE2" w:rsidRPr="00503014" w:rsidRDefault="00695AE2" w:rsidP="00695AE2">
      <w:pPr>
        <w:numPr>
          <w:ilvl w:val="0"/>
          <w:numId w:val="87"/>
        </w:numPr>
        <w:spacing w:line="240" w:lineRule="auto"/>
        <w:jc w:val="both"/>
      </w:pPr>
      <w:r w:rsidRPr="00503014">
        <w:t>izdelava pisnih in video navodil za vse uporabnike za uporabo novih obrazcev;</w:t>
      </w:r>
    </w:p>
    <w:p w14:paraId="3D004EEF" w14:textId="77777777" w:rsidR="00695AE2" w:rsidRPr="00503014" w:rsidRDefault="00695AE2" w:rsidP="00695AE2">
      <w:pPr>
        <w:numPr>
          <w:ilvl w:val="0"/>
          <w:numId w:val="87"/>
        </w:numPr>
        <w:spacing w:line="240" w:lineRule="auto"/>
        <w:jc w:val="both"/>
      </w:pPr>
      <w:r w:rsidRPr="00503014">
        <w:t>izvedba spletnega usposabljanja zaposlenih.</w:t>
      </w:r>
    </w:p>
    <w:p w14:paraId="4FE1030F" w14:textId="77777777" w:rsidR="00695AE2" w:rsidRPr="00503014" w:rsidRDefault="00695AE2" w:rsidP="00695AE2">
      <w:pPr>
        <w:spacing w:line="240" w:lineRule="auto"/>
        <w:ind w:left="720"/>
        <w:jc w:val="both"/>
      </w:pPr>
    </w:p>
    <w:p w14:paraId="063F474C" w14:textId="77777777" w:rsidR="00695AE2" w:rsidRPr="00503014" w:rsidRDefault="00695AE2" w:rsidP="00695AE2">
      <w:pPr>
        <w:pStyle w:val="Naslov5"/>
      </w:pPr>
      <w:bookmarkStart w:id="187" w:name="_Toc223093772"/>
      <w:r w:rsidRPr="00503014">
        <w:t>Rezultati in učinki projekta</w:t>
      </w:r>
      <w:bookmarkEnd w:id="187"/>
    </w:p>
    <w:p w14:paraId="449ED0DA" w14:textId="77777777" w:rsidR="00695AE2" w:rsidRPr="00503014" w:rsidRDefault="00695AE2" w:rsidP="00695AE2"/>
    <w:p w14:paraId="1BBF1569" w14:textId="77777777" w:rsidR="00695AE2" w:rsidRPr="00503014" w:rsidRDefault="00695AE2" w:rsidP="00695AE2">
      <w:pPr>
        <w:spacing w:line="240" w:lineRule="auto"/>
        <w:jc w:val="both"/>
      </w:pPr>
      <w:r w:rsidRPr="00503014">
        <w:t>Na portalu SPOT je bilo objavljenih več novih vlog za Državno odvetništvo RS, kot sta na primer zaprosilo Državnemu odvetništvu RS za izdajo mnenja in zaprosilo Državnemu odvetništvu RS za zastopanje. Funkcionalnost portala SPOT je nadgrajena tako, da se določene vloge prikazujejo izključno upravičenim subjektom.</w:t>
      </w:r>
    </w:p>
    <w:p w14:paraId="0CA52B4C" w14:textId="77777777" w:rsidR="00695AE2" w:rsidRPr="00503014" w:rsidRDefault="00695AE2" w:rsidP="00695AE2">
      <w:pPr>
        <w:spacing w:line="240" w:lineRule="auto"/>
        <w:jc w:val="both"/>
      </w:pPr>
    </w:p>
    <w:p w14:paraId="377AC765" w14:textId="77777777" w:rsidR="00695AE2" w:rsidRPr="00503014" w:rsidRDefault="00695AE2" w:rsidP="00695AE2">
      <w:pPr>
        <w:spacing w:line="240" w:lineRule="auto"/>
        <w:jc w:val="both"/>
      </w:pPr>
      <w:r w:rsidRPr="00503014">
        <w:t>Na portalu eUprava sta bili objavljeni dve novi vlogi, ki jih Državnemu odvetništvu RS lahko oddajo fizične osebe. Dokumentno-informacijski sistem Državnega odvetništva RS IS Feniks pa je nadgrajen z možnostjo avtomatičnega prevzema vlog iz portala eUprava ter z dodatnimi avtomatizacijami, v okviru katerih je popolnoma administrativno nastavljivo prenašanje metapodatkov iz vlog v IS Feniks.</w:t>
      </w:r>
    </w:p>
    <w:p w14:paraId="7C403DC9" w14:textId="77777777" w:rsidR="00695AE2" w:rsidRPr="00503014" w:rsidRDefault="00695AE2" w:rsidP="00695AE2">
      <w:pPr>
        <w:spacing w:line="240" w:lineRule="auto"/>
        <w:jc w:val="both"/>
      </w:pPr>
    </w:p>
    <w:p w14:paraId="478F4EE4" w14:textId="77777777" w:rsidR="00695AE2" w:rsidRPr="00503014" w:rsidRDefault="00695AE2" w:rsidP="00695AE2">
      <w:pPr>
        <w:spacing w:line="240" w:lineRule="auto"/>
        <w:jc w:val="both"/>
      </w:pPr>
      <w:r w:rsidRPr="00503014">
        <w:t xml:space="preserve">Generični servis za izmenjavo dokumentov omogoča neposredno, varno in avtomatizirano izmenjavo dokumentov med Finančno upravo Republike Slovenije in Državnim odvetništvom RS, brez dodatnih administrativnih postopkov in brez tveganja človeških napak. Rezultat so pomembni prihranki časa, prav tako pa je zagotovljena tudi revizijska sled vpogledov v dokumente z osebnimi podatki. Sistem omogoča večjo učinkovitost in varnost podatkov, prav tako so bila izboljšana digitalna znanja in spretnosti ter okrepljena kibernetska varnost. </w:t>
      </w:r>
    </w:p>
    <w:p w14:paraId="5FD258DE" w14:textId="77777777" w:rsidR="00695AE2" w:rsidRPr="00503014" w:rsidRDefault="00695AE2" w:rsidP="00695AE2">
      <w:pPr>
        <w:spacing w:line="240" w:lineRule="auto"/>
        <w:jc w:val="both"/>
      </w:pPr>
    </w:p>
    <w:p w14:paraId="23A826E6" w14:textId="77777777" w:rsidR="00695AE2" w:rsidRPr="00503014" w:rsidRDefault="00695AE2" w:rsidP="00695AE2">
      <w:pPr>
        <w:spacing w:line="240" w:lineRule="auto"/>
        <w:jc w:val="both"/>
      </w:pPr>
      <w:r w:rsidRPr="00503014">
        <w:t xml:space="preserve">Dva nova interaktivna zaslona sta bila predana v uporabo in že vključena v izvedbo usposabljanj, pisna in video navodila pa so dostopna na spletni in intranetni strani Državnega odvetništva RS. </w:t>
      </w:r>
    </w:p>
    <w:p w14:paraId="7BE81412" w14:textId="77777777" w:rsidR="00695AE2" w:rsidRPr="00503014" w:rsidRDefault="00695AE2" w:rsidP="00695AE2">
      <w:pPr>
        <w:spacing w:line="240" w:lineRule="auto"/>
        <w:jc w:val="both"/>
      </w:pPr>
      <w:r w:rsidRPr="00503014">
        <w:lastRenderedPageBreak/>
        <w:t>Do konca leta 2025 je bilo zabeleženih skoraj 8.000 uporab novih storitev, novo znanje pa je osvojilo že 30 % zaposlenih.</w:t>
      </w:r>
    </w:p>
    <w:p w14:paraId="1156F073" w14:textId="77777777" w:rsidR="00695AE2" w:rsidRPr="00503014" w:rsidRDefault="00695AE2" w:rsidP="00695AE2">
      <w:pPr>
        <w:rPr>
          <w:b/>
          <w:bCs/>
        </w:rPr>
      </w:pPr>
    </w:p>
    <w:p w14:paraId="4F5333A2" w14:textId="77777777" w:rsidR="00695AE2" w:rsidRPr="00503014" w:rsidRDefault="00695AE2" w:rsidP="00695AE2">
      <w:pPr>
        <w:pStyle w:val="Naslov5"/>
      </w:pPr>
      <w:bookmarkStart w:id="188" w:name="_Toc223093773"/>
      <w:r w:rsidRPr="00503014">
        <w:t>Finančni pregled projekta</w:t>
      </w:r>
      <w:bookmarkStart w:id="189" w:name="_Hlk220512525"/>
      <w:bookmarkEnd w:id="188"/>
      <w:r w:rsidRPr="00503014">
        <w:t xml:space="preserve"> </w:t>
      </w:r>
    </w:p>
    <w:p w14:paraId="45F0AF1C" w14:textId="77777777" w:rsidR="00695AE2" w:rsidRPr="00503014" w:rsidRDefault="00695AE2" w:rsidP="00695AE2">
      <w:pPr>
        <w:spacing w:line="240" w:lineRule="auto"/>
        <w:jc w:val="both"/>
      </w:pPr>
    </w:p>
    <w:p w14:paraId="3D7A962B" w14:textId="271919CB" w:rsidR="00695AE2" w:rsidRPr="00503014" w:rsidRDefault="00695AE2" w:rsidP="00695AE2">
      <w:pPr>
        <w:spacing w:line="240" w:lineRule="auto"/>
        <w:jc w:val="both"/>
      </w:pPr>
      <w:r w:rsidRPr="00503014">
        <w:t>Skupna vrednost projekta je znašala 194.320,51 evrov, realiziran je bil v višini v višini 95 % oziroma 185.027,67 evrov, od tega je bilo 1</w:t>
      </w:r>
      <w:r w:rsidR="004A3E49">
        <w:t>62</w:t>
      </w:r>
      <w:r w:rsidRPr="00503014">
        <w:t>.</w:t>
      </w:r>
      <w:r w:rsidR="004A3E49">
        <w:t>498</w:t>
      </w:r>
      <w:r w:rsidRPr="00503014">
        <w:t>,</w:t>
      </w:r>
      <w:r w:rsidR="004A3E49">
        <w:t>08</w:t>
      </w:r>
      <w:r w:rsidRPr="00503014">
        <w:t xml:space="preserve"> evrov sofinanciranih iz evropskega Mehanizma za okrevanje in odpornost. </w:t>
      </w:r>
    </w:p>
    <w:p w14:paraId="22DFD706" w14:textId="77777777" w:rsidR="00695AE2" w:rsidRPr="00503014" w:rsidRDefault="00695AE2" w:rsidP="00695AE2">
      <w:pPr>
        <w:spacing w:line="240" w:lineRule="auto"/>
        <w:jc w:val="both"/>
      </w:pPr>
    </w:p>
    <w:p w14:paraId="0048CE23" w14:textId="77777777" w:rsidR="00695AE2" w:rsidRPr="00503014" w:rsidRDefault="00695AE2" w:rsidP="00695AE2">
      <w:pPr>
        <w:spacing w:line="240" w:lineRule="auto"/>
        <w:jc w:val="both"/>
      </w:pPr>
      <w:r w:rsidRPr="00503014">
        <w:t>Vse zastavljene aktivnosti, cilji in nameni projekta so bili v celoti doseženi.</w:t>
      </w:r>
    </w:p>
    <w:bookmarkEnd w:id="189"/>
    <w:p w14:paraId="0418B6BC" w14:textId="77777777" w:rsidR="00695AE2" w:rsidRPr="00503014" w:rsidRDefault="00695AE2" w:rsidP="00695AE2">
      <w:pPr>
        <w:spacing w:line="240" w:lineRule="auto"/>
        <w:jc w:val="both"/>
        <w:rPr>
          <w:rFonts w:eastAsia="Calibri"/>
          <w:sz w:val="32"/>
          <w:szCs w:val="32"/>
          <w:highlight w:val="yellow"/>
        </w:rPr>
      </w:pPr>
    </w:p>
    <w:p w14:paraId="43270F9B" w14:textId="77777777" w:rsidR="00695AE2" w:rsidRPr="00503014" w:rsidRDefault="00695AE2" w:rsidP="00695AE2">
      <w:pPr>
        <w:pStyle w:val="Naslov2"/>
      </w:pPr>
      <w:bookmarkStart w:id="190" w:name="_Toc160097162"/>
      <w:bookmarkStart w:id="191" w:name="_Toc191561779"/>
      <w:bookmarkStart w:id="192" w:name="_Toc223093774"/>
      <w:r w:rsidRPr="00503014">
        <w:t>Problematika s področja proračunskega financiranja</w:t>
      </w:r>
      <w:bookmarkEnd w:id="190"/>
      <w:bookmarkEnd w:id="191"/>
      <w:bookmarkEnd w:id="192"/>
    </w:p>
    <w:p w14:paraId="4C8E9632" w14:textId="77777777" w:rsidR="00695AE2" w:rsidRPr="00464AEF" w:rsidRDefault="00695AE2" w:rsidP="00695AE2">
      <w:pPr>
        <w:pStyle w:val="Jasna"/>
        <w:rPr>
          <w:sz w:val="32"/>
          <w:szCs w:val="32"/>
        </w:rPr>
      </w:pPr>
    </w:p>
    <w:p w14:paraId="1524CA8B" w14:textId="77777777" w:rsidR="00695AE2" w:rsidRPr="00503014" w:rsidRDefault="00695AE2" w:rsidP="00695AE2">
      <w:pPr>
        <w:pStyle w:val="Naslov3"/>
      </w:pPr>
      <w:bookmarkStart w:id="193" w:name="_Toc160097163"/>
      <w:bookmarkStart w:id="194" w:name="_Toc191561780"/>
      <w:bookmarkStart w:id="195" w:name="_Toc223093775"/>
      <w:r w:rsidRPr="00503014">
        <w:t>Proračun Državnega odvetništva RS</w:t>
      </w:r>
      <w:bookmarkEnd w:id="193"/>
      <w:bookmarkEnd w:id="194"/>
      <w:bookmarkEnd w:id="195"/>
      <w:r w:rsidRPr="00503014">
        <w:t xml:space="preserve"> </w:t>
      </w:r>
    </w:p>
    <w:p w14:paraId="3F7AE9D3" w14:textId="77777777" w:rsidR="00695AE2" w:rsidRPr="00503014" w:rsidRDefault="00695AE2" w:rsidP="00695AE2">
      <w:pPr>
        <w:spacing w:line="240" w:lineRule="auto"/>
        <w:jc w:val="both"/>
        <w:rPr>
          <w:rFonts w:eastAsia="Calibri"/>
          <w:color w:val="000000"/>
          <w:sz w:val="28"/>
          <w:szCs w:val="28"/>
        </w:rPr>
      </w:pPr>
    </w:p>
    <w:p w14:paraId="69690763" w14:textId="77777777" w:rsidR="00695AE2" w:rsidRPr="00503014" w:rsidRDefault="00695AE2" w:rsidP="00695AE2">
      <w:pPr>
        <w:spacing w:line="240" w:lineRule="auto"/>
        <w:jc w:val="both"/>
        <w:rPr>
          <w:color w:val="000000"/>
        </w:rPr>
      </w:pPr>
      <w:bookmarkStart w:id="196" w:name="_Toc160097164"/>
      <w:bookmarkStart w:id="197" w:name="_Toc191561781"/>
      <w:r w:rsidRPr="00503014">
        <w:rPr>
          <w:color w:val="000000"/>
        </w:rPr>
        <w:t xml:space="preserve">Državno odvetništvo RS se je v letu 2025 v celoti financiralo iz sredstev državnega proračuna. </w:t>
      </w:r>
    </w:p>
    <w:p w14:paraId="7D4D4298" w14:textId="77777777" w:rsidR="00695AE2" w:rsidRPr="00503014" w:rsidRDefault="00695AE2" w:rsidP="00695AE2">
      <w:pPr>
        <w:spacing w:line="240" w:lineRule="auto"/>
        <w:jc w:val="both"/>
        <w:rPr>
          <w:color w:val="000000"/>
        </w:rPr>
      </w:pPr>
    </w:p>
    <w:p w14:paraId="1800B510" w14:textId="77777777" w:rsidR="00695AE2" w:rsidRPr="00503014" w:rsidRDefault="00695AE2" w:rsidP="00695AE2">
      <w:pPr>
        <w:spacing w:line="240" w:lineRule="auto"/>
        <w:jc w:val="both"/>
        <w:rPr>
          <w:color w:val="000000"/>
        </w:rPr>
      </w:pPr>
      <w:r w:rsidRPr="00503014">
        <w:rPr>
          <w:color w:val="000000"/>
        </w:rPr>
        <w:t>V sprejetem proračunu za leto 2025 so bila načrtovana sredstva:</w:t>
      </w:r>
    </w:p>
    <w:p w14:paraId="6E2ED364" w14:textId="77777777" w:rsidR="00695AE2" w:rsidRPr="00503014" w:rsidRDefault="00695AE2" w:rsidP="00695AE2">
      <w:pPr>
        <w:spacing w:line="240" w:lineRule="auto"/>
        <w:jc w:val="both"/>
        <w:rPr>
          <w:color w:val="000000"/>
        </w:rPr>
      </w:pPr>
    </w:p>
    <w:p w14:paraId="1570A675" w14:textId="77777777" w:rsidR="00695AE2" w:rsidRPr="00503014" w:rsidRDefault="00695AE2" w:rsidP="00695AE2">
      <w:pPr>
        <w:numPr>
          <w:ilvl w:val="0"/>
          <w:numId w:val="34"/>
        </w:numPr>
        <w:spacing w:line="240" w:lineRule="auto"/>
        <w:ind w:left="714" w:hanging="357"/>
        <w:contextualSpacing/>
        <w:jc w:val="both"/>
        <w:rPr>
          <w:color w:val="000000"/>
        </w:rPr>
      </w:pPr>
      <w:r w:rsidRPr="00503014">
        <w:rPr>
          <w:color w:val="000000"/>
        </w:rPr>
        <w:t xml:space="preserve">v okviru podprograma »090401 </w:t>
      </w:r>
      <w:r w:rsidRPr="00503014">
        <w:rPr>
          <w:bCs/>
        </w:rPr>
        <w:t>– Zastopanje Republike Slovenije in vodenje predhodnih postopkov«</w:t>
      </w:r>
      <w:r w:rsidRPr="00503014">
        <w:rPr>
          <w:color w:val="000000"/>
        </w:rPr>
        <w:t xml:space="preserve"> (plače, materialni stroški, investicije) v višini 14.573.422,00 evrov,</w:t>
      </w:r>
    </w:p>
    <w:p w14:paraId="1DAE8530" w14:textId="77777777" w:rsidR="00695AE2" w:rsidRPr="00503014" w:rsidRDefault="00695AE2" w:rsidP="00695AE2">
      <w:pPr>
        <w:spacing w:line="240" w:lineRule="auto"/>
        <w:ind w:left="714" w:hanging="357"/>
        <w:contextualSpacing/>
        <w:jc w:val="both"/>
        <w:rPr>
          <w:color w:val="000000"/>
        </w:rPr>
      </w:pPr>
    </w:p>
    <w:p w14:paraId="4B383C22" w14:textId="77777777" w:rsidR="00695AE2" w:rsidRPr="00503014" w:rsidRDefault="00695AE2" w:rsidP="00695AE2">
      <w:pPr>
        <w:numPr>
          <w:ilvl w:val="0"/>
          <w:numId w:val="34"/>
        </w:numPr>
        <w:spacing w:line="240" w:lineRule="auto"/>
        <w:ind w:left="714" w:hanging="357"/>
        <w:contextualSpacing/>
        <w:jc w:val="both"/>
        <w:rPr>
          <w:color w:val="000000"/>
        </w:rPr>
      </w:pPr>
      <w:r w:rsidRPr="00503014">
        <w:rPr>
          <w:color w:val="000000"/>
        </w:rPr>
        <w:t xml:space="preserve">v okviru podprograma »090601 </w:t>
      </w:r>
      <w:r w:rsidRPr="00503014">
        <w:rPr>
          <w:bCs/>
        </w:rPr>
        <w:t>– Poprava krivic in odškodnine«</w:t>
      </w:r>
      <w:r w:rsidRPr="00503014">
        <w:rPr>
          <w:color w:val="000000"/>
        </w:rPr>
        <w:t xml:space="preserve"> (osem odškodninskih postavk proračuna) v višini 2.359.548,00 evrov,</w:t>
      </w:r>
    </w:p>
    <w:p w14:paraId="4767B8F2" w14:textId="77777777" w:rsidR="00695AE2" w:rsidRPr="00503014" w:rsidRDefault="00695AE2" w:rsidP="00695AE2">
      <w:pPr>
        <w:spacing w:line="240" w:lineRule="auto"/>
        <w:jc w:val="both"/>
        <w:rPr>
          <w:color w:val="000000"/>
        </w:rPr>
      </w:pPr>
    </w:p>
    <w:p w14:paraId="712EF886" w14:textId="77777777" w:rsidR="00695AE2" w:rsidRPr="00503014" w:rsidRDefault="00695AE2" w:rsidP="00695AE2">
      <w:pPr>
        <w:spacing w:line="240" w:lineRule="auto"/>
        <w:jc w:val="both"/>
        <w:rPr>
          <w:color w:val="000000"/>
        </w:rPr>
      </w:pPr>
      <w:r w:rsidRPr="00503014">
        <w:rPr>
          <w:color w:val="000000"/>
        </w:rPr>
        <w:t xml:space="preserve">kar pomeni sprejeti proračun Državnega odvetništva RS v višini skupno 16.932.970,00 evrov. </w:t>
      </w:r>
    </w:p>
    <w:p w14:paraId="32011A00" w14:textId="77777777" w:rsidR="00695AE2" w:rsidRPr="00503014" w:rsidRDefault="00695AE2" w:rsidP="00695AE2">
      <w:pPr>
        <w:spacing w:line="240" w:lineRule="auto"/>
        <w:jc w:val="both"/>
        <w:rPr>
          <w:color w:val="000000"/>
        </w:rPr>
      </w:pPr>
    </w:p>
    <w:p w14:paraId="6F4F4C70" w14:textId="77777777" w:rsidR="00695AE2" w:rsidRPr="00503014" w:rsidRDefault="00695AE2" w:rsidP="00695AE2">
      <w:pPr>
        <w:spacing w:line="240" w:lineRule="auto"/>
        <w:jc w:val="both"/>
        <w:rPr>
          <w:bCs/>
        </w:rPr>
      </w:pPr>
      <w:r w:rsidRPr="00503014">
        <w:rPr>
          <w:color w:val="000000"/>
        </w:rPr>
        <w:t xml:space="preserve">Načrtovana sredstva v okviru podprograma »090401 </w:t>
      </w:r>
      <w:r w:rsidRPr="00503014">
        <w:rPr>
          <w:bCs/>
        </w:rPr>
        <w:t>– Zastopanje Republike Slovenije in vodenje predhodnih postopkov«</w:t>
      </w:r>
      <w:r w:rsidRPr="00503014">
        <w:rPr>
          <w:color w:val="000000"/>
        </w:rPr>
        <w:t xml:space="preserve"> so bila v veliki meri (74,28 odstotka) namenjena za zagotavljanje izvajanja zakonsko določenih obveznosti, predvsem obveznosti iz naslova plač zaposlenim, v manjši meri za materialno poslovanje in obratovalne stroške organa (24,08 odstotka) ter za nakup in vzdrževanje potrebne infrastrukture Državnega odvetništva RS (1,44 odstotka).</w:t>
      </w:r>
    </w:p>
    <w:p w14:paraId="503447BE" w14:textId="77777777" w:rsidR="00695AE2" w:rsidRPr="00503014" w:rsidRDefault="00695AE2" w:rsidP="00695AE2">
      <w:pPr>
        <w:spacing w:line="240" w:lineRule="auto"/>
        <w:jc w:val="both"/>
        <w:rPr>
          <w:color w:val="000000"/>
        </w:rPr>
      </w:pPr>
    </w:p>
    <w:p w14:paraId="00B122F6" w14:textId="77777777" w:rsidR="00695AE2" w:rsidRPr="00503014" w:rsidRDefault="00695AE2" w:rsidP="00695AE2">
      <w:pPr>
        <w:spacing w:line="240" w:lineRule="auto"/>
        <w:jc w:val="both"/>
        <w:rPr>
          <w:color w:val="000000"/>
        </w:rPr>
      </w:pPr>
      <w:r w:rsidRPr="00503014">
        <w:rPr>
          <w:color w:val="000000"/>
        </w:rPr>
        <w:t xml:space="preserve">V okviru podprograma »090601 </w:t>
      </w:r>
      <w:r w:rsidRPr="00503014">
        <w:rPr>
          <w:bCs/>
        </w:rPr>
        <w:t xml:space="preserve">– Poprava krivic in odškodnine« </w:t>
      </w:r>
      <w:r w:rsidRPr="00503014">
        <w:rPr>
          <w:color w:val="000000"/>
        </w:rPr>
        <w:t>so bila načrtovana sredstva za izplačilo odškodnin na osmih proračunskih postavkah, ki so oblikovane na določeni zakonski podlagi. Največ sredstev za odškodnine (43,08 odstotka) je bilo načrtovanih na proračunski postavki »Odškodnine na podlagi sodbe – ESČP«. 15,26 odstotka je bilo načrtovanih na postavki »</w:t>
      </w:r>
      <w:r w:rsidRPr="00503014">
        <w:rPr>
          <w:rFonts w:eastAsia="Times New Roman"/>
          <w:lang w:eastAsia="sl-SI"/>
        </w:rPr>
        <w:t xml:space="preserve">Odškodnine na podlagi ZOKIPOSR«. </w:t>
      </w:r>
      <w:r w:rsidRPr="00503014">
        <w:rPr>
          <w:color w:val="000000"/>
        </w:rPr>
        <w:t>Na ostalih odškodninskih postavkah se je načrtovalo v skladu z dinamiko porabe prejšnjih let.</w:t>
      </w:r>
    </w:p>
    <w:p w14:paraId="2696F02A" w14:textId="77777777" w:rsidR="00695AE2" w:rsidRPr="00503014" w:rsidRDefault="00695AE2" w:rsidP="00695AE2">
      <w:pPr>
        <w:spacing w:line="240" w:lineRule="auto"/>
        <w:jc w:val="both"/>
        <w:rPr>
          <w:color w:val="000000"/>
        </w:rPr>
      </w:pPr>
    </w:p>
    <w:p w14:paraId="078848F7" w14:textId="77777777" w:rsidR="00695AE2" w:rsidRPr="00503014" w:rsidRDefault="00695AE2" w:rsidP="00695AE2">
      <w:pPr>
        <w:spacing w:line="240" w:lineRule="auto"/>
        <w:jc w:val="both"/>
        <w:rPr>
          <w:color w:val="000000"/>
        </w:rPr>
      </w:pPr>
      <w:r w:rsidRPr="00503014">
        <w:t xml:space="preserve">Državno odvetništvo RS je pretežni del sredstev porabilo v skladu s sprejetimi načrti, večji odkloni so bili na področju porabe sredstev za odškodnine, kjer natančno načrtovanje porabe sploh ni mogoče. Bistveno večja poraba sredstev glede na načrtovana sredstva je bila na postavki </w:t>
      </w:r>
      <w:r w:rsidRPr="00503014">
        <w:rPr>
          <w:color w:val="000000"/>
        </w:rPr>
        <w:t>»</w:t>
      </w:r>
      <w:r w:rsidRPr="00503014">
        <w:rPr>
          <w:rFonts w:eastAsia="Times New Roman"/>
          <w:lang w:eastAsia="sl-SI"/>
        </w:rPr>
        <w:t xml:space="preserve">Odškodnine na podlagi ZOKIPOSR«, in sicer </w:t>
      </w:r>
      <w:r w:rsidRPr="00503014">
        <w:t xml:space="preserve">293,79%. Na postavki materialni stroški </w:t>
      </w:r>
      <w:r w:rsidRPr="00503014">
        <w:lastRenderedPageBreak/>
        <w:t xml:space="preserve">pa je do večjega odklona prišlo na področju materialnih stroškov iz </w:t>
      </w:r>
      <w:r w:rsidRPr="00503014">
        <w:rPr>
          <w:color w:val="000000"/>
        </w:rPr>
        <w:t xml:space="preserve">naslova stroškov zastopanja in postopkov pred mednarodnimi arbitražami, zaradi česar je Državno odvetništvo RS v letu 2025 poleg načrtovanih in prerazporejenih sredstev lastnega finančnega načrta prejelo še dodatne pravice porabe v skupni višini 2.459.680,26 evrov. </w:t>
      </w:r>
    </w:p>
    <w:p w14:paraId="1263D236" w14:textId="77777777" w:rsidR="00695AE2" w:rsidRPr="00503014" w:rsidRDefault="00695AE2" w:rsidP="00695AE2">
      <w:pPr>
        <w:spacing w:line="240" w:lineRule="auto"/>
        <w:jc w:val="both"/>
        <w:rPr>
          <w:color w:val="000000"/>
        </w:rPr>
      </w:pPr>
    </w:p>
    <w:p w14:paraId="1A840C5E" w14:textId="77777777" w:rsidR="00695AE2" w:rsidRPr="00503014" w:rsidRDefault="00695AE2" w:rsidP="00695AE2">
      <w:pPr>
        <w:spacing w:line="240" w:lineRule="auto"/>
        <w:jc w:val="both"/>
        <w:rPr>
          <w:color w:val="000000"/>
        </w:rPr>
      </w:pPr>
      <w:r w:rsidRPr="00503014">
        <w:rPr>
          <w:color w:val="000000"/>
        </w:rPr>
        <w:t>Celotni odhodki Državnega odvetništva RS so v letu 2025 znašali 18.889.156,42 evrov.</w:t>
      </w:r>
    </w:p>
    <w:p w14:paraId="56DB2A75" w14:textId="77777777" w:rsidR="00695AE2" w:rsidRPr="00503014" w:rsidRDefault="00695AE2" w:rsidP="00695AE2">
      <w:pPr>
        <w:spacing w:line="240" w:lineRule="auto"/>
        <w:jc w:val="both"/>
        <w:rPr>
          <w:color w:val="000000"/>
        </w:rPr>
      </w:pPr>
    </w:p>
    <w:p w14:paraId="30F8A475" w14:textId="77777777" w:rsidR="00695AE2" w:rsidRPr="00503014" w:rsidRDefault="00695AE2" w:rsidP="00695AE2">
      <w:pPr>
        <w:spacing w:line="240" w:lineRule="auto"/>
        <w:jc w:val="both"/>
        <w:rPr>
          <w:bCs/>
        </w:rPr>
      </w:pPr>
      <w:r w:rsidRPr="00503014">
        <w:rPr>
          <w:bCs/>
        </w:rPr>
        <w:t>Realizacija v okviru podprograma »090401 – Zastopanje Republike Slovenije in vodenje predhodnih postopkov« je bila naslednja:</w:t>
      </w:r>
    </w:p>
    <w:p w14:paraId="4DC9E57C" w14:textId="77777777" w:rsidR="00695AE2" w:rsidRPr="00503014" w:rsidRDefault="00695AE2" w:rsidP="00695AE2">
      <w:pPr>
        <w:spacing w:line="240" w:lineRule="auto"/>
        <w:jc w:val="both"/>
        <w:rPr>
          <w:b/>
        </w:rPr>
      </w:pPr>
    </w:p>
    <w:p w14:paraId="55759CBD" w14:textId="77777777" w:rsidR="00695AE2" w:rsidRPr="00503014" w:rsidRDefault="00695AE2" w:rsidP="00695AE2">
      <w:pPr>
        <w:numPr>
          <w:ilvl w:val="0"/>
          <w:numId w:val="35"/>
        </w:numPr>
        <w:spacing w:line="240" w:lineRule="auto"/>
        <w:contextualSpacing/>
        <w:jc w:val="both"/>
        <w:rPr>
          <w:color w:val="000000"/>
        </w:rPr>
      </w:pPr>
      <w:r w:rsidRPr="00503014">
        <w:rPr>
          <w:color w:val="000000"/>
        </w:rPr>
        <w:t>plače, dodatki in drugi prejemki ter prispevki za zaposlene v višini 10.386.372,28 evrov;</w:t>
      </w:r>
    </w:p>
    <w:p w14:paraId="1C0ADE92" w14:textId="77777777" w:rsidR="00695AE2" w:rsidRPr="00503014" w:rsidRDefault="00695AE2" w:rsidP="00695AE2">
      <w:pPr>
        <w:numPr>
          <w:ilvl w:val="0"/>
          <w:numId w:val="35"/>
        </w:numPr>
        <w:spacing w:line="240" w:lineRule="auto"/>
        <w:contextualSpacing/>
        <w:jc w:val="both"/>
        <w:rPr>
          <w:color w:val="000000"/>
        </w:rPr>
      </w:pPr>
      <w:r w:rsidRPr="00503014">
        <w:rPr>
          <w:color w:val="000000"/>
        </w:rPr>
        <w:t>materialni stroški v višini 6.553.013,91 evrov;</w:t>
      </w:r>
    </w:p>
    <w:p w14:paraId="68094DB2" w14:textId="77777777" w:rsidR="00695AE2" w:rsidRPr="00503014" w:rsidRDefault="00695AE2" w:rsidP="00695AE2">
      <w:pPr>
        <w:numPr>
          <w:ilvl w:val="0"/>
          <w:numId w:val="35"/>
        </w:numPr>
        <w:spacing w:line="240" w:lineRule="auto"/>
        <w:contextualSpacing/>
        <w:jc w:val="both"/>
        <w:rPr>
          <w:color w:val="000000"/>
        </w:rPr>
      </w:pPr>
      <w:r w:rsidRPr="00503014">
        <w:rPr>
          <w:color w:val="000000"/>
        </w:rPr>
        <w:t>investicije in investicijsko vzdrževanje v višini 97.059,51 evrov.</w:t>
      </w:r>
    </w:p>
    <w:p w14:paraId="47F68A84" w14:textId="77777777" w:rsidR="00695AE2" w:rsidRPr="00503014" w:rsidRDefault="00695AE2" w:rsidP="00695AE2">
      <w:pPr>
        <w:spacing w:line="240" w:lineRule="auto"/>
        <w:ind w:left="720"/>
        <w:contextualSpacing/>
        <w:jc w:val="both"/>
        <w:rPr>
          <w:color w:val="000000"/>
        </w:rPr>
      </w:pPr>
    </w:p>
    <w:p w14:paraId="582CD686" w14:textId="77777777" w:rsidR="00695AE2" w:rsidRPr="00503014" w:rsidRDefault="00695AE2" w:rsidP="00695AE2">
      <w:pPr>
        <w:spacing w:line="240" w:lineRule="auto"/>
        <w:jc w:val="both"/>
        <w:rPr>
          <w:color w:val="000000"/>
        </w:rPr>
      </w:pPr>
      <w:r w:rsidRPr="00503014">
        <w:rPr>
          <w:bCs/>
        </w:rPr>
        <w:t>Skupaj so odhodki podprograma znašali</w:t>
      </w:r>
      <w:r w:rsidRPr="00503014">
        <w:rPr>
          <w:b/>
        </w:rPr>
        <w:t xml:space="preserve"> </w:t>
      </w:r>
      <w:r w:rsidRPr="00503014">
        <w:rPr>
          <w:color w:val="000000"/>
        </w:rPr>
        <w:t>17.058.975,29 evrov.</w:t>
      </w:r>
    </w:p>
    <w:p w14:paraId="4B2EB416" w14:textId="77777777" w:rsidR="00695AE2" w:rsidRPr="00503014" w:rsidRDefault="00695AE2" w:rsidP="00695AE2">
      <w:pPr>
        <w:spacing w:line="240" w:lineRule="auto"/>
        <w:jc w:val="both"/>
        <w:rPr>
          <w:bCs/>
        </w:rPr>
      </w:pPr>
    </w:p>
    <w:p w14:paraId="59BF8EED" w14:textId="77777777" w:rsidR="00695AE2" w:rsidRPr="00503014" w:rsidRDefault="00695AE2" w:rsidP="00695AE2">
      <w:pPr>
        <w:spacing w:line="240" w:lineRule="auto"/>
        <w:jc w:val="both"/>
        <w:rPr>
          <w:bCs/>
        </w:rPr>
      </w:pPr>
      <w:r w:rsidRPr="00503014">
        <w:rPr>
          <w:bCs/>
        </w:rPr>
        <w:t>Realizacija v okviru podprograma »090601 – Poprava krivic in odškodnine« je bila po posameznih odškodninskih postavkah naslednja:</w:t>
      </w:r>
    </w:p>
    <w:p w14:paraId="24DAF942" w14:textId="77777777" w:rsidR="00695AE2" w:rsidRPr="00503014" w:rsidRDefault="00695AE2" w:rsidP="00695AE2">
      <w:pPr>
        <w:spacing w:line="240" w:lineRule="auto"/>
        <w:jc w:val="both"/>
        <w:rPr>
          <w:bCs/>
        </w:rPr>
      </w:pPr>
    </w:p>
    <w:p w14:paraId="7F9926AC"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povračilo škode »izbrisanim« v višini 115.780,29 evrov;</w:t>
      </w:r>
    </w:p>
    <w:p w14:paraId="316DA28D"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odškodnine po sklenjenih poravnavah – ESČP v višini 10.000,00 evrov;</w:t>
      </w:r>
    </w:p>
    <w:p w14:paraId="5601BDAF"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odškodnine na podlagi sodbe – ESČP v višini 44.596,00 evrov;</w:t>
      </w:r>
    </w:p>
    <w:p w14:paraId="1BD6C0D6"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odškodnine zaradi sojenja v nerazumnem roku v višini 180.444,61 evrov;</w:t>
      </w:r>
    </w:p>
    <w:p w14:paraId="18B0988D"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odškodnine žrtvam kaznivih dejanj v višini 127.109,82 evrov;</w:t>
      </w:r>
    </w:p>
    <w:p w14:paraId="49D925A6"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sredstva za odškodnine neupravičeno obsojenim v višini 293.423,39 evrov;</w:t>
      </w:r>
    </w:p>
    <w:p w14:paraId="2A8635A3"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odškodnine iz naslova sodnih odločitev v višini 1.200,00 evrov;</w:t>
      </w:r>
    </w:p>
    <w:p w14:paraId="79C46A01" w14:textId="77777777" w:rsidR="00695AE2" w:rsidRPr="00503014" w:rsidRDefault="00695AE2" w:rsidP="00695AE2">
      <w:pPr>
        <w:numPr>
          <w:ilvl w:val="0"/>
          <w:numId w:val="36"/>
        </w:numPr>
        <w:spacing w:line="240" w:lineRule="auto"/>
        <w:contextualSpacing/>
        <w:jc w:val="both"/>
        <w:rPr>
          <w:color w:val="000000"/>
        </w:rPr>
      </w:pPr>
      <w:r w:rsidRPr="00503014">
        <w:rPr>
          <w:color w:val="000000"/>
        </w:rPr>
        <w:t>odškodnine na podlagi ZOKIPOSR v višini 1.057.627,02 evra.</w:t>
      </w:r>
    </w:p>
    <w:p w14:paraId="7F23A69D" w14:textId="77777777" w:rsidR="00695AE2" w:rsidRPr="00503014" w:rsidRDefault="00695AE2" w:rsidP="00695AE2">
      <w:pPr>
        <w:spacing w:line="240" w:lineRule="auto"/>
        <w:ind w:left="720"/>
        <w:contextualSpacing/>
        <w:jc w:val="both"/>
        <w:rPr>
          <w:color w:val="000000"/>
        </w:rPr>
      </w:pPr>
    </w:p>
    <w:p w14:paraId="15BBD7CA" w14:textId="77777777" w:rsidR="00695AE2" w:rsidRPr="00503014" w:rsidRDefault="00695AE2" w:rsidP="00695AE2">
      <w:pPr>
        <w:spacing w:line="240" w:lineRule="auto"/>
        <w:jc w:val="both"/>
        <w:rPr>
          <w:color w:val="000000"/>
        </w:rPr>
      </w:pPr>
      <w:r w:rsidRPr="00503014">
        <w:rPr>
          <w:color w:val="000000"/>
        </w:rPr>
        <w:t>Skupaj so izplačila na vseh odškodninskih postavkah znašala 1.830.181,13 evrov (odškodnine v višini 1.802.308,67 evrov, odvetniški stroški v višini 24.031,25 evrov, sejnine Komisije za odločanje o odškodnini žrtvam kaznivih dejanj 3.841,21 evrov).</w:t>
      </w:r>
    </w:p>
    <w:p w14:paraId="62521282" w14:textId="77777777" w:rsidR="00695AE2" w:rsidRPr="00503014" w:rsidRDefault="00695AE2" w:rsidP="00695AE2">
      <w:pPr>
        <w:spacing w:line="240" w:lineRule="auto"/>
        <w:ind w:left="720"/>
        <w:contextualSpacing/>
        <w:jc w:val="both"/>
        <w:rPr>
          <w:color w:val="000000"/>
        </w:rPr>
      </w:pPr>
    </w:p>
    <w:p w14:paraId="019CF2ED" w14:textId="77777777" w:rsidR="00695AE2" w:rsidRPr="00503014" w:rsidRDefault="00695AE2" w:rsidP="00695AE2">
      <w:pPr>
        <w:autoSpaceDE w:val="0"/>
        <w:autoSpaceDN w:val="0"/>
        <w:adjustRightInd w:val="0"/>
        <w:spacing w:line="240" w:lineRule="auto"/>
        <w:jc w:val="both"/>
      </w:pPr>
      <w:r w:rsidRPr="00503014">
        <w:t xml:space="preserve">Skupni odhodki Državnega odvetništva RS, ki so bili v letu 2025 realizirani v višini 18.889.156,42 evrov, predstavljajo 111,55 odstotka sprejetega oziroma 99,75 odstotkov veljavnega finančnega načrta. </w:t>
      </w:r>
    </w:p>
    <w:p w14:paraId="7D201E93" w14:textId="77777777" w:rsidR="00695AE2" w:rsidRPr="00503014" w:rsidRDefault="00695AE2" w:rsidP="00695AE2">
      <w:pPr>
        <w:autoSpaceDE w:val="0"/>
        <w:autoSpaceDN w:val="0"/>
        <w:adjustRightInd w:val="0"/>
        <w:spacing w:line="240" w:lineRule="auto"/>
        <w:jc w:val="both"/>
      </w:pPr>
    </w:p>
    <w:p w14:paraId="5441DB3F" w14:textId="77777777" w:rsidR="00695AE2" w:rsidRPr="00503014" w:rsidRDefault="00695AE2" w:rsidP="00695AE2">
      <w:pPr>
        <w:autoSpaceDE w:val="0"/>
        <w:autoSpaceDN w:val="0"/>
        <w:adjustRightInd w:val="0"/>
        <w:spacing w:line="240" w:lineRule="auto"/>
        <w:jc w:val="both"/>
      </w:pPr>
      <w:bookmarkStart w:id="198" w:name="_Hlk188951576"/>
      <w:r w:rsidRPr="00503014">
        <w:t>V strukturi odhodkov je največji delež pripadal zagotavljanju plač, dodatkov in drugih prejemkov ter prispevkov za zaposlene, ki skupaj predstavljajo 54,99 odstotka celotnih odhodkov.</w:t>
      </w:r>
    </w:p>
    <w:p w14:paraId="7D84F033" w14:textId="77777777" w:rsidR="00695AE2" w:rsidRPr="00503014" w:rsidRDefault="00695AE2" w:rsidP="00695AE2">
      <w:pPr>
        <w:autoSpaceDE w:val="0"/>
        <w:autoSpaceDN w:val="0"/>
        <w:adjustRightInd w:val="0"/>
        <w:spacing w:line="240" w:lineRule="auto"/>
        <w:jc w:val="both"/>
      </w:pPr>
    </w:p>
    <w:p w14:paraId="6FFFDF71" w14:textId="77777777" w:rsidR="00695AE2" w:rsidRPr="00503014" w:rsidRDefault="00695AE2" w:rsidP="00695AE2">
      <w:pPr>
        <w:autoSpaceDE w:val="0"/>
        <w:autoSpaceDN w:val="0"/>
        <w:adjustRightInd w:val="0"/>
        <w:spacing w:line="240" w:lineRule="auto"/>
        <w:jc w:val="both"/>
      </w:pPr>
      <w:r w:rsidRPr="00503014">
        <w:t>Materialni stroški predstavljajo 34,71 odstotni strukturni delež, odhodki za investicije in investicijsko vzdrževanje 0,62 odstotka, kar skupaj znaša 35,32 odstotka vseh odhodkov proračuna Državnega odvetništva RS.</w:t>
      </w:r>
    </w:p>
    <w:p w14:paraId="462BE943" w14:textId="77777777" w:rsidR="00695AE2" w:rsidRPr="00503014" w:rsidRDefault="00695AE2" w:rsidP="00695AE2">
      <w:pPr>
        <w:autoSpaceDE w:val="0"/>
        <w:autoSpaceDN w:val="0"/>
        <w:adjustRightInd w:val="0"/>
        <w:spacing w:line="240" w:lineRule="auto"/>
        <w:jc w:val="both"/>
      </w:pPr>
    </w:p>
    <w:p w14:paraId="1DA088E2" w14:textId="77777777" w:rsidR="00695AE2" w:rsidRPr="00503014" w:rsidRDefault="00695AE2" w:rsidP="00695AE2">
      <w:pPr>
        <w:autoSpaceDE w:val="0"/>
        <w:autoSpaceDN w:val="0"/>
        <w:adjustRightInd w:val="0"/>
        <w:spacing w:line="240" w:lineRule="auto"/>
        <w:jc w:val="both"/>
      </w:pPr>
      <w:r w:rsidRPr="00503014">
        <w:t>Odškodnine, ki so bile izplačane na osnovi sklenjenih poravnav in sodb sodišč, predstavljajo v letu 2025 9,69 odstotka celotne realizacije finančnega načrta</w:t>
      </w:r>
      <w:bookmarkEnd w:id="198"/>
      <w:r w:rsidRPr="00503014">
        <w:t>.</w:t>
      </w:r>
    </w:p>
    <w:p w14:paraId="245F906E" w14:textId="77777777" w:rsidR="00695AE2" w:rsidRPr="00503014" w:rsidRDefault="00695AE2" w:rsidP="00695AE2">
      <w:pPr>
        <w:autoSpaceDE w:val="0"/>
        <w:autoSpaceDN w:val="0"/>
        <w:adjustRightInd w:val="0"/>
        <w:spacing w:line="240" w:lineRule="auto"/>
        <w:jc w:val="both"/>
      </w:pPr>
      <w:r w:rsidRPr="00503014">
        <w:lastRenderedPageBreak/>
        <w:t>Podrobnejša analiza in razdelitev odhodkov po namenih je obravnavana v Letnem poročilu, ki  je del zaključnega računa za leto 2025.</w:t>
      </w:r>
    </w:p>
    <w:p w14:paraId="013498B1" w14:textId="77777777" w:rsidR="00695AE2" w:rsidRPr="00503014" w:rsidRDefault="00695AE2" w:rsidP="00695AE2">
      <w:pPr>
        <w:autoSpaceDE w:val="0"/>
        <w:autoSpaceDN w:val="0"/>
        <w:adjustRightInd w:val="0"/>
        <w:spacing w:line="240" w:lineRule="auto"/>
        <w:jc w:val="both"/>
        <w:rPr>
          <w:bCs/>
        </w:rPr>
      </w:pPr>
    </w:p>
    <w:p w14:paraId="59D271C6" w14:textId="77777777" w:rsidR="00695AE2" w:rsidRPr="00503014" w:rsidRDefault="00695AE2" w:rsidP="00695AE2">
      <w:pPr>
        <w:autoSpaceDE w:val="0"/>
        <w:autoSpaceDN w:val="0"/>
        <w:adjustRightInd w:val="0"/>
        <w:spacing w:line="240" w:lineRule="auto"/>
        <w:jc w:val="both"/>
      </w:pPr>
      <w:r w:rsidRPr="00503014">
        <w:t>Načrtovana sredstva so bila skoraj v celoti realizirana. Največji prihranki so nastali iz naslova odškodnin. Vsi prihranki finančnega načrta v letu 2025 so bili ob koncu leta razporejeni z ukrepom Vlade RS na Ministrstvo za zdravje za zagotovitev izvedbe enkratnega ukrepa za finančno stabilnost javnih zdravstvenih zavodov, katerih ustanovitelj je Republika Slovenija, ter na Ministrstvo za finance oziroma ZPIZ za zagotovitev izplačila zakonskih obveznosti.</w:t>
      </w:r>
    </w:p>
    <w:p w14:paraId="7963B0F6" w14:textId="77777777" w:rsidR="00695AE2" w:rsidRPr="00503014" w:rsidRDefault="00695AE2" w:rsidP="00695AE2">
      <w:pPr>
        <w:autoSpaceDE w:val="0"/>
        <w:autoSpaceDN w:val="0"/>
        <w:adjustRightInd w:val="0"/>
        <w:spacing w:line="240" w:lineRule="auto"/>
        <w:jc w:val="both"/>
        <w:rPr>
          <w:sz w:val="28"/>
          <w:szCs w:val="28"/>
        </w:rPr>
      </w:pPr>
    </w:p>
    <w:p w14:paraId="0088D897" w14:textId="77777777" w:rsidR="00695AE2" w:rsidRPr="00503014" w:rsidRDefault="00695AE2" w:rsidP="00695AE2">
      <w:pPr>
        <w:pStyle w:val="Naslov3"/>
        <w:ind w:left="0" w:firstLine="0"/>
      </w:pPr>
      <w:bookmarkStart w:id="199" w:name="_Toc223093776"/>
      <w:r w:rsidRPr="00503014">
        <w:t>Stroški zastopanja, priznani Državnemu odvetništvu RS s pravnomočnimi sodnimi odločbami</w:t>
      </w:r>
      <w:bookmarkStart w:id="200" w:name="_Toc160097166"/>
      <w:bookmarkEnd w:id="196"/>
      <w:bookmarkEnd w:id="197"/>
      <w:bookmarkEnd w:id="199"/>
    </w:p>
    <w:p w14:paraId="1CE9B8DA" w14:textId="77777777" w:rsidR="00695AE2" w:rsidRPr="00503014" w:rsidRDefault="00695AE2" w:rsidP="00695AE2">
      <w:pPr>
        <w:spacing w:line="240" w:lineRule="auto"/>
        <w:jc w:val="both"/>
        <w:rPr>
          <w:rFonts w:eastAsia="Calibri"/>
          <w:b/>
          <w:bCs/>
          <w:color w:val="007466"/>
          <w:sz w:val="28"/>
          <w:szCs w:val="28"/>
        </w:rPr>
      </w:pPr>
    </w:p>
    <w:p w14:paraId="4D654C2D" w14:textId="77777777" w:rsidR="00695AE2" w:rsidRPr="00503014" w:rsidRDefault="00695AE2" w:rsidP="00695AE2">
      <w:pPr>
        <w:spacing w:line="240" w:lineRule="auto"/>
        <w:jc w:val="both"/>
        <w:rPr>
          <w:rFonts w:eastAsia="Times New Roman"/>
          <w:color w:val="000000"/>
          <w:lang w:eastAsia="sl-SI"/>
        </w:rPr>
      </w:pPr>
      <w:r w:rsidRPr="00503014">
        <w:rPr>
          <w:rFonts w:eastAsia="Times New Roman"/>
          <w:color w:val="000000"/>
          <w:lang w:eastAsia="sl-SI"/>
        </w:rPr>
        <w:t xml:space="preserve">Med kratkoročne terjatve se v glavno knjigo računovodskega sistema MFERAC od leta 2014 dalje knjižijo tudi terjatve iz naslova stroškov zastopanja, ki so Državnemu odvetništvu RS priznani s pravnomočno sodno odločbo. S sodbami ali sklepi pravnomočno priznani stroški zastopanja so prihodek proračuna Republike Slovenije in jih </w:t>
      </w:r>
      <w:r w:rsidRPr="00503014">
        <w:rPr>
          <w:rFonts w:eastAsia="Times New Roman"/>
          <w:lang w:eastAsia="sl-SI"/>
        </w:rPr>
        <w:t>Državno odvetništvo RS, ki nastopa v funkciji nadzornika prehodnega podračuna 845, odprtega pri UJP, prenakaže v proračun v skladu s Pravilnikom o plačevanju in razporejanju obveznih dajatev in drugih javnofinančnih prihodkov.</w:t>
      </w:r>
      <w:r w:rsidRPr="00503014">
        <w:rPr>
          <w:rFonts w:eastAsia="Times New Roman"/>
          <w:color w:val="000000"/>
          <w:lang w:eastAsia="sl-SI"/>
        </w:rPr>
        <w:t xml:space="preserve"> </w:t>
      </w:r>
    </w:p>
    <w:p w14:paraId="42283C8B" w14:textId="77777777" w:rsidR="00695AE2" w:rsidRPr="00503014" w:rsidRDefault="00695AE2" w:rsidP="00695AE2">
      <w:pPr>
        <w:spacing w:line="240" w:lineRule="auto"/>
        <w:jc w:val="both"/>
        <w:rPr>
          <w:rFonts w:eastAsia="Times New Roman"/>
          <w:b/>
          <w:color w:val="000000"/>
          <w:lang w:eastAsia="sl-SI"/>
        </w:rPr>
      </w:pPr>
    </w:p>
    <w:p w14:paraId="1CA768BB" w14:textId="77777777" w:rsidR="00695AE2" w:rsidRPr="00503014" w:rsidRDefault="00695AE2" w:rsidP="00695AE2">
      <w:pPr>
        <w:shd w:val="clear" w:color="auto" w:fill="FFFFFF"/>
        <w:spacing w:line="240" w:lineRule="auto"/>
        <w:jc w:val="both"/>
        <w:rPr>
          <w:rFonts w:eastAsia="Times New Roman"/>
          <w:lang w:eastAsia="sl-SI"/>
        </w:rPr>
      </w:pPr>
      <w:r w:rsidRPr="00503014">
        <w:rPr>
          <w:rFonts w:eastAsia="Times New Roman"/>
          <w:lang w:eastAsia="sl-SI"/>
        </w:rPr>
        <w:t>Na sedežu Državnega odvetništva RS v Ljubljani deluje Pisarna za vodenje obveznosti iz naslova sodno priznanih stroškov zastopanja, priznanih Državnemu odvetništvu RS s pravnomočnimi sodnimi odločbami, ki zagotavlja natančno sledenje vsem finančnim vidikom, povezanim s priznanimi stroški zastopanja, in njihovo urejanje, sledenje priznanim stroškom zastopanja v skladu z zakonodajo in njihovo evidentiranje, upravljanje dokumentacije in podatkov v zvezi s stroški postopka, izterjavo priznanih stroškov zastopanja od dolžnikov, hkrati pa deluje kot svetovalna in informacijska podpora sodelavcem v zvezi s stroški postopka.</w:t>
      </w:r>
    </w:p>
    <w:p w14:paraId="5D69854E" w14:textId="77777777" w:rsidR="00695AE2" w:rsidRPr="00503014" w:rsidRDefault="00695AE2" w:rsidP="00695AE2">
      <w:pPr>
        <w:shd w:val="clear" w:color="auto" w:fill="FFFFFF"/>
        <w:spacing w:line="240" w:lineRule="auto"/>
        <w:jc w:val="both"/>
        <w:rPr>
          <w:rFonts w:eastAsia="Times New Roman"/>
          <w:lang w:eastAsia="sl-SI"/>
        </w:rPr>
      </w:pPr>
    </w:p>
    <w:p w14:paraId="342BE418" w14:textId="77777777" w:rsidR="00695AE2" w:rsidRPr="00503014" w:rsidRDefault="00695AE2" w:rsidP="00695AE2">
      <w:pPr>
        <w:spacing w:line="240" w:lineRule="auto"/>
        <w:jc w:val="both"/>
        <w:rPr>
          <w:rFonts w:eastAsia="Times New Roman"/>
          <w:sz w:val="16"/>
          <w:lang w:eastAsia="sl-SI"/>
        </w:rPr>
      </w:pPr>
      <w:r w:rsidRPr="00503014">
        <w:rPr>
          <w:color w:val="000000"/>
        </w:rPr>
        <w:t>Državno odvetništvo RS je v letu 2025 iz naslova priznanih stroškov zastopanja odvedlo v proračun za 777.239,23 evrov prihodkov, znesek odprtih terjatev v bilanci stanja Državnega odvetništva RS pa je konec leta 2025 znašal 2.517.805,93.</w:t>
      </w:r>
      <w:r w:rsidRPr="00503014">
        <w:rPr>
          <w:b/>
          <w:color w:val="000000"/>
        </w:rPr>
        <w:t xml:space="preserve"> </w:t>
      </w:r>
    </w:p>
    <w:p w14:paraId="12DA2FA2" w14:textId="77777777" w:rsidR="00695AE2" w:rsidRPr="00503014" w:rsidRDefault="00695AE2" w:rsidP="00695AE2">
      <w:pPr>
        <w:spacing w:line="240" w:lineRule="auto"/>
        <w:rPr>
          <w:rFonts w:eastAsia="Calibri"/>
          <w:sz w:val="28"/>
          <w:szCs w:val="28"/>
        </w:rPr>
      </w:pPr>
    </w:p>
    <w:p w14:paraId="57621532" w14:textId="77777777" w:rsidR="00695AE2" w:rsidRPr="00503014" w:rsidRDefault="00695AE2" w:rsidP="00695AE2">
      <w:pPr>
        <w:pStyle w:val="Naslov3"/>
      </w:pPr>
      <w:bookmarkStart w:id="201" w:name="_Toc191561782"/>
      <w:bookmarkStart w:id="202" w:name="_Toc223093777"/>
      <w:r w:rsidRPr="00503014">
        <w:t>Notranja revizija</w:t>
      </w:r>
      <w:bookmarkEnd w:id="200"/>
      <w:bookmarkEnd w:id="201"/>
      <w:bookmarkEnd w:id="202"/>
      <w:r w:rsidRPr="00503014">
        <w:t xml:space="preserve"> </w:t>
      </w:r>
    </w:p>
    <w:p w14:paraId="68D3F39B" w14:textId="77777777" w:rsidR="00695AE2" w:rsidRPr="00503014" w:rsidRDefault="00695AE2" w:rsidP="00695AE2">
      <w:pPr>
        <w:tabs>
          <w:tab w:val="left" w:pos="1440"/>
        </w:tabs>
        <w:spacing w:line="240" w:lineRule="auto"/>
        <w:jc w:val="both"/>
        <w:rPr>
          <w:rFonts w:eastAsia="Calibri"/>
          <w:sz w:val="28"/>
          <w:szCs w:val="28"/>
        </w:rPr>
      </w:pPr>
    </w:p>
    <w:p w14:paraId="26357659" w14:textId="77777777" w:rsidR="00695AE2" w:rsidRPr="00503014" w:rsidRDefault="00695AE2" w:rsidP="00695AE2">
      <w:pPr>
        <w:spacing w:line="240" w:lineRule="auto"/>
        <w:jc w:val="both"/>
      </w:pPr>
      <w:bookmarkStart w:id="203" w:name="_Hlk189132572"/>
      <w:r w:rsidRPr="00503014">
        <w:t xml:space="preserve">V letu 2025 je bila izvedena notranja revizija poslovanja Državnega odvetništva RS za leto 2023. Revizijo je izvedlo podjetje </w:t>
      </w:r>
      <w:r w:rsidRPr="00503014">
        <w:rPr>
          <w:i/>
          <w:iCs/>
        </w:rPr>
        <w:t>REVIDIKUM notranja revizija, računovodstvo, svetovanje, izobraževanje d.o.o.</w:t>
      </w:r>
      <w:r w:rsidRPr="00503014">
        <w:t xml:space="preserve">, ki je vpisano na seznam izvajalcev notranje revizijskih storitev za proračunske uporabnike. </w:t>
      </w:r>
    </w:p>
    <w:p w14:paraId="6C0A0387" w14:textId="77777777" w:rsidR="00695AE2" w:rsidRPr="00503014" w:rsidRDefault="00695AE2" w:rsidP="00695AE2">
      <w:pPr>
        <w:spacing w:line="240" w:lineRule="auto"/>
        <w:jc w:val="both"/>
      </w:pPr>
    </w:p>
    <w:p w14:paraId="57365205" w14:textId="77777777" w:rsidR="00695AE2" w:rsidRPr="00503014" w:rsidRDefault="00695AE2" w:rsidP="00695AE2">
      <w:pPr>
        <w:spacing w:line="240" w:lineRule="auto"/>
        <w:jc w:val="both"/>
      </w:pPr>
      <w:r w:rsidRPr="00503014">
        <w:t xml:space="preserve">V okviru redne notranje revizije za leto 2023 je bila opravljena presoja o ustreznosti poslovanja v delu, ki se nanaša na obravnavo vodenja GSM aparatov oziroma pametnih telefonov v evidencah in glavni knjigi Državnega odvetništva RS, izvajanje pravočasnosti evidentiranja poslovnih dogodkov v postopkih zaključevanja poslovnih knjig ter izvajanja notranje kontrole. </w:t>
      </w:r>
    </w:p>
    <w:p w14:paraId="59F56CF2" w14:textId="77777777" w:rsidR="00695AE2" w:rsidRPr="00503014" w:rsidRDefault="00695AE2" w:rsidP="00695AE2">
      <w:pPr>
        <w:spacing w:line="240" w:lineRule="auto"/>
        <w:jc w:val="both"/>
      </w:pPr>
    </w:p>
    <w:p w14:paraId="376165AB" w14:textId="77777777" w:rsidR="00695AE2" w:rsidRPr="00503014" w:rsidRDefault="00695AE2" w:rsidP="00695AE2">
      <w:pPr>
        <w:spacing w:line="240" w:lineRule="auto"/>
        <w:jc w:val="both"/>
      </w:pPr>
      <w:r w:rsidRPr="00503014">
        <w:t xml:space="preserve">Revizija je potrdila, da so notranje kontrole pri Državnem odvetništvu RS ustrezno vzpostavljene in omogočajo pravilno ter pravočasno evidentiranje poslovnih dogodkov v </w:t>
      </w:r>
      <w:r w:rsidRPr="00503014">
        <w:lastRenderedPageBreak/>
        <w:t>postopkih zaključevanja poslovnih knjig</w:t>
      </w:r>
      <w:bookmarkEnd w:id="203"/>
      <w:r w:rsidRPr="00503014">
        <w:t xml:space="preserve"> in pomanjkljivosti v delovanju notranjih kontrol ni zaznala. Obravnava GSM aparatov v preteklih letih je skladna s takrat veljavno razvrstitvijo osnovnih sredstev in predpisanimi amortizacijskimi stopnjami. Za nove nabave je uporaba prakse evidentiranja GSM aparatov kot drobnega inventarja z vrednostnim izločanjem ob nabavi, skladna z uveljavljeno prakso proračunskih uporabnikov.</w:t>
      </w:r>
    </w:p>
    <w:p w14:paraId="2E861E39" w14:textId="77777777" w:rsidR="00695AE2" w:rsidRPr="00503014" w:rsidRDefault="00695AE2" w:rsidP="00695AE2">
      <w:pPr>
        <w:spacing w:line="240" w:lineRule="auto"/>
        <w:jc w:val="both"/>
        <w:rPr>
          <w:rFonts w:eastAsia="Times New Roman"/>
          <w:sz w:val="28"/>
          <w:szCs w:val="28"/>
          <w:lang w:eastAsia="sl-SI"/>
        </w:rPr>
      </w:pPr>
    </w:p>
    <w:p w14:paraId="6A424706" w14:textId="77777777" w:rsidR="00695AE2" w:rsidRPr="00503014" w:rsidRDefault="00695AE2" w:rsidP="00695AE2">
      <w:pPr>
        <w:pStyle w:val="Naslov3"/>
        <w:ind w:left="0" w:firstLine="0"/>
      </w:pPr>
      <w:bookmarkStart w:id="204" w:name="_Toc160097167"/>
      <w:bookmarkStart w:id="205" w:name="_Toc191561783"/>
      <w:bookmarkStart w:id="206" w:name="_Toc223093778"/>
      <w:r w:rsidRPr="00503014">
        <w:t>Seznanjanje Vlade Republike Slovenije s sodnimi postopki, ki utegnejo imeti posledice za javno-finančna sredstva</w:t>
      </w:r>
      <w:bookmarkEnd w:id="204"/>
      <w:bookmarkEnd w:id="205"/>
      <w:bookmarkEnd w:id="206"/>
    </w:p>
    <w:p w14:paraId="0BAB949D" w14:textId="77777777" w:rsidR="00695AE2" w:rsidRPr="00503014" w:rsidRDefault="00695AE2" w:rsidP="00695AE2">
      <w:pPr>
        <w:spacing w:line="240" w:lineRule="auto"/>
        <w:jc w:val="both"/>
        <w:rPr>
          <w:rFonts w:eastAsia="Calibri"/>
          <w:sz w:val="28"/>
          <w:szCs w:val="28"/>
        </w:rPr>
      </w:pPr>
    </w:p>
    <w:p w14:paraId="5070FFEF" w14:textId="77777777" w:rsidR="00695AE2" w:rsidRPr="00503014" w:rsidRDefault="00695AE2" w:rsidP="00695AE2">
      <w:pPr>
        <w:spacing w:line="240" w:lineRule="auto"/>
        <w:jc w:val="both"/>
        <w:rPr>
          <w:rFonts w:eastAsia="Calibri"/>
        </w:rPr>
      </w:pPr>
      <w:r w:rsidRPr="00503014">
        <w:rPr>
          <w:rFonts w:eastAsia="Calibri"/>
        </w:rPr>
        <w:t xml:space="preserve">Državno odvetništvo RS je bilo s sklepom Vlade RS št. 41003-1/2016/2 iz januarja 2016 in s sklepom Vlade RS št. 71100-4/2016/10 iz decembra 2016 zadolženo, da Ministrstvu za finance dvakrat letno poroča o odprtih sodnih, izvensodnih, arbitražnih in drugih postopkih, ki pomenijo finančna tveganja za državo oziroma so zahtevki ovrednoteni nad 1 milijon evrov. </w:t>
      </w:r>
    </w:p>
    <w:p w14:paraId="1A1756CF" w14:textId="77777777" w:rsidR="00695AE2" w:rsidRPr="00503014" w:rsidRDefault="00695AE2" w:rsidP="00695AE2">
      <w:pPr>
        <w:spacing w:line="240" w:lineRule="auto"/>
        <w:jc w:val="both"/>
        <w:rPr>
          <w:rFonts w:eastAsia="Calibri"/>
        </w:rPr>
      </w:pPr>
    </w:p>
    <w:p w14:paraId="0C69F4A8" w14:textId="77777777" w:rsidR="00695AE2" w:rsidRPr="00503014" w:rsidRDefault="00695AE2" w:rsidP="00695AE2">
      <w:pPr>
        <w:spacing w:line="240" w:lineRule="auto"/>
        <w:jc w:val="both"/>
        <w:rPr>
          <w:rFonts w:eastAsia="Calibri"/>
        </w:rPr>
      </w:pPr>
      <w:r w:rsidRPr="00503014">
        <w:rPr>
          <w:rFonts w:eastAsia="Calibri"/>
        </w:rPr>
        <w:t xml:space="preserve">Državno odvetništvo RS za potrebe poročanja preveri vse prejete zadeve in zadeve v delu ter je njihova vrednost nad 1 milijon evrov in pripravi poročilo o vsaki zadevi posebej. Državno odvetništvo RS pripravi tudi poročilo o zaključenih zadevah, ki vsebuje tudi pojasnilo o načinu zaključka zadeve. </w:t>
      </w:r>
    </w:p>
    <w:p w14:paraId="57DB8003" w14:textId="77777777" w:rsidR="00695AE2" w:rsidRPr="00503014" w:rsidRDefault="00695AE2" w:rsidP="00695AE2">
      <w:pPr>
        <w:spacing w:line="240" w:lineRule="auto"/>
        <w:jc w:val="both"/>
        <w:rPr>
          <w:rFonts w:eastAsia="Calibri"/>
        </w:rPr>
      </w:pPr>
    </w:p>
    <w:p w14:paraId="1ACAC8A9" w14:textId="77777777" w:rsidR="00695AE2" w:rsidRPr="00503014" w:rsidRDefault="00695AE2" w:rsidP="00695AE2">
      <w:pPr>
        <w:spacing w:line="240" w:lineRule="auto"/>
        <w:jc w:val="both"/>
        <w:rPr>
          <w:rFonts w:eastAsia="Calibri"/>
        </w:rPr>
      </w:pPr>
      <w:r w:rsidRPr="00503014">
        <w:rPr>
          <w:rFonts w:eastAsia="Calibri"/>
        </w:rPr>
        <w:t xml:space="preserve">Na zaprosilo Ministrstva za finance Državno odvetništvo RS večkrat letno posodablja »prospekt« s podatki o odprtih civilno-gospodarskih zadevah (skupnem številu in vrednosti zadev) in s podatki o posameznih odprtih zadevah, katerih zahtevana vrednost presega 100 milijonov evrov. </w:t>
      </w:r>
    </w:p>
    <w:p w14:paraId="7080BF80" w14:textId="77777777" w:rsidR="00695AE2" w:rsidRPr="00503014" w:rsidRDefault="00695AE2" w:rsidP="00695AE2">
      <w:pPr>
        <w:spacing w:line="240" w:lineRule="auto"/>
        <w:jc w:val="both"/>
        <w:rPr>
          <w:rFonts w:eastAsia="Calibri"/>
        </w:rPr>
      </w:pPr>
    </w:p>
    <w:p w14:paraId="163F95FA" w14:textId="77777777" w:rsidR="00695AE2" w:rsidRPr="00503014" w:rsidRDefault="00695AE2" w:rsidP="00695AE2">
      <w:pPr>
        <w:spacing w:line="240" w:lineRule="auto"/>
        <w:jc w:val="both"/>
        <w:rPr>
          <w:rFonts w:eastAsia="Calibri"/>
        </w:rPr>
      </w:pPr>
      <w:r w:rsidRPr="00503014">
        <w:rPr>
          <w:rFonts w:eastAsia="Calibri"/>
        </w:rPr>
        <w:t xml:space="preserve">V okviru procesa izdaje ali odkupa obveznic generalni državni odvetnik na zaprosilo Ministrstva za finance izda potrdilo pri nastanku finančnih obveznosti Republike Slovenije pri vplačilu delnic v delniški kapital EBRD, pri prevzemu poroštev Republike Slovenije pri EIB itd. S potrdilom se izkazuje, da so izpolnjena vsa potrebna dejanja, da lahko država zakonito podpiše listino, uveljavlja pravice, ki izhajajo iz nje in izpolni obveznosti, ki bodo s tem nastale, da so sprejeti vsi zakonodajni ukrepi in da je prevzem obveznosti skladen s pravom Republike Slovenije. </w:t>
      </w:r>
    </w:p>
    <w:p w14:paraId="206950B1" w14:textId="77777777" w:rsidR="00695AE2" w:rsidRPr="00612ACB" w:rsidRDefault="00695AE2" w:rsidP="00695AE2">
      <w:pPr>
        <w:pStyle w:val="Jasna"/>
        <w:rPr>
          <w:sz w:val="28"/>
          <w:szCs w:val="28"/>
        </w:rPr>
      </w:pPr>
    </w:p>
    <w:p w14:paraId="03496AF9" w14:textId="77777777" w:rsidR="00695AE2" w:rsidRPr="00503014" w:rsidRDefault="00695AE2" w:rsidP="00695AE2">
      <w:pPr>
        <w:pStyle w:val="Naslov3"/>
      </w:pPr>
      <w:bookmarkStart w:id="207" w:name="_Toc160097168"/>
      <w:bookmarkStart w:id="208" w:name="_Toc191561784"/>
      <w:bookmarkStart w:id="209" w:name="_Toc223093779"/>
      <w:r w:rsidRPr="00503014">
        <w:t>Odškodnine, naložene v breme Republike Slovenije v letu 202</w:t>
      </w:r>
      <w:bookmarkEnd w:id="207"/>
      <w:bookmarkEnd w:id="208"/>
      <w:r w:rsidRPr="00503014">
        <w:t>5</w:t>
      </w:r>
      <w:bookmarkEnd w:id="209"/>
    </w:p>
    <w:p w14:paraId="32998FAD" w14:textId="77777777" w:rsidR="00695AE2" w:rsidRPr="00503014" w:rsidRDefault="00695AE2" w:rsidP="00695AE2">
      <w:pPr>
        <w:tabs>
          <w:tab w:val="left" w:pos="1620"/>
        </w:tabs>
        <w:spacing w:line="240" w:lineRule="auto"/>
        <w:jc w:val="both"/>
        <w:rPr>
          <w:rFonts w:eastAsia="Calibri"/>
          <w:sz w:val="28"/>
          <w:szCs w:val="28"/>
        </w:rPr>
      </w:pPr>
    </w:p>
    <w:p w14:paraId="4829A2B0" w14:textId="77777777" w:rsidR="00695AE2" w:rsidRPr="00503014" w:rsidRDefault="00695AE2" w:rsidP="00695AE2">
      <w:pPr>
        <w:tabs>
          <w:tab w:val="left" w:pos="1620"/>
        </w:tabs>
        <w:spacing w:line="240" w:lineRule="auto"/>
        <w:jc w:val="both"/>
        <w:rPr>
          <w:rFonts w:eastAsia="Calibri"/>
        </w:rPr>
      </w:pPr>
      <w:r w:rsidRPr="00503014">
        <w:rPr>
          <w:rFonts w:eastAsia="Calibri"/>
        </w:rPr>
        <w:t>Zoper Republiko Slovenijo se zaradi izplačila odškodnin na podlagi različnih pravnih temeljev vodijo številni bodisi predhodni postopki mirne rešitve spornega razmerja na podlagi določb ZDOdv bodisi sodni postopki na podlagi vložene tožbe zoper Republiko Slovenijo. Zaradi lažjega spremljanja zadev s podobno ali enakovrstno pravno podlago Državno odvetništvo RS prejete zadeve razvršča v različne skupine zadev in vsaki novi zadevi po pregledu vsebine zahtevka za mirno rešitev spora oziroma vsebine tožbe določi temelj.</w:t>
      </w:r>
    </w:p>
    <w:p w14:paraId="00530552" w14:textId="77777777" w:rsidR="00695AE2" w:rsidRPr="00503014" w:rsidRDefault="00695AE2" w:rsidP="00695AE2">
      <w:pPr>
        <w:tabs>
          <w:tab w:val="left" w:pos="1620"/>
        </w:tabs>
        <w:spacing w:line="240" w:lineRule="auto"/>
        <w:jc w:val="both"/>
        <w:rPr>
          <w:rFonts w:eastAsia="Calibri"/>
        </w:rPr>
      </w:pPr>
    </w:p>
    <w:p w14:paraId="0BFFC3EE" w14:textId="77777777" w:rsidR="00695AE2" w:rsidRPr="00503014" w:rsidRDefault="00695AE2" w:rsidP="00695AE2">
      <w:pPr>
        <w:tabs>
          <w:tab w:val="left" w:pos="1620"/>
        </w:tabs>
        <w:spacing w:line="240" w:lineRule="auto"/>
        <w:jc w:val="both"/>
        <w:rPr>
          <w:rFonts w:eastAsia="Calibri"/>
        </w:rPr>
      </w:pPr>
      <w:r w:rsidRPr="00503014">
        <w:rPr>
          <w:rFonts w:eastAsia="Calibri"/>
        </w:rPr>
        <w:t>Zadeve, ki se kakor koli nanašajo na odškodninsko odgovornost države, so po posameznih temeljih lahko:</w:t>
      </w:r>
    </w:p>
    <w:p w14:paraId="6E0C2A39" w14:textId="77777777" w:rsidR="00695AE2" w:rsidRPr="00503014" w:rsidRDefault="00695AE2" w:rsidP="00695AE2">
      <w:pPr>
        <w:tabs>
          <w:tab w:val="left" w:pos="1620"/>
        </w:tabs>
        <w:spacing w:line="240" w:lineRule="auto"/>
        <w:jc w:val="both"/>
        <w:rPr>
          <w:rFonts w:eastAsia="Calibri"/>
        </w:rPr>
      </w:pPr>
    </w:p>
    <w:p w14:paraId="63BCADBA"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lastRenderedPageBreak/>
        <w:t>protipravno ravnanje policije: zahtevek za povrnitev škode, ki naj bi nastala zaradi prekoračitve pooblastil policista (na primer plačilo odškodnine zaradi poškodb, nezakonit vstop v stanovanje, opustitev ravnanja ipd.);</w:t>
      </w:r>
    </w:p>
    <w:p w14:paraId="5861B22E"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protipravno ravnanje zavodov za izvrševanje kazenskih sankcij: zahtevek za povrnitev škode, ki naj bi zaporniku ali priporniku nastala v zavodu za prestajanje kazni zapora (na primer neustrezno ravnanje pravosodnih policistov v zaporih, pri prevozu zapornikov oziroma pripornikov, tudi zahtevek zapornika za povrnitev škode, ki mu jo je v ZPKZ povzročil drug zapornik ali pripornik, ipd.);</w:t>
      </w:r>
    </w:p>
    <w:p w14:paraId="36FD60FC"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zaporniki in priporniki – razmere za bivanje: zahtevek zapornikov oziroma pripornikov zaradi neustreznih razmer za bivanje v ZPKZ;</w:t>
      </w:r>
    </w:p>
    <w:p w14:paraId="317E67F5"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protipravno ravnanje sodišča: zahtevek za plačilo odškodnine za škodo, ki naj bi nastala zaradi protipravnega ravnanja ali opustitve ravnanja sodišča;</w:t>
      </w:r>
    </w:p>
    <w:p w14:paraId="5966F59F"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protipravno ravnanje tožilstva: zahtevek za plačilo odškodnine za škodo, ki naj bi nastala zaradi protipravnega ravnanja ali opustitve ravnanja tožilstva;</w:t>
      </w:r>
    </w:p>
    <w:p w14:paraId="5DE9C9E0"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protipravno ravnanje državnih organov: zahtevek za plačilo odškodnine za škodo, ki naj bi nastala zaradi protipravnega ravnanja ali opustitve ravnanja državnih organov, na primer vlade, ministrstev in njihovih organov v sestavi, kot so inšpektorati, finančni uradi ipd.;</w:t>
      </w:r>
    </w:p>
    <w:p w14:paraId="6CF26C8A"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zakonodajna protipravnost: zahtevek za plačilo odškodnine za škodo, ki naj bi nastala, ker država nekega področja ni ustrezno pravno uredila, ni upoštevala odločbe ustavnega sodišča, ni prenesla evropske direktive ipd.;</w:t>
      </w:r>
    </w:p>
    <w:p w14:paraId="2B3AE5FE"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cestne škode: zahtevek za plačilo odškodnine za škodo, ki naj bi tožniku nastala na državni cesti, državni kolesarski poti ipd. (kamen na cesti, padanje kamenja z brežine, manjkajoč prometni znak ipd.);</w:t>
      </w:r>
    </w:p>
    <w:p w14:paraId="0D95FE7E"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imisije – CPB: zahtevki za odstranitev vzroka imisije in/ali plačilo odškodnine zaradi imisij (hrup, smrad, tresljaji ipd.) stanovalcev, živečih na Cesti proletarskih brigad (CPB) v Mariboru;</w:t>
      </w:r>
    </w:p>
    <w:p w14:paraId="4E50EA9C"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imisije – cesta R1-210: zahtevki za odstranitev vzroka imisije in/ali plačilo odškodnine zaradi imisij (hrup, smrad, tresljaji ipd.) stanovalcev, živečih ob državni cesti z oznako R1-210;</w:t>
      </w:r>
    </w:p>
    <w:p w14:paraId="11453D6A"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imisije – železnica: zahtevki za odstranitev vzroka imisije in/ali plačilo odškodnine zaradi imisij (hrup, smrad, tresljaji ipd.) zaradi železnic oziroma železniškega prometa;</w:t>
      </w:r>
    </w:p>
    <w:p w14:paraId="2851BDB6"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imisije – drugo: zahtevki za odstranitev vzroka imisije in/ali plačilo odškodnine zaradi imisij (hrup, smrad, tresljaji ipd.) pri oziroma ob avtocestah, državnih cestah, državnih gradnjah; ta temelj se določi tudi zahtevkom nasprotne stranke, ki od Republike Slovenije zahteva postavitev protihrupne ograje ali plačilo tovrstnih stroškov, če je ograjo postavila sama, ipd.;</w:t>
      </w:r>
    </w:p>
    <w:p w14:paraId="62E7BD6A"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nevročene oporoke: zahtevki dedičev, ki jim sodišče ni vročilo oporoke, deponirane v sodni hrambi;</w:t>
      </w:r>
    </w:p>
    <w:p w14:paraId="6F5A8497"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poškodba med služenjem vojaškega roka: zahtevki oškodovancev za povračilo škode, ki jim je nastala zaradi poškodbe pri služenju vojaškega roka;</w:t>
      </w:r>
    </w:p>
    <w:p w14:paraId="7E9D8312"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izbris delnic in obveznic: zahtevek za povračilo škode, nastale zaradi izbrisa delnic in obveznic na podlagi izrednih ukrepov Banke Slovenije;</w:t>
      </w:r>
    </w:p>
    <w:p w14:paraId="7BBA513B"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objektivna odškodninska odgovornost države: zahtevki zoper Republiko Slovenijo zaradi povračila škode, ki je nastala zato, ker je Republika Slovenija imetnik nevarne stvari ali upravljavec nevarne dejavnosti;</w:t>
      </w:r>
    </w:p>
    <w:p w14:paraId="35CB42D7"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lastRenderedPageBreak/>
        <w:t>odškodnina zaradi ukrepov po Zakonu o nadzoru državne meje: zahtevki lastnikov zemljišč ali drugih vlagateljev, ki zahtevajo povrnitev škode, ki naj bi jim nastala zaradi postavitve ograje ali drugih tehničnih ovir na državni meji;</w:t>
      </w:r>
    </w:p>
    <w:p w14:paraId="51CFF611"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zaradi škode, ki jo povzročijo divje živali: zahtevki za plačilo odškodnine za materialno škodo, ki jo na premoženju fizičnih in pravnih oseb (na primer kmetijskih in gozdnih kulturah ter na (domačih) živalih, denimo tudi v čebelarstvu) povzročijo divjad in zavarovane vrste prostoživečih živali (na primer medved, volk, ris idr.); v ta temelj se uvrščajo tudi odškodninski zahtevki za nepremoženjsko škodo, ki jo človeku povzroči zavarovana prostoživeča živalska vrsta (na primer napad medveda na človeka, trk divjadi z vozilom ipd.);</w:t>
      </w:r>
    </w:p>
    <w:p w14:paraId="321FBA5A"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po drugem odstavku 72. člena ZDen: zahtevek za plačilo odškodnine zaradi izgubljenega dobička zaradi neuporabe nacionaliziranega premoženja od uveljavitve Zakona o denacionalizaciji do pravnomočne odločbe, s katero se je premoženje vračalo v naravi;</w:t>
      </w:r>
    </w:p>
    <w:p w14:paraId="063CCFD0"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ZZZS – povrnitev škode/regres: zahtevek za povrnitev škode (stroškov zdravstvenih storitev in drugih storitev ter zneskov denarnih nadomestil in drugih dajatev, ki jih plačuje ZZZS) od Republike Slovenije kot delodajalca, ker je bila bolezen, poškodba ali smrt zavarovane osebe posledica opustitve higiensko-sanitarnih ukrepov, ukrepov varstva pri delu ipd. (87. člen Zakona o zdravstvenem varstvu in zdravstvenem zavarovanju; ZZVZZ);</w:t>
      </w:r>
    </w:p>
    <w:p w14:paraId="65FD0C1E"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neutemeljeni pripor: zahtevek na podlagi XXXII. poglavja ZKP; do odškodnine je upravičen tisti, ki je bil v priporu:</w:t>
      </w:r>
    </w:p>
    <w:p w14:paraId="37C6C586"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vendar zoper njega ni bil uveden kazenski postopek;</w:t>
      </w:r>
    </w:p>
    <w:p w14:paraId="5F946B5D"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 xml:space="preserve">ali je bila s pravnomočnim sklepom obtožnica zavržena; </w:t>
      </w:r>
    </w:p>
    <w:p w14:paraId="5BE7A5C7"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ali je bil postopek ustavljen;</w:t>
      </w:r>
    </w:p>
    <w:p w14:paraId="60CF98B6"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 xml:space="preserve">ali je bil s pravnomočno sodbo oproščen obtožbe; </w:t>
      </w:r>
    </w:p>
    <w:p w14:paraId="17225AA8"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 xml:space="preserve">ali je bila obtožba zavrnjena; </w:t>
      </w:r>
    </w:p>
    <w:p w14:paraId="1BFC9F06"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ali je prebil v priporu več časa, kot traja zapor, na katerega je bil obsojen;</w:t>
      </w:r>
    </w:p>
    <w:p w14:paraId="456D614D"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 xml:space="preserve">neutemeljeni zapor: zahtevek na podlagi XXXII. poglavja ZKP; uveljavlja ga, kdor je prestajal prostostno kazen, v zvezi z obnovo kazenskega postopka ali z zahtevo za varstvo zakonitosti: </w:t>
      </w:r>
    </w:p>
    <w:p w14:paraId="103AA2B0"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pa mu je bila izrečena krajša prostostna kazen, kot jo je že prestal;</w:t>
      </w:r>
    </w:p>
    <w:p w14:paraId="347FFA01"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ali mu je bila izrečena kazenska sankcija, ki ni bila odvzem prostosti;</w:t>
      </w:r>
    </w:p>
    <w:p w14:paraId="2CA6B774"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ali je bil spoznan za krivega, pa mu je bila odpuščena kazen;</w:t>
      </w:r>
    </w:p>
    <w:p w14:paraId="12D8B4BC"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ali je bil v ponovljenem postopku kazenski postopek ustavljen;</w:t>
      </w:r>
    </w:p>
    <w:p w14:paraId="1E9A50BD"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 xml:space="preserve">ali pa je bil v ponovljenem postopku oproščen obtožbe; </w:t>
      </w:r>
    </w:p>
    <w:p w14:paraId="21181E3B"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nezakoniti odvzem prostosti: zahtevek na podlagi XXXII. poglavja ZKP, natančneje 3. točke prvega odstavka 542. člena ZKP; do odškodnine je upravičen tisti, ki je bil zaradi napake ali nezakonitega dela organa neutemeljeno ali predolgo priprt ali v zaporu;</w:t>
      </w:r>
    </w:p>
    <w:p w14:paraId="354C806C"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pridržanje po ZKP: zahtevek na podlagi 157. člena ZKP ali kadar kasneje ni odrejen pripor ali zapor;</w:t>
      </w:r>
    </w:p>
    <w:p w14:paraId="52E7718C"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pridržanje in neutemeljeni odvzem prostosti po Zakonu o prekrških (ZP-1): zahtevek na podlagi 195. člena ZP-1; do odškodnine je upravičen:</w:t>
      </w:r>
    </w:p>
    <w:p w14:paraId="13FBD82F" w14:textId="77777777" w:rsidR="00695AE2" w:rsidRPr="00503014" w:rsidRDefault="00695AE2" w:rsidP="00695AE2">
      <w:pPr>
        <w:numPr>
          <w:ilvl w:val="0"/>
          <w:numId w:val="37"/>
        </w:numPr>
        <w:spacing w:line="240" w:lineRule="auto"/>
        <w:jc w:val="both"/>
        <w:rPr>
          <w:rFonts w:eastAsia="Calibri"/>
          <w:bCs/>
        </w:rPr>
      </w:pPr>
      <w:r w:rsidRPr="00503014">
        <w:rPr>
          <w:rFonts w:eastAsia="Calibri"/>
          <w:bCs/>
        </w:rPr>
        <w:t>kdor je bil pridržan, ni pa bil zoper njega začet postopek o prekršku ali je bil ta postopek pravnomočno ustavljen;</w:t>
      </w:r>
    </w:p>
    <w:p w14:paraId="3FA15220"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lastRenderedPageBreak/>
        <w:t>komur je bila zaradi napake ali nezakonitega dela sodišča kakor koli neutemeljeno vzeta prostost;</w:t>
      </w:r>
    </w:p>
    <w:p w14:paraId="2AD8614E"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pogojna obsodba: zahtevek na podlagi XXXII. poglavja ZKP; uveljavlja ga tisti, ki mu je bila pravnomočno pogojno izrečena kazenska sankcija (ki pa ni odvzem prostosti) ali je bil spoznan za krivega, pa mu je bila odpuščena kazen, pozneje pa je bil v zvezi z izrednim pravnim sredstvom novi postopek pravnomočno ustavljen ali je bil s pravnomočno sodbo oproščen obtožbe ali je bila obtožba zoper njega zavrnjena ali je bila s pravnomočnim sklepom obtožnica zavržena;</w:t>
      </w:r>
    </w:p>
    <w:p w14:paraId="4A19B258"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neupravičene obsodbe v letih 1945–1955: zahtevek na podlagi XXXII. poglavja ZKP, ki ga uveljavljajo osebe, ki jim je bila po II. svetovni vojni izrečena kazenska obsodilna sodba, ki je bila po osamosvojitvi Slovenije z izrednimi pravnimi sredstvi razveljavljena; v ta temelj se vpisujejo tudi zadeve, pri katerih je bila kazenska obsodilna sodba izdana po letu 1955, vendar je bila po osamosvojitvi Slovenije razveljavljena na podlagi Zakona o popravi krivic (ZPKri) ali ZKP;</w:t>
      </w:r>
    </w:p>
    <w:p w14:paraId="56DBBEF9"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neutemeljeni izrek prekrškovne sankcije: zahtevek na podlagi 193. člena Zakona o prekrških (ZP-1); tisti, ki mu je bila v postopku o prekršku izrečena sankcija, ima pravico do povrnitve škode, ki jo je utrpel zaradi neupravičenega izreka sankcije, če je bila pravnomočna odločba oziroma sodba ali sklep o prekršku spremenjen, odpravljen ali razveljavljen in postopek zoper njega pravnomočno ustavljen zato, ker je bilo ugotovljeno, da dejanje ni prekršek, ali pa zato, ker so bili predloženi razlogi, ki izključujejo storilčevo odgovornost za prekršek; pravico do povrnitve škode, ki zajema tudi neupravičeno plačano globo in stroške postopka, ima tudi tisti, ki jih je plačal ali zoper katerega je bila odločba izvršena pred pravnomočnostjo;</w:t>
      </w:r>
    </w:p>
    <w:p w14:paraId="473A2A9A"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zaradi zasega: zahtevki zaradi škode, nastale zaradi manjvrednosti zaseženega predmeta, zaradi nepravilne hrambe predmeta, nezmožnosti uporabe predmeta in drugo (gre za predmete, zasežene v kazenskem postopku);</w:t>
      </w:r>
    </w:p>
    <w:p w14:paraId="1D812F1D"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poplačilo iz odvzete vrednosti premoženjske koristi: zahtevek oškodovanca za poplačilo iz odvzete vrednosti premoženjske koristi po 76. členu KZ-1, če je bil oškodovanec s premoženjskopravnim zahtevkom napoten na pravdo oziroma ni prijavil premoženjskopravnega zahtevka v kazenskem postopku;</w:t>
      </w:r>
    </w:p>
    <w:p w14:paraId="7FF924DA"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poškodba pri delu: tožeče stranke zahtevajo plačilo odškodnine zaradi škode, ki jo delavec utrpi pri delu oziroma v zvezi z delom zaradi poškodbe pri delu ali v zvezi z delom, in poklicne bolezni;</w:t>
      </w:r>
    </w:p>
    <w:p w14:paraId="1407BDAD"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poškodba pri delu – zaporniki: tožeče stranke zahtevajo plačilo odškodnine zaradi škode, ki jo delavec – zapornik pretrpi pri delu oziroma v zvezi z delom zaradi poškodbe pri delu ali v zvezi z delom, ki ga je opravljal v zavodu za prestajanje kazni zapora;</w:t>
      </w:r>
    </w:p>
    <w:p w14:paraId="080460B4"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 xml:space="preserve">mobing: spori v zvezi z odgovornostjo delodajalca za škodo, ki jo je delodajalec povzročil delavcu s kršenjem pravic iz delovnega razmerja; tožeče stranke v tožbah zatrjujejo, da sta se nad njimi izvajala trpinčenje in psihično nasilje (o trpinčenju na delovnem mestu govorimo, kadar je delavec običajno iznenada in brez pravega vzroka izpostavljen grdemu ravnanju, ki se kaže s sovražno in neetično komunikacijo, žaljivimi opazkami, zasmehovanjem, podcenjevanjem, neutemeljenim kritiziranjem, vpitjem in sramotenjem; gre za sistematično slabo ravnanje s podrejenim, ki se lahko ponavlja neprekinjeno in žrtvam povzroča večje ali manjše socialne, psihične in zdravstvene težave), zato vtožujejo odškodnino za nastalo nepremoženjsko škodo iz naslova prestanih fizičnih bolečin in nevšečnosti, za prestani strah, za duševne bolečine zaradi </w:t>
      </w:r>
      <w:r w:rsidRPr="00503014">
        <w:rPr>
          <w:rFonts w:eastAsia="Calibri"/>
          <w:bCs/>
        </w:rPr>
        <w:lastRenderedPageBreak/>
        <w:t xml:space="preserve">zmanjšanja življenjskih aktivnosti ter zaradi duševnih bolečin zaradi kršitve osebnostnih pravic; </w:t>
      </w:r>
    </w:p>
    <w:p w14:paraId="2AFE9E7A"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za neizkoriščen dan tedenskega počitka: tožeče stranke so zaposleni pri MORS kot pripadniki stalne sestave SV in so v času opravljanja svoje vojaške dolžnosti bile napotene tudi na opravljanje dolžnosti v tujino; zatrjujejo, da bi jim morala tožena stranka v času opravljanja nalog v tujini (na mednarodni mirovni operaciji – MMO) zagotoviti en dan počitka na teden v trajanju najmanj neprekinjenih 24 ur; ker jim tožena stranka prostega dne ni zagotovila, saj naj bi tožeče stranke opravljale razne dolžnosti vsak dan svoje prisotnosti v mirovni misiji oziroma operaciji, zahtevajo plačilo odškodnine za neizrabljene dneve tedenskega počitka na MMO;</w:t>
      </w:r>
    </w:p>
    <w:p w14:paraId="051273EF"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zaradi neizkoriščenega odmora med delom: posamezniki vlagajo tožbene zahtevke, ker trdijo, da jim ni bil omogočen odmor med delom;</w:t>
      </w:r>
    </w:p>
    <w:p w14:paraId="2FF6417C"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za neizkoriščen dnevni počitek: tožniki so zaposleni pri MORS kot pripadniki SV in so bili na opravljanje dolžnosti napoteni v tujino; tožeče stranke zatrjujejo, da jim v času opravljanja dolžnosti na misiji ni bil omogočen počitek med dvema zaporednima delovnima dnevoma, ki bi trajal nepretrgoma najmanj 11 ur; v skladu s 155. členom ZDR-1, drugim odstavkom 97.f člena ZObr, četrtim odstavkom Pravil službe v SV mora tožena stranka svojim zaposlenim omogočiti počitek med dvema zaporednima dnevoma, ki traja nepretrgoma najmanj 12 ur, oziroma v skladu z drugim odstavkom 155. člena ZDR-1 najmanj počitek, ki nepretrgoma traja najmanj 11 ur;</w:t>
      </w:r>
    </w:p>
    <w:p w14:paraId="153B0B97"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odškodnina za šesti delovni dan na mednarodni misiji: posamezniki vlagajo tožbene zahtevke, ker trdijo, da so morali delati 48 ur, plačanih pa so dobili 40 ur za delovni teden;</w:t>
      </w:r>
    </w:p>
    <w:p w14:paraId="153855A8" w14:textId="77777777" w:rsidR="00695AE2" w:rsidRPr="00503014" w:rsidRDefault="00695AE2" w:rsidP="00695AE2">
      <w:pPr>
        <w:numPr>
          <w:ilvl w:val="0"/>
          <w:numId w:val="37"/>
        </w:numPr>
        <w:spacing w:line="240" w:lineRule="auto"/>
        <w:contextualSpacing/>
        <w:jc w:val="both"/>
        <w:rPr>
          <w:rFonts w:eastAsia="Calibri"/>
          <w:bCs/>
        </w:rPr>
      </w:pPr>
      <w:r w:rsidRPr="00503014">
        <w:rPr>
          <w:rFonts w:eastAsia="Calibri"/>
          <w:bCs/>
        </w:rPr>
        <w:t>odškodnine iz skupine socialnopravnih temeljev: posamezniki vlagajo odškodninske tožbe ali zahtevke proti RS in zatrjujejo nastanek škode v povezavi z izdajo odločbe v upravnem postopku na področju zavarovanja za primer brezposelnosti in zaposlovanja, starševskega varstva in družinskih prejemkov, socialnih prejemkov ter pri odločanju o pravici do Zoisove oziroma državne štipendije;</w:t>
      </w:r>
    </w:p>
    <w:p w14:paraId="2D3AD18B"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izbris pravnih oseb iz sodnega registra po ZOKIPOSR: posamezniki vlagajo tožbene zahtevke, pri katerih spor izvira iz določb po Zakonu o odpravi krivic zaradi izbrisa pravnih oseb iz sodnega registra v obdobju od 23. 7. 1999 do 15. 1. 2008 (ZOKIPOSR);</w:t>
      </w:r>
    </w:p>
    <w:p w14:paraId="44858E39"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shd w:val="clear" w:color="auto" w:fill="FFFFFF"/>
        </w:rPr>
        <w:t>zdravstvene storitve – splošni dogovor</w:t>
      </w:r>
      <w:r w:rsidRPr="00503014">
        <w:rPr>
          <w:rFonts w:eastAsia="Calibri"/>
          <w:bCs/>
          <w:shd w:val="clear" w:color="auto" w:fill="FFFFFF"/>
        </w:rPr>
        <w:t>: v</w:t>
      </w:r>
      <w:r w:rsidRPr="00503014">
        <w:rPr>
          <w:rFonts w:eastAsia="Calibri"/>
          <w:shd w:val="clear" w:color="auto" w:fill="FFFFFF"/>
        </w:rPr>
        <w:t xml:space="preserve"> ta temelj se vpisujejo zahtevki za povrnitev škode oziroma prikrajšanja v višini razlike, ki je nastala zaradi povišanja stroškov uporabnikov po sprejetju kolektivnih pogodb in aneksov k tem pogodbam, pri čemer se pogodbene vrednosti oziroma cene storitev iz splošnega dogovora med ZZZS in uporabniki niso uskladile;</w:t>
      </w:r>
    </w:p>
    <w:p w14:paraId="52ADFA8C" w14:textId="77777777" w:rsidR="00695AE2" w:rsidRPr="00503014" w:rsidRDefault="00695AE2" w:rsidP="00695AE2">
      <w:pPr>
        <w:numPr>
          <w:ilvl w:val="0"/>
          <w:numId w:val="37"/>
        </w:numPr>
        <w:tabs>
          <w:tab w:val="left" w:pos="1620"/>
        </w:tabs>
        <w:spacing w:line="240" w:lineRule="auto"/>
        <w:contextualSpacing/>
        <w:jc w:val="both"/>
        <w:rPr>
          <w:rFonts w:eastAsia="Calibri"/>
        </w:rPr>
      </w:pPr>
      <w:r w:rsidRPr="00503014">
        <w:rPr>
          <w:rFonts w:eastAsia="Calibri"/>
          <w:bCs/>
        </w:rPr>
        <w:t>zahtevki sodnikov za uskladitev sodniških plač: sodniki vlagajo zahtevke iz naslova nespoštovanja odločbe ustavnega sodišča.</w:t>
      </w:r>
    </w:p>
    <w:p w14:paraId="77719E87" w14:textId="77777777" w:rsidR="00695AE2" w:rsidRPr="00503014" w:rsidRDefault="00695AE2" w:rsidP="00695AE2">
      <w:pPr>
        <w:tabs>
          <w:tab w:val="left" w:pos="1620"/>
        </w:tabs>
        <w:spacing w:line="240" w:lineRule="auto"/>
        <w:jc w:val="both"/>
        <w:rPr>
          <w:rFonts w:eastAsia="Calibri"/>
        </w:rPr>
      </w:pPr>
    </w:p>
    <w:p w14:paraId="5CDBA0CB" w14:textId="77777777" w:rsidR="00695AE2" w:rsidRPr="00503014" w:rsidRDefault="00695AE2" w:rsidP="00695AE2">
      <w:pPr>
        <w:tabs>
          <w:tab w:val="left" w:pos="1620"/>
        </w:tabs>
        <w:spacing w:line="240" w:lineRule="auto"/>
        <w:jc w:val="both"/>
        <w:rPr>
          <w:rFonts w:eastAsia="Calibri"/>
        </w:rPr>
      </w:pPr>
      <w:r w:rsidRPr="00503014">
        <w:rPr>
          <w:rFonts w:eastAsia="Calibri"/>
        </w:rPr>
        <w:t xml:space="preserve">Iz pravnomočnih in izvršljivih sodb sodišča ali na podlagi sklenjenih sodnih in izvensodnih poravnav za Republiko Slovenijo izhajajo obveznosti, ki so v nadaljevanju poravnane bodisi prostovoljno ali v postopku prisilne izterjave, zato je zneske po navedenih izvršilnih naslovih treba upoštevati kot izplačane odškodnine. Predmetno poročilo tako zajema podatke glede odškodnin, ki so bile v letu 2025 prisojene v breme državnega proračuna oziroma v breme različnih neposrednih proračunskih porabnikov oziroma je Državno odvetništvo RS z </w:t>
      </w:r>
      <w:r w:rsidRPr="00503014">
        <w:rPr>
          <w:rFonts w:eastAsia="Calibri"/>
        </w:rPr>
        <w:lastRenderedPageBreak/>
        <w:t>nasprotnimi strankami sklenilo sodne ali izvensodne poravnave, na podlagi katerih so za proračun nastale obveznosti izplačila odškodnine.</w:t>
      </w:r>
    </w:p>
    <w:p w14:paraId="70B48068" w14:textId="77777777" w:rsidR="00695AE2" w:rsidRPr="00503014" w:rsidRDefault="00695AE2" w:rsidP="00695AE2">
      <w:pPr>
        <w:tabs>
          <w:tab w:val="left" w:pos="1620"/>
        </w:tabs>
        <w:spacing w:line="240" w:lineRule="auto"/>
        <w:jc w:val="both"/>
        <w:rPr>
          <w:rFonts w:eastAsia="Calibri"/>
        </w:rPr>
      </w:pPr>
    </w:p>
    <w:p w14:paraId="57AF0EDD" w14:textId="77777777" w:rsidR="00695AE2" w:rsidRPr="00503014" w:rsidRDefault="00695AE2" w:rsidP="00695AE2">
      <w:pPr>
        <w:tabs>
          <w:tab w:val="left" w:pos="1620"/>
        </w:tabs>
        <w:spacing w:line="240" w:lineRule="auto"/>
        <w:jc w:val="both"/>
        <w:rPr>
          <w:rFonts w:eastAsia="Calibri"/>
        </w:rPr>
      </w:pPr>
      <w:r w:rsidRPr="00503014">
        <w:rPr>
          <w:rFonts w:eastAsia="Calibri"/>
        </w:rPr>
        <w:t>Državno odvetništvo RS je v letu 2025 zaključilo 50.123 zadev, v okviru le-teh pa je bilo v zadevah, ki se kakor koli nanašajo na odškodninsko odgovornost države, zaključenih 706 zadev.</w:t>
      </w:r>
    </w:p>
    <w:p w14:paraId="71DA2281" w14:textId="77777777" w:rsidR="00695AE2" w:rsidRPr="00503014" w:rsidRDefault="00695AE2" w:rsidP="00695AE2">
      <w:pPr>
        <w:tabs>
          <w:tab w:val="left" w:pos="1620"/>
        </w:tabs>
        <w:spacing w:line="240" w:lineRule="auto"/>
        <w:jc w:val="both"/>
        <w:rPr>
          <w:rFonts w:eastAsia="Calibri"/>
        </w:rPr>
      </w:pPr>
    </w:p>
    <w:p w14:paraId="586A901E" w14:textId="77777777" w:rsidR="00695AE2" w:rsidRPr="00503014" w:rsidRDefault="00695AE2" w:rsidP="00695AE2">
      <w:pPr>
        <w:tabs>
          <w:tab w:val="left" w:pos="1620"/>
        </w:tabs>
        <w:spacing w:line="240" w:lineRule="auto"/>
        <w:jc w:val="both"/>
        <w:rPr>
          <w:rFonts w:eastAsia="Calibri"/>
        </w:rPr>
      </w:pPr>
      <w:r w:rsidRPr="00503014">
        <w:rPr>
          <w:rFonts w:eastAsia="Calibri"/>
        </w:rPr>
        <w:t xml:space="preserve">V </w:t>
      </w:r>
      <w:r w:rsidRPr="00503014">
        <w:rPr>
          <w:rFonts w:eastAsia="Calibri"/>
          <w:color w:val="007466"/>
        </w:rPr>
        <w:t>predhodnih postopkih</w:t>
      </w:r>
      <w:r w:rsidRPr="00503014">
        <w:rPr>
          <w:rFonts w:eastAsia="Calibri"/>
        </w:rPr>
        <w:t xml:space="preserve">, ki se pri Državnem odvetništvu RS vodijo na podlagi določb ZDOdv, se je v letu 2025 iz naslova odškodninskih temeljev zaključilo 354 zadev, v katerih so nasprotne stranke od države zahtevale plačilo odškodnin v skupnem znesku 947.229.828,11 evra. </w:t>
      </w:r>
    </w:p>
    <w:p w14:paraId="0B27C66A" w14:textId="77777777" w:rsidR="00695AE2" w:rsidRPr="00503014" w:rsidRDefault="00695AE2" w:rsidP="00695AE2">
      <w:pPr>
        <w:tabs>
          <w:tab w:val="left" w:pos="1620"/>
        </w:tabs>
        <w:spacing w:line="240" w:lineRule="auto"/>
        <w:jc w:val="both"/>
        <w:rPr>
          <w:rFonts w:eastAsia="Calibri"/>
        </w:rPr>
      </w:pPr>
    </w:p>
    <w:p w14:paraId="0FF3791F" w14:textId="77777777" w:rsidR="00695AE2" w:rsidRPr="00503014" w:rsidRDefault="00695AE2" w:rsidP="00695AE2">
      <w:pPr>
        <w:tabs>
          <w:tab w:val="left" w:pos="1620"/>
        </w:tabs>
        <w:spacing w:line="240" w:lineRule="auto"/>
        <w:jc w:val="both"/>
        <w:rPr>
          <w:rFonts w:eastAsia="Calibri"/>
        </w:rPr>
      </w:pPr>
      <w:r w:rsidRPr="00503014">
        <w:rPr>
          <w:rFonts w:eastAsia="Calibri"/>
        </w:rPr>
        <w:t>Državno odvetništvo RS je v 54 zadevah sklenilo poravnavo v skupni višini 261.775,16 evra, v 258 zadevah je odškodninski zahtevek oškodovancev v skupni zahtevani vrednosti 841.766.253,01 evra zavrnilo, 38 zadev v skupni sporni vrednosti 105.195.259,94 evra je bilo rešeno na drug način, v 4 zadevah pa nasprotne stranke niso sprejele ponudb v skupni vrednosti 6.540,00 evrov.</w:t>
      </w:r>
    </w:p>
    <w:p w14:paraId="0A7A5EF9" w14:textId="77777777" w:rsidR="00695AE2" w:rsidRPr="00503014" w:rsidRDefault="00695AE2" w:rsidP="00695AE2">
      <w:pPr>
        <w:tabs>
          <w:tab w:val="left" w:pos="1620"/>
        </w:tabs>
        <w:spacing w:line="240" w:lineRule="auto"/>
        <w:jc w:val="both"/>
        <w:rPr>
          <w:rFonts w:eastAsia="Calibri"/>
        </w:rPr>
      </w:pPr>
    </w:p>
    <w:p w14:paraId="139A3F97" w14:textId="77777777" w:rsidR="00695AE2" w:rsidRPr="00503014" w:rsidRDefault="00695AE2" w:rsidP="00695AE2">
      <w:pPr>
        <w:tabs>
          <w:tab w:val="left" w:pos="1620"/>
        </w:tabs>
        <w:spacing w:line="240" w:lineRule="auto"/>
        <w:jc w:val="both"/>
        <w:rPr>
          <w:rFonts w:eastAsia="Calibri"/>
        </w:rPr>
      </w:pPr>
      <w:r w:rsidRPr="00503014">
        <w:rPr>
          <w:rFonts w:eastAsia="Calibri"/>
        </w:rPr>
        <w:t xml:space="preserve">Državno odvetništvo RS je v </w:t>
      </w:r>
      <w:r w:rsidRPr="00503014">
        <w:rPr>
          <w:rFonts w:eastAsia="Calibri"/>
          <w:color w:val="007466"/>
        </w:rPr>
        <w:t>sodnih postopkih</w:t>
      </w:r>
      <w:r w:rsidRPr="00503014">
        <w:rPr>
          <w:rFonts w:eastAsia="Calibri"/>
        </w:rPr>
        <w:t xml:space="preserve">, ki so se vodili glede odškodninskih temeljev, v letu 2025 zaključilo 352 zadev, v katerih je bila skupna zahtevana vrednost zoper državo 48.696.691,14 evra. </w:t>
      </w:r>
    </w:p>
    <w:p w14:paraId="1F864220" w14:textId="77777777" w:rsidR="00695AE2" w:rsidRPr="00503014" w:rsidRDefault="00695AE2" w:rsidP="00695AE2">
      <w:pPr>
        <w:tabs>
          <w:tab w:val="left" w:pos="1620"/>
        </w:tabs>
        <w:spacing w:line="240" w:lineRule="auto"/>
        <w:jc w:val="both"/>
        <w:rPr>
          <w:rFonts w:eastAsia="Calibri"/>
        </w:rPr>
      </w:pPr>
    </w:p>
    <w:p w14:paraId="7CA376ED" w14:textId="77777777" w:rsidR="00695AE2" w:rsidRPr="00503014" w:rsidRDefault="00695AE2" w:rsidP="00695AE2">
      <w:pPr>
        <w:tabs>
          <w:tab w:val="left" w:pos="1620"/>
        </w:tabs>
        <w:spacing w:line="240" w:lineRule="auto"/>
        <w:jc w:val="both"/>
        <w:rPr>
          <w:rFonts w:eastAsia="Calibri"/>
        </w:rPr>
      </w:pPr>
      <w:r w:rsidRPr="00503014">
        <w:rPr>
          <w:rFonts w:eastAsia="Calibri"/>
        </w:rPr>
        <w:t>V 179 zadevah v skupni vrednosti 39.707.400,00 evra je Državno odvetništvo RS spor uspešno zaključilo, 64 zadev pa je bilo za Republiko Slovenijo zaključenih neugodno, in sicer za znesek v skupni vrednosti 347.528,92 evra. V 39 zadevah je Državno odvetništvo RS sklenilo sodne poravnave v skupni vrednosti 279.565,37 evra. V 55 zadevah je bila rešitev »umik« v skupni vrednosti 2.600.110,48 evra, 13 zadev je bilo zaključenih z rešitvijo na drug način v skupni vrednosti 106.083,41 evra. V dveh zadevah Državno odvetništvo RS ni vložilo tožbe v skupni vrednosti 9.157,87 evra.</w:t>
      </w:r>
    </w:p>
    <w:p w14:paraId="26164FDF" w14:textId="77777777" w:rsidR="00695AE2" w:rsidRPr="00503014" w:rsidRDefault="00695AE2" w:rsidP="00695AE2">
      <w:pPr>
        <w:tabs>
          <w:tab w:val="left" w:pos="1620"/>
        </w:tabs>
        <w:spacing w:line="240" w:lineRule="auto"/>
        <w:jc w:val="both"/>
        <w:rPr>
          <w:rFonts w:eastAsia="Calibri"/>
          <w:b/>
          <w:bCs/>
        </w:rPr>
      </w:pPr>
    </w:p>
    <w:p w14:paraId="4102D589" w14:textId="77777777" w:rsidR="00695AE2" w:rsidRPr="00503014" w:rsidRDefault="00695AE2" w:rsidP="00695AE2">
      <w:pPr>
        <w:tabs>
          <w:tab w:val="left" w:pos="283"/>
        </w:tabs>
        <w:autoSpaceDE w:val="0"/>
        <w:autoSpaceDN w:val="0"/>
        <w:adjustRightInd w:val="0"/>
        <w:spacing w:line="240" w:lineRule="auto"/>
        <w:jc w:val="both"/>
        <w:textAlignment w:val="center"/>
        <w:rPr>
          <w:rFonts w:cstheme="minorHAnsi"/>
          <w:b/>
          <w:bCs/>
          <w:color w:val="007466"/>
          <w:sz w:val="20"/>
          <w:szCs w:val="20"/>
        </w:rPr>
      </w:pPr>
      <w:r w:rsidRPr="00503014">
        <w:rPr>
          <w:rFonts w:cstheme="minorHAnsi"/>
          <w:b/>
          <w:bCs/>
          <w:color w:val="007466"/>
          <w:sz w:val="20"/>
          <w:szCs w:val="20"/>
        </w:rPr>
        <w:t>Grafikon: Posamezni načini rešitev zadev iz skupine temeljev v zvezi z odškodninsko odgovornostjo Republike Slovenije</w:t>
      </w:r>
    </w:p>
    <w:p w14:paraId="24C6B31A" w14:textId="77777777" w:rsidR="00695AE2" w:rsidRPr="00503014" w:rsidRDefault="00695AE2" w:rsidP="00695AE2">
      <w:pPr>
        <w:tabs>
          <w:tab w:val="left" w:pos="1620"/>
        </w:tabs>
        <w:spacing w:line="240" w:lineRule="auto"/>
        <w:jc w:val="both"/>
        <w:rPr>
          <w:rFonts w:eastAsia="Calibri"/>
          <w:b/>
          <w:bCs/>
        </w:rPr>
      </w:pPr>
    </w:p>
    <w:p w14:paraId="75D1A71C" w14:textId="77777777" w:rsidR="00695AE2" w:rsidRPr="00503014" w:rsidRDefault="00695AE2" w:rsidP="00695AE2">
      <w:pPr>
        <w:tabs>
          <w:tab w:val="left" w:pos="1620"/>
        </w:tabs>
        <w:spacing w:line="240" w:lineRule="auto"/>
        <w:jc w:val="center"/>
        <w:rPr>
          <w:rFonts w:eastAsia="Calibri"/>
          <w:b/>
          <w:bCs/>
        </w:rPr>
      </w:pPr>
      <w:r w:rsidRPr="00503014">
        <w:rPr>
          <w:rFonts w:eastAsia="Calibri"/>
          <w:b/>
          <w:bCs/>
          <w:noProof/>
        </w:rPr>
        <w:drawing>
          <wp:inline distT="0" distB="0" distL="0" distR="0" wp14:anchorId="53E134A1" wp14:editId="1BF54F3D">
            <wp:extent cx="3648075" cy="2419350"/>
            <wp:effectExtent l="0" t="0" r="9525" b="0"/>
            <wp:docPr id="1983012839" name="Slika 4" descr="Slika, ki vsebuje besede besedilo, posnetek zaslona, diagram, krog&#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2839" name="Slika 4" descr="Slika, ki vsebuje besede besedilo, posnetek zaslona, diagram, krog&#10;&#10;Vsebina, ustvarjena z umetno inteligenco, morda ni pravilna."/>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ln>
                      <a:noFill/>
                    </a:ln>
                  </pic:spPr>
                </pic:pic>
              </a:graphicData>
            </a:graphic>
          </wp:inline>
        </w:drawing>
      </w:r>
    </w:p>
    <w:p w14:paraId="0704E5FF" w14:textId="77777777" w:rsidR="00695AE2" w:rsidRPr="00503014" w:rsidRDefault="00695AE2" w:rsidP="00695AE2">
      <w:pPr>
        <w:tabs>
          <w:tab w:val="left" w:pos="1620"/>
        </w:tabs>
        <w:spacing w:line="240" w:lineRule="auto"/>
        <w:jc w:val="both"/>
        <w:rPr>
          <w:rFonts w:eastAsia="Calibri"/>
          <w:b/>
          <w:bCs/>
        </w:rPr>
      </w:pPr>
    </w:p>
    <w:p w14:paraId="61F80ED3" w14:textId="77777777" w:rsidR="00695AE2" w:rsidRPr="00503014" w:rsidRDefault="00695AE2" w:rsidP="00695AE2">
      <w:pPr>
        <w:tabs>
          <w:tab w:val="left" w:pos="1620"/>
        </w:tabs>
        <w:spacing w:line="240" w:lineRule="auto"/>
        <w:jc w:val="both"/>
        <w:rPr>
          <w:rFonts w:eastAsia="Calibri"/>
          <w:b/>
          <w:bCs/>
        </w:rPr>
      </w:pPr>
    </w:p>
    <w:p w14:paraId="045D8E6C" w14:textId="77777777" w:rsidR="00695AE2" w:rsidRPr="00503014" w:rsidRDefault="00695AE2" w:rsidP="00695AE2">
      <w:pPr>
        <w:tabs>
          <w:tab w:val="left" w:pos="1620"/>
        </w:tabs>
        <w:spacing w:line="240" w:lineRule="auto"/>
        <w:jc w:val="both"/>
        <w:rPr>
          <w:rFonts w:eastAsia="Calibri"/>
          <w:b/>
          <w:bCs/>
          <w:color w:val="007466"/>
        </w:rPr>
      </w:pPr>
      <w:r w:rsidRPr="00503014">
        <w:rPr>
          <w:rFonts w:eastAsia="Calibri"/>
          <w:b/>
          <w:bCs/>
          <w:color w:val="007466"/>
        </w:rPr>
        <w:lastRenderedPageBreak/>
        <w:t xml:space="preserve">Od celotnega zneska, ki so ga nasprotne stranke v sodnih sporih vtoževale od Republike Slovenije iz naslova odškodninske odgovornosti države v višini 48.696.691,14 evra, je bilo torej Republiki Sloveniji v odškodninskih pravdah, ki so se zaključile v letu 2025 (gre torej za 706 zadev, ki spadajo tako na področje civilnopravnih in gospodarskih zadev kot tudi delovnopravnih in socialnopravnih zadev), naloženo plačilo obveznosti iz naslova odškodninske odgovornosti države v skupnem znesku 627.094,29 evra. To pomeni, da je Republika Slovenija dolžna iz naslova odškodninske odgovornosti države povrniti le 1,29 odstotka od celote vtoževanih zneskov. Državno odvetništvo RS je torej tudi s svojim uspešnim vodenjem zadev državi prihranilo kar 98,71 odstotka vtoževanih spornih zneskov glavnic iz naslova odškodninske odgovornosti države, kar pomeni prihranek za proračun 48.069.596,85 evra. </w:t>
      </w:r>
    </w:p>
    <w:p w14:paraId="142D6994" w14:textId="77777777" w:rsidR="00695AE2" w:rsidRDefault="00695AE2" w:rsidP="00695AE2">
      <w:pPr>
        <w:tabs>
          <w:tab w:val="left" w:pos="1620"/>
        </w:tabs>
        <w:spacing w:line="240" w:lineRule="auto"/>
        <w:jc w:val="both"/>
        <w:rPr>
          <w:rFonts w:eastAsia="Calibri"/>
          <w:b/>
          <w:bCs/>
          <w:color w:val="007466"/>
        </w:rPr>
      </w:pPr>
    </w:p>
    <w:p w14:paraId="59D5C7EC" w14:textId="77777777" w:rsidR="00B76BA9" w:rsidRDefault="00B76BA9" w:rsidP="00695AE2">
      <w:pPr>
        <w:tabs>
          <w:tab w:val="left" w:pos="1620"/>
        </w:tabs>
        <w:spacing w:line="240" w:lineRule="auto"/>
        <w:jc w:val="both"/>
        <w:rPr>
          <w:rFonts w:eastAsia="Calibri"/>
          <w:b/>
          <w:bCs/>
          <w:color w:val="007466"/>
        </w:rPr>
      </w:pPr>
    </w:p>
    <w:p w14:paraId="246A543F" w14:textId="77777777" w:rsidR="00695AE2" w:rsidRPr="00503014" w:rsidRDefault="00695AE2" w:rsidP="00695AE2">
      <w:pPr>
        <w:tabs>
          <w:tab w:val="left" w:pos="1620"/>
        </w:tabs>
        <w:spacing w:line="240" w:lineRule="auto"/>
        <w:jc w:val="both"/>
        <w:rPr>
          <w:rFonts w:eastAsia="Calibri"/>
          <w:b/>
          <w:bCs/>
          <w:color w:val="007466"/>
          <w:sz w:val="20"/>
          <w:szCs w:val="20"/>
        </w:rPr>
      </w:pPr>
      <w:r w:rsidRPr="00503014">
        <w:rPr>
          <w:rFonts w:eastAsia="Calibri"/>
          <w:b/>
          <w:bCs/>
          <w:color w:val="007466"/>
          <w:sz w:val="20"/>
          <w:szCs w:val="20"/>
        </w:rPr>
        <w:t>Grafikon: Prikaz uspeha Republike Slovenije kot stranke v sodnih sporih iz naslova odškodninske odgovornosti države</w:t>
      </w:r>
    </w:p>
    <w:p w14:paraId="1E2EBDA5" w14:textId="77777777" w:rsidR="00695AE2" w:rsidRPr="00503014" w:rsidRDefault="00695AE2" w:rsidP="00695AE2">
      <w:pPr>
        <w:tabs>
          <w:tab w:val="left" w:pos="1620"/>
        </w:tabs>
        <w:spacing w:line="240" w:lineRule="auto"/>
        <w:jc w:val="both"/>
        <w:rPr>
          <w:rFonts w:eastAsia="Calibri"/>
          <w:b/>
          <w:bCs/>
        </w:rPr>
      </w:pPr>
    </w:p>
    <w:p w14:paraId="022E24BC" w14:textId="77777777" w:rsidR="00695AE2" w:rsidRPr="00503014" w:rsidRDefault="00695AE2" w:rsidP="00695AE2">
      <w:pPr>
        <w:tabs>
          <w:tab w:val="left" w:pos="1620"/>
        </w:tabs>
        <w:spacing w:line="240" w:lineRule="auto"/>
        <w:jc w:val="center"/>
        <w:rPr>
          <w:rFonts w:eastAsia="Calibri"/>
          <w:b/>
          <w:bCs/>
        </w:rPr>
      </w:pPr>
      <w:r w:rsidRPr="00503014">
        <w:rPr>
          <w:rFonts w:eastAsia="Calibri"/>
          <w:b/>
          <w:bCs/>
          <w:noProof/>
        </w:rPr>
        <w:drawing>
          <wp:inline distT="0" distB="0" distL="0" distR="0" wp14:anchorId="61DF76E8" wp14:editId="54E19526">
            <wp:extent cx="3752404" cy="2146853"/>
            <wp:effectExtent l="0" t="0" r="635" b="6350"/>
            <wp:docPr id="220175300" name="Slika 3" descr="Slika, ki vsebuje besede besedilo, posnetek zaslon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75300" name="Slika 3" descr="Slika, ki vsebuje besede besedilo, posnetek zaslona, oblikovanje&#10;&#10;Vsebina, ustvarjena z umetno inteligenco, morda ni pravilna."/>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801000" cy="2174656"/>
                    </a:xfrm>
                    <a:prstGeom prst="rect">
                      <a:avLst/>
                    </a:prstGeom>
                    <a:noFill/>
                    <a:ln>
                      <a:noFill/>
                    </a:ln>
                  </pic:spPr>
                </pic:pic>
              </a:graphicData>
            </a:graphic>
          </wp:inline>
        </w:drawing>
      </w:r>
    </w:p>
    <w:p w14:paraId="3F43DFD8" w14:textId="77777777" w:rsidR="00695AE2" w:rsidRPr="00503014" w:rsidRDefault="00695AE2" w:rsidP="00695AE2">
      <w:pPr>
        <w:tabs>
          <w:tab w:val="left" w:pos="1620"/>
        </w:tabs>
        <w:spacing w:line="240" w:lineRule="auto"/>
        <w:jc w:val="both"/>
        <w:rPr>
          <w:rFonts w:eastAsia="Calibri"/>
          <w:color w:val="007466"/>
          <w:sz w:val="20"/>
          <w:szCs w:val="20"/>
        </w:rPr>
      </w:pPr>
    </w:p>
    <w:p w14:paraId="29EF2702" w14:textId="77777777" w:rsidR="00695AE2" w:rsidRPr="00503014" w:rsidRDefault="00695AE2" w:rsidP="00695AE2">
      <w:pPr>
        <w:tabs>
          <w:tab w:val="left" w:pos="1620"/>
        </w:tabs>
        <w:spacing w:line="240" w:lineRule="auto"/>
        <w:jc w:val="both"/>
        <w:rPr>
          <w:rFonts w:eastAsia="Calibri"/>
          <w:color w:val="007466"/>
          <w:sz w:val="20"/>
          <w:szCs w:val="20"/>
        </w:rPr>
      </w:pPr>
      <w:r w:rsidRPr="00503014">
        <w:rPr>
          <w:rFonts w:eastAsia="Calibri"/>
          <w:color w:val="007466"/>
          <w:sz w:val="20"/>
          <w:szCs w:val="20"/>
        </w:rPr>
        <w:t>Opomba: Navedeni znesek plačila obveznosti predstavlja glavnice odškodninske odgovornosti, koliko pa je znašala obveznost države iz naslova pripadajočih zakonitih zamudnih obresti (njihova dejanska višina je namreč dokončno znana šele ob izplačilu obveznosti), pa Državno odvetništvo RS podatka nima.</w:t>
      </w:r>
    </w:p>
    <w:p w14:paraId="56B8316C" w14:textId="77777777" w:rsidR="00695AE2" w:rsidRPr="00503014" w:rsidRDefault="00695AE2" w:rsidP="00695AE2">
      <w:pPr>
        <w:tabs>
          <w:tab w:val="left" w:pos="1620"/>
        </w:tabs>
        <w:spacing w:line="240" w:lineRule="auto"/>
        <w:jc w:val="both"/>
        <w:rPr>
          <w:rFonts w:eastAsia="Calibri"/>
          <w:color w:val="007466"/>
          <w:sz w:val="32"/>
          <w:szCs w:val="32"/>
        </w:rPr>
      </w:pPr>
    </w:p>
    <w:p w14:paraId="734CD0D3" w14:textId="77777777" w:rsidR="00695AE2" w:rsidRPr="00503014" w:rsidRDefault="00695AE2" w:rsidP="00695AE2">
      <w:pPr>
        <w:pStyle w:val="Naslov2"/>
      </w:pPr>
      <w:bookmarkStart w:id="210" w:name="_Toc62455942"/>
      <w:bookmarkStart w:id="211" w:name="_Toc168844791"/>
      <w:bookmarkStart w:id="212" w:name="_Toc191561785"/>
      <w:bookmarkStart w:id="213" w:name="_Toc223093780"/>
      <w:r w:rsidRPr="00503014">
        <w:t>Problematika pri izvajanju zakonodaje</w:t>
      </w:r>
      <w:bookmarkEnd w:id="210"/>
      <w:bookmarkEnd w:id="211"/>
      <w:bookmarkEnd w:id="212"/>
      <w:bookmarkEnd w:id="213"/>
      <w:r w:rsidRPr="00503014">
        <w:t xml:space="preserve"> </w:t>
      </w:r>
    </w:p>
    <w:p w14:paraId="64F431A0" w14:textId="77777777" w:rsidR="00695AE2" w:rsidRPr="0080789B" w:rsidRDefault="00695AE2" w:rsidP="00695AE2">
      <w:pPr>
        <w:pStyle w:val="Jasna"/>
        <w:rPr>
          <w:sz w:val="32"/>
          <w:szCs w:val="32"/>
        </w:rPr>
      </w:pPr>
    </w:p>
    <w:p w14:paraId="0720B473" w14:textId="77777777" w:rsidR="00695AE2" w:rsidRPr="00503014" w:rsidRDefault="00695AE2" w:rsidP="00695AE2">
      <w:pPr>
        <w:pStyle w:val="Naslov3"/>
        <w:ind w:left="0" w:firstLine="0"/>
      </w:pPr>
      <w:bookmarkStart w:id="214" w:name="_Toc168844792"/>
      <w:bookmarkStart w:id="215" w:name="_Toc191561786"/>
      <w:bookmarkStart w:id="216" w:name="_Toc223093781"/>
      <w:r w:rsidRPr="00503014">
        <w:t>Izvajanje nalog in pristojnosti Državnega odvetništva RS, določenih z Zakonom o državnem odvetništvu</w:t>
      </w:r>
      <w:bookmarkEnd w:id="214"/>
      <w:bookmarkEnd w:id="215"/>
      <w:bookmarkEnd w:id="216"/>
    </w:p>
    <w:p w14:paraId="0CB753C8" w14:textId="77777777" w:rsidR="00695AE2" w:rsidRPr="0080789B" w:rsidRDefault="00695AE2" w:rsidP="00695AE2">
      <w:pPr>
        <w:pStyle w:val="Jasna"/>
        <w:rPr>
          <w:sz w:val="28"/>
          <w:szCs w:val="28"/>
        </w:rPr>
      </w:pPr>
    </w:p>
    <w:p w14:paraId="7015D561" w14:textId="77777777" w:rsidR="00695AE2" w:rsidRPr="00503014" w:rsidRDefault="00695AE2" w:rsidP="00695AE2">
      <w:pPr>
        <w:pStyle w:val="Naslov4"/>
      </w:pPr>
      <w:bookmarkStart w:id="217" w:name="_Toc168844793"/>
      <w:bookmarkStart w:id="218" w:name="_Toc191561787"/>
      <w:bookmarkStart w:id="219" w:name="_Toc223093782"/>
      <w:r w:rsidRPr="00503014">
        <w:t>Uvod</w:t>
      </w:r>
      <w:bookmarkEnd w:id="217"/>
      <w:bookmarkEnd w:id="218"/>
      <w:bookmarkEnd w:id="219"/>
    </w:p>
    <w:p w14:paraId="10A7CD26" w14:textId="77777777" w:rsidR="00695AE2" w:rsidRPr="00503014" w:rsidRDefault="00695AE2" w:rsidP="00695AE2">
      <w:pPr>
        <w:tabs>
          <w:tab w:val="left" w:pos="1440"/>
        </w:tabs>
        <w:spacing w:line="240" w:lineRule="auto"/>
        <w:jc w:val="both"/>
        <w:rPr>
          <w:rFonts w:eastAsia="Calibri"/>
        </w:rPr>
      </w:pPr>
    </w:p>
    <w:p w14:paraId="1075D54B" w14:textId="77777777" w:rsidR="00695AE2" w:rsidRPr="00503014" w:rsidRDefault="00695AE2" w:rsidP="00695AE2">
      <w:pPr>
        <w:spacing w:line="240" w:lineRule="auto"/>
        <w:jc w:val="both"/>
        <w:rPr>
          <w:rFonts w:eastAsia="Calibri"/>
        </w:rPr>
      </w:pPr>
      <w:r w:rsidRPr="00503014">
        <w:rPr>
          <w:rFonts w:eastAsia="Calibri"/>
        </w:rPr>
        <w:t xml:space="preserve">Državno odvetništvo RS si prizadeva za strokovno in kakovostno opravljanje nalog in pristojnosti pri zastopanju države in njenih organov pred sodišči ter upravnimi organi v Republiki Sloveniji, pred tujimi sodišči in tujimi arbitražami, pred mednarodnimi sodišči in mednarodnimi arbitražami, prav tako pa tudi pri varovanju javnega interesa. </w:t>
      </w:r>
    </w:p>
    <w:p w14:paraId="1384515A" w14:textId="77777777" w:rsidR="00695AE2" w:rsidRPr="00503014" w:rsidRDefault="00695AE2" w:rsidP="00695AE2">
      <w:pPr>
        <w:tabs>
          <w:tab w:val="left" w:pos="1440"/>
        </w:tabs>
        <w:spacing w:line="240" w:lineRule="auto"/>
        <w:jc w:val="both"/>
        <w:rPr>
          <w:rFonts w:eastAsia="Calibri"/>
        </w:rPr>
      </w:pPr>
    </w:p>
    <w:p w14:paraId="56319886" w14:textId="77777777" w:rsidR="00695AE2" w:rsidRPr="00503014" w:rsidRDefault="00695AE2" w:rsidP="00695AE2">
      <w:pPr>
        <w:spacing w:line="240" w:lineRule="auto"/>
        <w:jc w:val="both"/>
        <w:rPr>
          <w:rFonts w:eastAsia="Calibri"/>
        </w:rPr>
      </w:pPr>
      <w:r w:rsidRPr="00503014">
        <w:rPr>
          <w:rFonts w:eastAsia="Calibri"/>
        </w:rPr>
        <w:t xml:space="preserve">V zadnjih letih Državno odvetništvo RS kot varuh premoženjskih koristi in interesov države posebno pozornost namenja preventivnemu delovanju, pri tem pa ima ključno vlogo </w:t>
      </w:r>
      <w:r w:rsidRPr="00503014">
        <w:rPr>
          <w:rFonts w:eastAsia="Calibri"/>
        </w:rPr>
        <w:lastRenderedPageBreak/>
        <w:t xml:space="preserve">svetovalna funkcija Državnega odvetništva RS, ki brez dvoma pomeni strokovno izjemno zahtevno nalogo. S ciljem njene nadaljnje krepitve ter še bolj učinkovite ter usmerjene svetovalne podpore Državno odvetništvo RS ves čas uvaja sistemske izboljšave v svoji organiziranosti in načinu dela. </w:t>
      </w:r>
    </w:p>
    <w:p w14:paraId="47B53AAD" w14:textId="77777777" w:rsidR="00695AE2" w:rsidRPr="00503014" w:rsidRDefault="00695AE2" w:rsidP="00695AE2">
      <w:pPr>
        <w:tabs>
          <w:tab w:val="left" w:pos="1440"/>
        </w:tabs>
        <w:spacing w:line="240" w:lineRule="auto"/>
        <w:jc w:val="both"/>
        <w:rPr>
          <w:rFonts w:eastAsia="Calibri"/>
        </w:rPr>
      </w:pPr>
    </w:p>
    <w:p w14:paraId="0E98CB34" w14:textId="77777777" w:rsidR="00695AE2" w:rsidRPr="00503014" w:rsidRDefault="00695AE2" w:rsidP="00695AE2">
      <w:pPr>
        <w:tabs>
          <w:tab w:val="left" w:pos="1440"/>
        </w:tabs>
        <w:spacing w:line="240" w:lineRule="auto"/>
        <w:jc w:val="both"/>
        <w:rPr>
          <w:rFonts w:eastAsia="Calibri"/>
        </w:rPr>
      </w:pPr>
      <w:r w:rsidRPr="00503014">
        <w:rPr>
          <w:rFonts w:eastAsia="Calibri"/>
        </w:rPr>
        <w:t xml:space="preserve">Državno odvetništvo RS je pomemben organ pravosodja in kot del pravosodnega sistema sodeluje pri uresničevanju ciljev pravosodja, to so učinkovito, mirno in kulturno razreševanje sporov v družbi. Državno odvetništvo RS se zato še posebej zaveda pomena reševanja zahtevkov v predhodnih postopkih. Določbe ZDOdv glede obveznega predhodnega postopka poskusa mirne rešitve spora, skladno s katerimi mora, kdor namerava začeti pravdni ali drug postopek proti državi ali državnemu organu, državnemu odvetništvu predhodno predlagati, naj se sporno razmerje na miren način reši pred uvedbo pravdnega ali drugega postopka, imajo tako z vidika prizadevanja države za zmanjšanje sodnih postopkov in s tem razbremenitve sodišč ter hkrati tudi razbremenitve države kot možnega dolžnika nedvomno velik pomen. </w:t>
      </w:r>
    </w:p>
    <w:p w14:paraId="16B840E4" w14:textId="77777777" w:rsidR="00695AE2" w:rsidRPr="00503014" w:rsidRDefault="00695AE2" w:rsidP="00695AE2">
      <w:pPr>
        <w:tabs>
          <w:tab w:val="left" w:pos="1440"/>
        </w:tabs>
        <w:spacing w:line="240" w:lineRule="auto"/>
        <w:jc w:val="both"/>
        <w:rPr>
          <w:rFonts w:eastAsia="Calibri"/>
        </w:rPr>
      </w:pPr>
    </w:p>
    <w:p w14:paraId="359E2ABE" w14:textId="77777777" w:rsidR="00695AE2" w:rsidRPr="00503014" w:rsidRDefault="00695AE2" w:rsidP="00695AE2">
      <w:pPr>
        <w:pStyle w:val="Naslov4"/>
      </w:pPr>
      <w:bookmarkStart w:id="220" w:name="_Toc168844794"/>
      <w:bookmarkStart w:id="221" w:name="_Toc191561788"/>
      <w:bookmarkStart w:id="222" w:name="_Toc223093783"/>
      <w:r w:rsidRPr="00503014">
        <w:t>Sodelovanje z zastopanimi subjekti</w:t>
      </w:r>
      <w:bookmarkEnd w:id="220"/>
      <w:bookmarkEnd w:id="221"/>
      <w:bookmarkEnd w:id="222"/>
    </w:p>
    <w:p w14:paraId="0FDA928B" w14:textId="77777777" w:rsidR="00695AE2" w:rsidRPr="00503014" w:rsidRDefault="00695AE2" w:rsidP="00695AE2">
      <w:pPr>
        <w:spacing w:line="240" w:lineRule="auto"/>
        <w:jc w:val="both"/>
        <w:rPr>
          <w:rFonts w:eastAsia="Calibri"/>
        </w:rPr>
      </w:pPr>
    </w:p>
    <w:p w14:paraId="4F3497F7"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Državno odvetništvo RS, ki obravnava vse bolj kompleksne in zahtevne primere, se trudi, da s temeljito pripravo in študijem oziroma natančno, celovito in poglobljeno proučitvijo relevantne dejanske in pravne podlage zastopanemu subjektu argumentirano predloži na izkustvu utemeljena strokovna stališča o tem, kako se lahko v posameznem sporu optimalno zaščitijo premoženjski in drugi interesi zastopanega subjekta, skupaj z navedbo ustaljene sodne prakse, če ta obstaja, in vseh ustreznih predpisov, ki to oceno utemeljujejo. </w:t>
      </w:r>
    </w:p>
    <w:p w14:paraId="2FB6C4C9" w14:textId="77777777" w:rsidR="00695AE2" w:rsidRPr="00503014" w:rsidRDefault="00695AE2" w:rsidP="00695AE2">
      <w:pPr>
        <w:spacing w:line="240" w:lineRule="auto"/>
        <w:jc w:val="both"/>
        <w:rPr>
          <w:rFonts w:eastAsia="Calibri"/>
        </w:rPr>
      </w:pPr>
    </w:p>
    <w:p w14:paraId="11A815A2" w14:textId="77777777" w:rsidR="00695AE2" w:rsidRPr="00503014" w:rsidRDefault="00695AE2" w:rsidP="00695AE2">
      <w:pPr>
        <w:spacing w:line="240" w:lineRule="auto"/>
        <w:jc w:val="both"/>
        <w:rPr>
          <w:rFonts w:eastAsia="Calibri"/>
        </w:rPr>
      </w:pPr>
      <w:r w:rsidRPr="00503014">
        <w:rPr>
          <w:rFonts w:eastAsia="Calibri"/>
        </w:rPr>
        <w:t>Državno odvetništvo RS intenzivno sodeluje s posameznimi ministrstvi v zadevah, v katerih jih zastopa. Državni odvetniki v zadevah, ki jih imajo v obravnavi, zastopanim subjektom redno poročajo o poteku postopka oziroma opravljenih procesnih dejanjih. Po potrebi se izvedejo skupni sestanki, na katerih se državni odvetniki in predstavniki zastopanega subjekta pogovorijo o odprtih dejanskih in pravnih vprašanjih v posameznih zadevah ter se upoštevaje pravno oceno primera dogovorijo o postopanju, ki bi Republiko Slovenijo pripeljalo do zanjo čim ugodnejšega zaključka predhodnega postopka mirnega reševanja spora ali sodnega postopka. Seveda so tudi primeri, da zastopani subjekt ne upošteva strokovnega in izkustvenega mnenja nosilca zadeve, kar posledično lahko povzroči nepotrebne stroške v breme proračuna, ki bi se jim bilo možno izogniti. Vendar pa je na tem mestu treba poudariti, da je bilo v času od uveljavitve ZDOdv zaradi nestrinjanja med državnim odvetnikom in zastopanim subjektom izvedenih le nekaj postopkov na podlagi 16. člena ZDOdv. To pomeni, da so državni odvetniki in zastopani subjekti glede bistvenih procesnih dejanj skoraj vedno nekako uspeli poenotiti stališča. Poenotenje stališč pa je za državnega odvetnika še poseben izziv v zadevah, v katerih je v postopek vpletenih več državnih organov, ki imajo morda različne, lahko celo nasprotujoče si poglede na s strani nasprotne stranke zatrjevano dejansko in pravno podlago zahtevka. Državni odvetniki si v takšnih primerih aktivno prizadevajo za oblikovanje in sprejem stališča, ki bo po njegovi oceni rezultiralo v čim manjšo obremenitev državnega proračuna oziroma proračuna posameznih proračunskih uporabnikov in je smiselno, da ga Republika Slovenija kot enovita stranka zastopa navzven. Pri tem je seveda bistveno, da predstavijo celovito pravno oceno zadeve z navedbo ustaljene sodne prakse in vseh relevantnih predpisov, ki to oceno utemeljujejo.</w:t>
      </w:r>
    </w:p>
    <w:p w14:paraId="16DDF781" w14:textId="77777777" w:rsidR="00695AE2" w:rsidRPr="00503014" w:rsidRDefault="00695AE2" w:rsidP="00695AE2">
      <w:pPr>
        <w:spacing w:line="240" w:lineRule="auto"/>
        <w:jc w:val="both"/>
        <w:rPr>
          <w:rFonts w:eastAsia="Calibri"/>
        </w:rPr>
      </w:pPr>
      <w:r w:rsidRPr="00503014">
        <w:rPr>
          <w:rFonts w:eastAsia="Calibri"/>
        </w:rPr>
        <w:lastRenderedPageBreak/>
        <w:t xml:space="preserve">Tudi v primeru »množičnih sporov« oziroma v primerih enakih pravnih in dejanskih stanj si Državno odvetništvo RS prizadeva, da v okviru svoje svetovalne in pogajalske funkcije usklajuje stališča z zastopanimi subjekti, znotraj organa pa si prizadeva za poenoteno delo in usklajeno ravnanje državnih odvetnikov. Tako se izvajajo dejavnosti z namenom pridobitve ter proučitve pomembnih informacij glede pravnega in dejanskega stanja, proučitve in izmenjave pravnih stališč ter pravnih mnenj, pregleda sodne prakse, poenotenja dela in podobno, s čimer se zagotavlja enakopravna obravnava subjektov v pravno in dejansko podobnih primerih. </w:t>
      </w:r>
    </w:p>
    <w:p w14:paraId="5C6CDD1D" w14:textId="77777777" w:rsidR="00695AE2" w:rsidRPr="00503014" w:rsidRDefault="00695AE2" w:rsidP="00695AE2">
      <w:pPr>
        <w:spacing w:line="240" w:lineRule="auto"/>
        <w:jc w:val="both"/>
        <w:rPr>
          <w:rFonts w:eastAsia="Calibri"/>
        </w:rPr>
      </w:pPr>
    </w:p>
    <w:p w14:paraId="576B85CA" w14:textId="77777777" w:rsidR="00695AE2" w:rsidRPr="00503014" w:rsidRDefault="00695AE2" w:rsidP="00695AE2">
      <w:pPr>
        <w:spacing w:line="240" w:lineRule="auto"/>
        <w:jc w:val="both"/>
        <w:rPr>
          <w:rFonts w:eastAsia="Calibri"/>
        </w:rPr>
      </w:pPr>
      <w:r w:rsidRPr="00503014">
        <w:rPr>
          <w:rFonts w:eastAsia="Calibri"/>
        </w:rPr>
        <w:t>Državno odvetništvo RS tako zagotavlja pravno varstvo interesov, ki presegajo pomen posamičnih primerov, saj  je državni odvetnik dolžan ravnati v mejah javnega interesa po najvišjih etičnih standardih in v polju zakonitosti, pri tem pa mora ob upoštevanju javnofinančnih predpisov varovati načelo enakega obravnavanja nasprotnih strank v enakih oziroma primerljivih dejanskih okoliščinah.</w:t>
      </w:r>
    </w:p>
    <w:p w14:paraId="52F87192" w14:textId="77777777" w:rsidR="00695AE2" w:rsidRPr="00503014" w:rsidRDefault="00695AE2" w:rsidP="00695AE2">
      <w:pPr>
        <w:spacing w:line="240" w:lineRule="auto"/>
        <w:jc w:val="both"/>
        <w:rPr>
          <w:rFonts w:eastAsia="Calibri"/>
        </w:rPr>
      </w:pPr>
    </w:p>
    <w:p w14:paraId="2029CA0E" w14:textId="77777777" w:rsidR="00695AE2" w:rsidRPr="00503014" w:rsidRDefault="00695AE2" w:rsidP="00695AE2">
      <w:pPr>
        <w:spacing w:line="240" w:lineRule="auto"/>
        <w:jc w:val="both"/>
        <w:rPr>
          <w:rFonts w:eastAsia="Calibri"/>
        </w:rPr>
      </w:pPr>
      <w:r w:rsidRPr="00503014">
        <w:rPr>
          <w:rFonts w:eastAsia="Calibri"/>
        </w:rPr>
        <w:t>Po oceni Državnega odvetništva RS je sodelovanje z zastopanimi subjekti korektno in konstruktivno ter temelji na strokovnosti, kolegialnosti in spoštovanju. Kljub temu se še prepogosto zgodi, da je argumentirano stališče državnega odvetnika neupoštevano, v posledici česar strokovni angažma državnega odvetnika ne doseže optimalnega učinka. K učinkovitejšemu zastopanju bi poleg tega pogosto pripomoglo večje</w:t>
      </w:r>
      <w:r>
        <w:rPr>
          <w:rFonts w:eastAsia="Calibri"/>
        </w:rPr>
        <w:t xml:space="preserve"> zavedanje</w:t>
      </w:r>
      <w:r w:rsidRPr="00503014">
        <w:rPr>
          <w:rFonts w:eastAsia="Calibri"/>
        </w:rPr>
        <w:t xml:space="preserve"> o tem, kako pomembno je pravočasno in celovito posredovanje podatkov in dokazil v zvezi z dejanskim stanjem zadeve, za kar je odgovoren zastopani subjekt. Državni odvetniki so namreč vezani na številne prekluzivne roke sodišča, na razporeditev teh rokov in količino pripada ne morejo vplivati, do podatkov in dokazil v zvezi z dejanskim stanjem pa nimajo dostopa, saj z njimi razpolaga zastopani subjekt. Do uspešnega zastopanje interesov Republike Slovenije v sodnih in upravnih postopkih lahko torej vodi le tvorno in predano sodelovanje državnega odvetnika in stranke, ki jo zastopa.</w:t>
      </w:r>
    </w:p>
    <w:p w14:paraId="7E3930A8" w14:textId="77777777" w:rsidR="00695AE2" w:rsidRPr="00503014" w:rsidRDefault="00695AE2" w:rsidP="00695AE2">
      <w:pPr>
        <w:spacing w:line="240" w:lineRule="auto"/>
        <w:jc w:val="both"/>
        <w:rPr>
          <w:rFonts w:eastAsia="Calibri"/>
        </w:rPr>
      </w:pPr>
    </w:p>
    <w:p w14:paraId="730C985C" w14:textId="77777777" w:rsidR="00695AE2" w:rsidRPr="00503014" w:rsidRDefault="00695AE2" w:rsidP="00695AE2">
      <w:pPr>
        <w:spacing w:line="240" w:lineRule="auto"/>
        <w:jc w:val="both"/>
        <w:rPr>
          <w:rFonts w:eastAsia="Calibri"/>
        </w:rPr>
      </w:pPr>
      <w:r w:rsidRPr="00503014">
        <w:rPr>
          <w:rFonts w:eastAsia="Calibri"/>
        </w:rPr>
        <w:t xml:space="preserve">Državno odvetništvo RS si bo še naprej prizadevalo za vodenje zadev na način, ki vodi k čim učinkovitejši zaščiti premoženjskih in morebitnih drugih interesov države in državnih organov. </w:t>
      </w:r>
    </w:p>
    <w:p w14:paraId="453E0106" w14:textId="77777777" w:rsidR="00695AE2" w:rsidRPr="00503014" w:rsidRDefault="00695AE2" w:rsidP="00695AE2">
      <w:pPr>
        <w:spacing w:line="240" w:lineRule="auto"/>
        <w:jc w:val="both"/>
        <w:rPr>
          <w:rFonts w:eastAsia="Calibri"/>
        </w:rPr>
      </w:pPr>
    </w:p>
    <w:p w14:paraId="76BA29E7" w14:textId="77777777" w:rsidR="00695AE2" w:rsidRPr="00503014" w:rsidRDefault="00695AE2" w:rsidP="00695AE2">
      <w:pPr>
        <w:pStyle w:val="Naslov4"/>
      </w:pPr>
      <w:bookmarkStart w:id="223" w:name="_Toc168844795"/>
      <w:bookmarkStart w:id="224" w:name="_Toc191561789"/>
      <w:bookmarkStart w:id="225" w:name="_Toc223093784"/>
      <w:r w:rsidRPr="00503014">
        <w:t>Svetovalna vloga Državnega odvetništva RS</w:t>
      </w:r>
      <w:bookmarkEnd w:id="223"/>
      <w:bookmarkEnd w:id="224"/>
      <w:bookmarkEnd w:id="225"/>
    </w:p>
    <w:p w14:paraId="5EE6843E" w14:textId="77777777" w:rsidR="00695AE2" w:rsidRPr="00503014" w:rsidRDefault="00695AE2" w:rsidP="00695AE2">
      <w:pPr>
        <w:spacing w:line="240" w:lineRule="auto"/>
        <w:jc w:val="both"/>
        <w:rPr>
          <w:rFonts w:eastAsia="Calibri"/>
        </w:rPr>
      </w:pPr>
    </w:p>
    <w:p w14:paraId="4C6C2C25" w14:textId="77777777" w:rsidR="00695AE2" w:rsidRPr="00503014" w:rsidRDefault="00695AE2" w:rsidP="00695AE2">
      <w:pPr>
        <w:spacing w:line="240" w:lineRule="auto"/>
        <w:jc w:val="both"/>
        <w:rPr>
          <w:rFonts w:eastAsia="Calibri"/>
        </w:rPr>
      </w:pPr>
      <w:r w:rsidRPr="00503014">
        <w:rPr>
          <w:rFonts w:eastAsia="Calibri"/>
        </w:rPr>
        <w:t xml:space="preserve">Z izvajanjem poudarjene svetovalne funkcije je dan večji poudarek preventivnemu delovanju Državnega odvetništva RS v vlogi varuha premoženjskih koristi in interesov Republike Slovenije. Pristojnost pravnega svetovanja ima podlago v 24. členu ZDOdv, ki določa, da državno odvetništvo državi in državnim organom svetuje v premoženjskopravnih zadevah, svetovalna funkcija državnega odvetništva v obliki oblikovanja pravnih mnenj pa ima temelj v določbah 25. in 26. člena ZDOdv. </w:t>
      </w:r>
    </w:p>
    <w:p w14:paraId="6CE65750" w14:textId="77777777" w:rsidR="00695AE2" w:rsidRPr="00503014" w:rsidRDefault="00695AE2" w:rsidP="00695AE2">
      <w:pPr>
        <w:spacing w:line="240" w:lineRule="auto"/>
        <w:jc w:val="both"/>
        <w:rPr>
          <w:rFonts w:eastAsia="Calibri"/>
        </w:rPr>
      </w:pPr>
    </w:p>
    <w:p w14:paraId="5BB08A07"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Namen ureditve je predvsem v tem, da se s pravnim svetovanjem oziroma oblikovanjem pravnega mnenja zmanjša tveganje za nastanek spornih razmerij, ki lahko v skrajni fazi privedejo do sodnih postopkov. </w:t>
      </w:r>
    </w:p>
    <w:p w14:paraId="1EAC1306" w14:textId="77777777" w:rsidR="00695AE2" w:rsidRPr="00503014" w:rsidRDefault="00695AE2" w:rsidP="00695AE2">
      <w:pPr>
        <w:spacing w:line="240" w:lineRule="auto"/>
        <w:jc w:val="both"/>
        <w:rPr>
          <w:rFonts w:eastAsia="Calibri"/>
        </w:rPr>
      </w:pPr>
    </w:p>
    <w:p w14:paraId="4A6296E9" w14:textId="77777777" w:rsidR="00695AE2" w:rsidRPr="00503014" w:rsidRDefault="00695AE2" w:rsidP="00695AE2">
      <w:pPr>
        <w:spacing w:line="240" w:lineRule="auto"/>
        <w:jc w:val="both"/>
        <w:rPr>
          <w:rFonts w:eastAsia="Calibri"/>
        </w:rPr>
      </w:pPr>
      <w:r w:rsidRPr="00503014">
        <w:rPr>
          <w:rFonts w:eastAsia="Calibri"/>
        </w:rPr>
        <w:t xml:space="preserve">Ključne naloge svetovalne funkcije so opozarjanje predlagateljev predpisov na nekatere bolj ali manj (ne)posrečene zakonodajne rešitve, predlaganje sprememb in dopolnitev posameznih predpisov, upoštevaje pri tem sodno prakso, opozarjanje na neustrezno prakso pravnega odločanja posameznih državnih organov, iz katere izvirajo spori, ter nudenje strokovne pomoči </w:t>
      </w:r>
      <w:r w:rsidRPr="00503014">
        <w:rPr>
          <w:rFonts w:eastAsia="Calibri"/>
        </w:rPr>
        <w:lastRenderedPageBreak/>
        <w:t xml:space="preserve">v obliki pravnih mnenj, povezanih z varstvom premoženjskih in drugih pravic in interesov Republike Slovenije. </w:t>
      </w:r>
    </w:p>
    <w:p w14:paraId="4344384B" w14:textId="77777777" w:rsidR="00695AE2" w:rsidRPr="00503014" w:rsidRDefault="00695AE2" w:rsidP="00695AE2">
      <w:pPr>
        <w:spacing w:line="240" w:lineRule="auto"/>
        <w:jc w:val="both"/>
        <w:rPr>
          <w:rFonts w:eastAsia="Calibri"/>
        </w:rPr>
      </w:pPr>
    </w:p>
    <w:p w14:paraId="2B30724F" w14:textId="77777777" w:rsidR="00695AE2" w:rsidRPr="00503014" w:rsidRDefault="00695AE2" w:rsidP="00695AE2">
      <w:pPr>
        <w:spacing w:line="240" w:lineRule="auto"/>
        <w:jc w:val="both"/>
        <w:rPr>
          <w:rFonts w:eastAsia="Calibri"/>
        </w:rPr>
      </w:pPr>
      <w:r w:rsidRPr="00503014">
        <w:rPr>
          <w:rFonts w:eastAsia="Calibri"/>
        </w:rPr>
        <w:t>Pri oblikovanju pravnih mnenj gre za strokovno izjemno zahtevno nalogo, pravna mnenja pa se nanašajo na različna pravna področja in izjemno različne vsebine ter problematiko urejanja varstva premoženjskih in drugih pravic ter interesov Republike Slovenije, pogosto pa so zahtevana v izjemno kratkih, včasih le nekajurnih rokih. Sicer državni odvetniki izvajajo pravno svetovanje tudi v posameznih zadevah, ki jih obravnavajo tako v primeru predhodnega postopka poskusa mirne rešitve spornega razmerja kot tudi v okviru sodnega postopka.</w:t>
      </w:r>
    </w:p>
    <w:p w14:paraId="7C9E0B1A" w14:textId="77777777" w:rsidR="00695AE2" w:rsidRPr="00503014" w:rsidRDefault="00695AE2" w:rsidP="00695AE2">
      <w:pPr>
        <w:spacing w:line="240" w:lineRule="auto"/>
        <w:jc w:val="both"/>
        <w:rPr>
          <w:rFonts w:eastAsia="Calibri"/>
        </w:rPr>
      </w:pPr>
    </w:p>
    <w:p w14:paraId="561CCC72" w14:textId="77777777" w:rsidR="00695AE2" w:rsidRPr="00503014" w:rsidRDefault="00695AE2" w:rsidP="00695AE2">
      <w:pPr>
        <w:spacing w:line="240" w:lineRule="auto"/>
        <w:jc w:val="both"/>
        <w:rPr>
          <w:rFonts w:eastAsia="Calibri"/>
        </w:rPr>
      </w:pPr>
      <w:r w:rsidRPr="00503014">
        <w:rPr>
          <w:rFonts w:eastAsia="Calibri"/>
        </w:rPr>
        <w:t xml:space="preserve">Državno odvetništvo RS ob izvrševanju svojih rednih pristojnosti in izvajanju nalog pogosto zazna  pomembna pravna vprašanja, ki jih je treba obravnavati za zaščito interesov Republike Slovenije, oziroma pravno problematiko, za katero meni, da je oziroma bi lahko bila sporna, s pravilnim pravnim postopanjem pa bi se lahko izognili kasnejšim pravnim sporom in finančnim odlivom iz proračuna. Zato je Državno odvetništvo RS z namenom večje učinkovitosti poslovanja Republike Slovenije in proaktivnega delovanja Državnega odvetništva RS na sistemski ravni ter v smeri zaščite premoženjskih in drugih interesov Republike Slovenije ter krepitve pravne države in varovanja javnega interesa poleg oblikovanja pravnih mnenj v posameznih zadevah začelo oblikovati tudi priporočila, čeprav ZDOdv takih priporočil izrecno ne ureja. Želja je uvesti prakso preventivnega izdajanja priporočil državnim organom z namenom zaščite interesov Republike Slovenije pri njenem poslovanju in sklepanju pogodb ter hkrati zaščite proračunskih sredstev. V takšnih primerih bo na možnost izognitve sporom z izoblikovanimi predlogi postopanja Državno odvetništvo RS opozorilo pristojne organe. S sledenjem priporočilom se bodo lahko določena finančna tveganja države pri njenem poslovanju vnaprej obvladala oziroma se bodo pogodbe oblikovale tako, da bodo v največji možni meri zavarovani premoženjski interesi in druge pravice in interesi Republike Slovenije. </w:t>
      </w:r>
    </w:p>
    <w:p w14:paraId="29DC0FC0" w14:textId="77777777" w:rsidR="00695AE2" w:rsidRPr="00503014" w:rsidRDefault="00695AE2" w:rsidP="00695AE2">
      <w:pPr>
        <w:spacing w:line="240" w:lineRule="auto"/>
        <w:jc w:val="both"/>
        <w:rPr>
          <w:rFonts w:eastAsia="Calibri"/>
        </w:rPr>
      </w:pPr>
    </w:p>
    <w:p w14:paraId="7A550686"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Kakovostna, strokovna in poglobljena obravnava zadev z različnih pravnih področij ter hitro, jasno in izdelano pravno svetovanje in oblikovanje pravnih mnenj so cilji, ki jim bo Državno odvetništvo RS pri izvajanju svetovalne funkcije še naprej sledilo. </w:t>
      </w:r>
    </w:p>
    <w:p w14:paraId="2AE8315A" w14:textId="77777777" w:rsidR="00695AE2" w:rsidRPr="00503014" w:rsidRDefault="00695AE2" w:rsidP="00695AE2">
      <w:pPr>
        <w:spacing w:line="240" w:lineRule="auto"/>
        <w:jc w:val="both"/>
        <w:rPr>
          <w:rFonts w:eastAsia="Times New Roman"/>
          <w:lang w:eastAsia="sl-SI"/>
        </w:rPr>
      </w:pPr>
    </w:p>
    <w:p w14:paraId="28BA081D" w14:textId="77777777" w:rsidR="00695AE2" w:rsidRPr="00503014" w:rsidRDefault="00695AE2" w:rsidP="00695AE2">
      <w:pPr>
        <w:pStyle w:val="Naslov4"/>
      </w:pPr>
      <w:bookmarkStart w:id="226" w:name="_Toc168844796"/>
      <w:bookmarkStart w:id="227" w:name="_Toc191561790"/>
      <w:bookmarkStart w:id="228" w:name="_Toc223093785"/>
      <w:r w:rsidRPr="00503014">
        <w:t>Oblike kolegijskega dela</w:t>
      </w:r>
      <w:bookmarkEnd w:id="226"/>
      <w:bookmarkEnd w:id="227"/>
      <w:bookmarkEnd w:id="228"/>
      <w:r w:rsidRPr="00503014">
        <w:t xml:space="preserve"> </w:t>
      </w:r>
    </w:p>
    <w:p w14:paraId="03D5FFC7" w14:textId="77777777" w:rsidR="00695AE2" w:rsidRPr="00503014" w:rsidRDefault="00695AE2" w:rsidP="00695AE2">
      <w:pPr>
        <w:pStyle w:val="Jasna"/>
      </w:pPr>
    </w:p>
    <w:p w14:paraId="43C23475" w14:textId="77777777" w:rsidR="00695AE2" w:rsidRPr="00503014" w:rsidRDefault="00695AE2" w:rsidP="00695AE2">
      <w:pPr>
        <w:pStyle w:val="Naslov5"/>
        <w:rPr>
          <w:b/>
        </w:rPr>
      </w:pPr>
      <w:bookmarkStart w:id="229" w:name="_Toc168844797"/>
      <w:bookmarkStart w:id="230" w:name="_Toc191561791"/>
      <w:bookmarkStart w:id="231" w:name="_Toc223093786"/>
      <w:r w:rsidRPr="00503014">
        <w:t>Splošno</w:t>
      </w:r>
      <w:bookmarkEnd w:id="229"/>
      <w:bookmarkEnd w:id="230"/>
      <w:bookmarkEnd w:id="231"/>
    </w:p>
    <w:p w14:paraId="0C634B11" w14:textId="77777777" w:rsidR="00695AE2" w:rsidRPr="00503014" w:rsidRDefault="00695AE2" w:rsidP="00695AE2">
      <w:pPr>
        <w:pStyle w:val="Jasna"/>
      </w:pPr>
    </w:p>
    <w:p w14:paraId="5843877E" w14:textId="77777777" w:rsidR="00695AE2" w:rsidRPr="00503014" w:rsidRDefault="00695AE2" w:rsidP="00695AE2">
      <w:pPr>
        <w:spacing w:line="240" w:lineRule="auto"/>
        <w:jc w:val="both"/>
        <w:rPr>
          <w:rFonts w:eastAsia="Calibri"/>
        </w:rPr>
      </w:pPr>
      <w:r w:rsidRPr="00503014">
        <w:rPr>
          <w:rFonts w:eastAsia="Calibri"/>
        </w:rPr>
        <w:t>ZDOdv v prvem odstavku 40. člena določa, da je kolegij državnega odvetništva strokovno posvetovalno telo, ki sprejema zlasti stališča o vprašanjih, pomembnih za enotno uporabo zakonov in enotno izvrševanje pristojnosti državnega odvetništva. V tretjem odstavku citiranega člena je nato določeno, da se podrobnejša pravila o pristojnostih in organiziranju dela kolegija državnega odvetništva določijo v podzakonskem predpisu, ki ureja poslovanje državnega odvetništva. V prvem in tretjem odstavku 50. člena pa je določeno, da generalni državni odvetnik vodi in predstavlja državno odvetništvo, organizira in usklajuje delo državnih odvetnikov ter odgovarja za zakonitost, kakovost in učinkovitost dela državnega odvetništva. Generalni državni odvetnik daje splošna navodila za delo, s katerimi se zagotavljata enotna uporaba predpisov in enotno opravljanje nalog državnega odvetništva.</w:t>
      </w:r>
    </w:p>
    <w:p w14:paraId="31B1CF15" w14:textId="77777777" w:rsidR="00695AE2" w:rsidRPr="00503014" w:rsidRDefault="00695AE2" w:rsidP="00695AE2">
      <w:pPr>
        <w:spacing w:line="240" w:lineRule="auto"/>
        <w:jc w:val="both"/>
        <w:rPr>
          <w:rFonts w:eastAsia="Calibri"/>
        </w:rPr>
      </w:pPr>
    </w:p>
    <w:p w14:paraId="0D621819" w14:textId="77777777" w:rsidR="00695AE2" w:rsidRPr="00503014" w:rsidRDefault="00695AE2" w:rsidP="00695AE2">
      <w:pPr>
        <w:spacing w:line="240" w:lineRule="auto"/>
        <w:jc w:val="both"/>
        <w:rPr>
          <w:rFonts w:eastAsia="Calibri"/>
        </w:rPr>
      </w:pPr>
      <w:r w:rsidRPr="00503014">
        <w:rPr>
          <w:rFonts w:eastAsia="Calibri"/>
        </w:rPr>
        <w:lastRenderedPageBreak/>
        <w:t xml:space="preserve">Pravilnik o poslovanju državnega odvetništva v 14. členu določa oblike kolegijskega dela, v 15. členu pa pristojnosti kolegija državnega odvetništva. </w:t>
      </w:r>
    </w:p>
    <w:p w14:paraId="074324CB" w14:textId="77777777" w:rsidR="00695AE2" w:rsidRPr="00503014" w:rsidRDefault="00695AE2" w:rsidP="00695AE2">
      <w:pPr>
        <w:spacing w:line="240" w:lineRule="auto"/>
        <w:jc w:val="both"/>
        <w:rPr>
          <w:rFonts w:eastAsia="Calibri"/>
        </w:rPr>
      </w:pPr>
    </w:p>
    <w:p w14:paraId="35E72B95" w14:textId="77777777" w:rsidR="00695AE2" w:rsidRPr="00503014" w:rsidRDefault="00695AE2" w:rsidP="00695AE2">
      <w:pPr>
        <w:spacing w:line="240" w:lineRule="auto"/>
        <w:jc w:val="both"/>
        <w:rPr>
          <w:rFonts w:eastAsia="Calibri"/>
        </w:rPr>
      </w:pPr>
      <w:r w:rsidRPr="00503014">
        <w:rPr>
          <w:rFonts w:eastAsia="Calibri"/>
        </w:rPr>
        <w:t>Oblike kolegijskega dela so:</w:t>
      </w:r>
    </w:p>
    <w:p w14:paraId="007FB093" w14:textId="77777777" w:rsidR="00695AE2" w:rsidRPr="00503014" w:rsidRDefault="00695AE2" w:rsidP="00695AE2">
      <w:pPr>
        <w:numPr>
          <w:ilvl w:val="0"/>
          <w:numId w:val="38"/>
        </w:numPr>
        <w:spacing w:line="240" w:lineRule="auto"/>
        <w:contextualSpacing/>
        <w:jc w:val="both"/>
        <w:rPr>
          <w:rFonts w:eastAsia="Calibri"/>
        </w:rPr>
      </w:pPr>
      <w:r w:rsidRPr="00503014">
        <w:rPr>
          <w:rFonts w:eastAsia="Calibri"/>
        </w:rPr>
        <w:t>kolegij državnega odvetništva,</w:t>
      </w:r>
    </w:p>
    <w:p w14:paraId="3DA5A8C8" w14:textId="77777777" w:rsidR="00695AE2" w:rsidRPr="00503014" w:rsidRDefault="00695AE2" w:rsidP="00695AE2">
      <w:pPr>
        <w:numPr>
          <w:ilvl w:val="0"/>
          <w:numId w:val="38"/>
        </w:numPr>
        <w:spacing w:line="240" w:lineRule="auto"/>
        <w:contextualSpacing/>
        <w:jc w:val="both"/>
        <w:rPr>
          <w:rFonts w:eastAsia="Calibri"/>
        </w:rPr>
      </w:pPr>
      <w:r w:rsidRPr="00503014">
        <w:rPr>
          <w:rFonts w:eastAsia="Calibri"/>
        </w:rPr>
        <w:t>sestanki enega oddelka, več ali vseh oddelkov ali drugih organizacijskih enot,</w:t>
      </w:r>
    </w:p>
    <w:p w14:paraId="1748CF09" w14:textId="77777777" w:rsidR="00695AE2" w:rsidRPr="00503014" w:rsidRDefault="00695AE2" w:rsidP="00695AE2">
      <w:pPr>
        <w:numPr>
          <w:ilvl w:val="0"/>
          <w:numId w:val="38"/>
        </w:numPr>
        <w:spacing w:line="240" w:lineRule="auto"/>
        <w:contextualSpacing/>
        <w:jc w:val="both"/>
        <w:rPr>
          <w:rFonts w:eastAsia="Calibri"/>
        </w:rPr>
      </w:pPr>
      <w:r w:rsidRPr="00503014">
        <w:rPr>
          <w:rFonts w:eastAsia="Calibri"/>
        </w:rPr>
        <w:t>stalne ali občasne delovne skupine.</w:t>
      </w:r>
    </w:p>
    <w:p w14:paraId="5F3B4B0F" w14:textId="77777777" w:rsidR="00695AE2" w:rsidRPr="00503014" w:rsidRDefault="00695AE2" w:rsidP="00695AE2">
      <w:pPr>
        <w:spacing w:line="240" w:lineRule="auto"/>
        <w:jc w:val="both"/>
        <w:rPr>
          <w:rFonts w:eastAsia="Calibri"/>
        </w:rPr>
      </w:pPr>
    </w:p>
    <w:p w14:paraId="00BB6089" w14:textId="77777777" w:rsidR="00695AE2" w:rsidRPr="00503014" w:rsidRDefault="00695AE2" w:rsidP="00695AE2">
      <w:pPr>
        <w:spacing w:line="240" w:lineRule="auto"/>
        <w:jc w:val="both"/>
        <w:rPr>
          <w:rFonts w:eastAsia="Calibri"/>
        </w:rPr>
      </w:pPr>
      <w:r w:rsidRPr="00503014">
        <w:rPr>
          <w:rFonts w:eastAsia="Calibri"/>
        </w:rPr>
        <w:t>Generalni državni odvetnik sklicuje kolegij in sestanke ter imenuje delovne skupine. Sestanke oddelka na sedežu oziroma zunanjega oddelka lahko poleg generalnega državnega odvetnika sklicuje tudi vodja oddelka.</w:t>
      </w:r>
    </w:p>
    <w:p w14:paraId="2F731255" w14:textId="77777777" w:rsidR="00695AE2" w:rsidRPr="00503014" w:rsidRDefault="00695AE2" w:rsidP="00695AE2">
      <w:pPr>
        <w:spacing w:line="240" w:lineRule="auto"/>
        <w:jc w:val="both"/>
        <w:rPr>
          <w:rFonts w:eastAsia="Calibri"/>
        </w:rPr>
      </w:pPr>
    </w:p>
    <w:p w14:paraId="6C9300F2" w14:textId="77777777" w:rsidR="00695AE2" w:rsidRPr="00503014" w:rsidRDefault="00695AE2" w:rsidP="00695AE2">
      <w:pPr>
        <w:spacing w:line="240" w:lineRule="auto"/>
        <w:jc w:val="both"/>
        <w:rPr>
          <w:rFonts w:eastAsia="Calibri"/>
        </w:rPr>
      </w:pPr>
      <w:r w:rsidRPr="00503014">
        <w:rPr>
          <w:rFonts w:eastAsia="Calibri"/>
        </w:rPr>
        <w:t>Zgoraj navedene oblike kolegijskega dela so namenjene:</w:t>
      </w:r>
    </w:p>
    <w:p w14:paraId="5E9846DA" w14:textId="77777777" w:rsidR="00695AE2" w:rsidRPr="00503014" w:rsidRDefault="00695AE2" w:rsidP="00695AE2">
      <w:pPr>
        <w:numPr>
          <w:ilvl w:val="0"/>
          <w:numId w:val="39"/>
        </w:numPr>
        <w:spacing w:line="240" w:lineRule="auto"/>
        <w:contextualSpacing/>
        <w:jc w:val="both"/>
        <w:rPr>
          <w:rFonts w:eastAsia="Calibri"/>
        </w:rPr>
      </w:pPr>
      <w:r w:rsidRPr="00503014">
        <w:rPr>
          <w:rFonts w:eastAsia="Calibri"/>
        </w:rPr>
        <w:t>usklajevanju dela in učinkovitemu opravljanju zadev z delovnega področja državnega odvetništva,</w:t>
      </w:r>
    </w:p>
    <w:p w14:paraId="12E2EFE4" w14:textId="77777777" w:rsidR="00695AE2" w:rsidRPr="00503014" w:rsidRDefault="00695AE2" w:rsidP="00695AE2">
      <w:pPr>
        <w:numPr>
          <w:ilvl w:val="0"/>
          <w:numId w:val="39"/>
        </w:numPr>
        <w:spacing w:line="240" w:lineRule="auto"/>
        <w:contextualSpacing/>
        <w:jc w:val="both"/>
        <w:rPr>
          <w:rFonts w:eastAsia="Calibri"/>
        </w:rPr>
      </w:pPr>
      <w:r w:rsidRPr="00503014">
        <w:rPr>
          <w:rFonts w:eastAsia="Calibri"/>
        </w:rPr>
        <w:t>sprejemanju pravnih stališč do posameznih pravnih vprašanj,</w:t>
      </w:r>
    </w:p>
    <w:p w14:paraId="2719B760" w14:textId="77777777" w:rsidR="00695AE2" w:rsidRPr="00503014" w:rsidRDefault="00695AE2" w:rsidP="00695AE2">
      <w:pPr>
        <w:numPr>
          <w:ilvl w:val="0"/>
          <w:numId w:val="39"/>
        </w:numPr>
        <w:spacing w:line="240" w:lineRule="auto"/>
        <w:contextualSpacing/>
        <w:jc w:val="both"/>
        <w:rPr>
          <w:rFonts w:eastAsia="Calibri"/>
        </w:rPr>
      </w:pPr>
      <w:r w:rsidRPr="00503014">
        <w:rPr>
          <w:rFonts w:eastAsia="Calibri"/>
        </w:rPr>
        <w:t>usklajevanju dela posameznih oddelkov,</w:t>
      </w:r>
    </w:p>
    <w:p w14:paraId="209CA489" w14:textId="77777777" w:rsidR="00695AE2" w:rsidRPr="00503014" w:rsidRDefault="00695AE2" w:rsidP="00695AE2">
      <w:pPr>
        <w:numPr>
          <w:ilvl w:val="0"/>
          <w:numId w:val="39"/>
        </w:numPr>
        <w:spacing w:line="240" w:lineRule="auto"/>
        <w:contextualSpacing/>
        <w:jc w:val="both"/>
        <w:rPr>
          <w:rFonts w:eastAsia="Calibri"/>
        </w:rPr>
      </w:pPr>
      <w:r w:rsidRPr="00503014">
        <w:rPr>
          <w:rFonts w:eastAsia="Calibri"/>
        </w:rPr>
        <w:t>izboljšanju metode dela, strokovnega izpopolnjevanja in reševanju drugih vprašanj, ki so pomembna za delo državnega odvetništva.</w:t>
      </w:r>
    </w:p>
    <w:p w14:paraId="3460DA43" w14:textId="77777777" w:rsidR="00695AE2" w:rsidRPr="00503014" w:rsidRDefault="00695AE2" w:rsidP="00695AE2">
      <w:pPr>
        <w:spacing w:line="240" w:lineRule="auto"/>
        <w:jc w:val="both"/>
        <w:rPr>
          <w:rFonts w:eastAsia="Calibri"/>
        </w:rPr>
      </w:pPr>
    </w:p>
    <w:p w14:paraId="02A2028D" w14:textId="77777777" w:rsidR="00695AE2" w:rsidRPr="00503014" w:rsidRDefault="00695AE2" w:rsidP="00695AE2">
      <w:pPr>
        <w:spacing w:line="240" w:lineRule="auto"/>
        <w:jc w:val="both"/>
        <w:rPr>
          <w:rFonts w:eastAsia="Calibri"/>
        </w:rPr>
      </w:pPr>
      <w:r w:rsidRPr="00503014">
        <w:rPr>
          <w:rFonts w:eastAsia="Calibri"/>
        </w:rPr>
        <w:t xml:space="preserve">Kolegij državnega odvetništva sprejema stališča o vprašanjih, pomembnih za enotno uporabo predpisov in enotno izvrševanje pristojnosti državnega odvetništva. Pobudo za sprejetje ali spremembo že sprejetega pravnega stališča lahko da vsak državni odvetnik neposredno ali po vodji oddelka. </w:t>
      </w:r>
    </w:p>
    <w:p w14:paraId="1C489645" w14:textId="77777777" w:rsidR="00695AE2" w:rsidRPr="00503014" w:rsidRDefault="00695AE2" w:rsidP="00695AE2">
      <w:pPr>
        <w:spacing w:line="240" w:lineRule="auto"/>
        <w:jc w:val="both"/>
        <w:rPr>
          <w:rFonts w:eastAsia="Calibri"/>
        </w:rPr>
      </w:pPr>
    </w:p>
    <w:p w14:paraId="27B98DA4" w14:textId="77777777" w:rsidR="00695AE2" w:rsidRPr="00503014" w:rsidRDefault="00695AE2" w:rsidP="00695AE2">
      <w:pPr>
        <w:spacing w:line="240" w:lineRule="auto"/>
        <w:jc w:val="both"/>
        <w:rPr>
          <w:rFonts w:eastAsia="Calibri"/>
        </w:rPr>
      </w:pPr>
      <w:r w:rsidRPr="00503014">
        <w:rPr>
          <w:rFonts w:eastAsia="Calibri"/>
        </w:rPr>
        <w:t>Kolegiji Državnega odvetništva RS so se v letu 2025 izvajali tako v obliki krajših, praviloma vsakotedenskih kolegijev, katerih namen je izmenjava tekočih informacij, seznanitev s prejetimi zadevami in reševanje oziroma usklajevanje manjših odprtih vprašanj, kot v obliki občasnih daljših kolegijev, na katerih kolegij poglobljeno obravnava različno pravno ali organizacijsko problematiko.</w:t>
      </w:r>
    </w:p>
    <w:p w14:paraId="147B9C61" w14:textId="77777777" w:rsidR="00695AE2" w:rsidRPr="00503014" w:rsidRDefault="00695AE2" w:rsidP="00695AE2">
      <w:pPr>
        <w:spacing w:line="240" w:lineRule="auto"/>
        <w:jc w:val="both"/>
        <w:rPr>
          <w:rFonts w:eastAsia="Calibri"/>
        </w:rPr>
      </w:pPr>
    </w:p>
    <w:p w14:paraId="652AF9DF" w14:textId="77777777" w:rsidR="00695AE2" w:rsidRPr="00503014" w:rsidRDefault="00695AE2" w:rsidP="00695AE2">
      <w:pPr>
        <w:spacing w:line="240" w:lineRule="auto"/>
        <w:jc w:val="both"/>
        <w:rPr>
          <w:rFonts w:eastAsia="Calibri"/>
        </w:rPr>
      </w:pPr>
      <w:r w:rsidRPr="00503014">
        <w:rPr>
          <w:rFonts w:eastAsia="Calibri"/>
        </w:rPr>
        <w:t>Državno odvetništvo RS sprejema pravna stališča do posameznih pravnih vprašanj, ki se kažejo pri delu državnega odvetništva, na kolegijih ter delovnih sestankih oddelkov na sedežu in zunanjih oddelkih. O pravnih stališčih oddelka vodja oddelka obvesti generalnega državnega odvetnika, njegovega namestnika, vse državne odvetnike in kandidate. O pravnih stališčih, sprejetih na kolegiju državnega odvetništva, generalni državni odvetnik obvesti vse državne odvetnike in kandidate.</w:t>
      </w:r>
    </w:p>
    <w:p w14:paraId="3CC0C88A" w14:textId="77777777" w:rsidR="00695AE2" w:rsidRPr="00503014" w:rsidRDefault="00695AE2" w:rsidP="00695AE2">
      <w:pPr>
        <w:spacing w:line="240" w:lineRule="auto"/>
        <w:jc w:val="both"/>
        <w:rPr>
          <w:rFonts w:eastAsia="Calibri"/>
        </w:rPr>
      </w:pPr>
    </w:p>
    <w:p w14:paraId="4ADA1885" w14:textId="77777777" w:rsidR="00695AE2" w:rsidRPr="00503014" w:rsidRDefault="00695AE2" w:rsidP="00695AE2">
      <w:pPr>
        <w:spacing w:line="240" w:lineRule="auto"/>
        <w:jc w:val="both"/>
        <w:rPr>
          <w:rFonts w:eastAsia="Calibri"/>
        </w:rPr>
      </w:pPr>
      <w:r w:rsidRPr="00503014">
        <w:rPr>
          <w:rFonts w:eastAsia="Calibri"/>
        </w:rPr>
        <w:t xml:space="preserve">Državno odvetništvo RS velik poudarek daje pretoku znanja in izmenjavi stališč med oddelki oziroma neposredno med državnimi odvetniki. Problematika oddelkov in aktualna strokovna vprašanja se tako obravnavajo na sestankih oddelka, na katerih prisotni v dialogu oblikujejo skupna stališča. Na sestankih oddelkov se poleg tega prediskutira tudi aktualna sodna praksa. Vodje posameznih oddelkov pripravljajo pisne povzetke sodb višjih sodišč in Vrhovnega sodišča RS glede zadev, ki so jih obravnavali nosilci, razporejeni na posamezen oddelek, z njimi pa se nato seznanijo še vsi drugi pravniki na Državnem odvetništvu RS. Sodelovanje med oddelki pri obravnavi istovrstnih zahtevkov, ki so vloženi na različna krajevno pristojna sodišča, zaradi česar zadeve obravnavajo različni oddelki Državnega odvetništva RS, je odlično </w:t>
      </w:r>
      <w:r w:rsidRPr="00503014">
        <w:rPr>
          <w:rFonts w:eastAsia="Calibri"/>
        </w:rPr>
        <w:lastRenderedPageBreak/>
        <w:t xml:space="preserve">vzpostavljeno, prenos sodne prakse in tudi sodelovanje pri izmenjavi vlog ter dokazov je redno in uspešno. Državno odvetništvo RS si bo s ciljem še uspešnejšega izvajanja temeljnih nalog prizadevalo za še bolj poglobljeno in razširjeno sodelovanje med oddelki pri vsebinah, ki so lahko skupne, vendar jih zaradi različnih pravnih podlag obravnavajo različna sodišča. </w:t>
      </w:r>
    </w:p>
    <w:p w14:paraId="2BEB7D9C" w14:textId="77777777" w:rsidR="00695AE2" w:rsidRPr="00503014" w:rsidRDefault="00695AE2" w:rsidP="00695AE2">
      <w:pPr>
        <w:spacing w:line="240" w:lineRule="auto"/>
        <w:jc w:val="both"/>
        <w:rPr>
          <w:rFonts w:eastAsia="Calibri"/>
        </w:rPr>
      </w:pPr>
    </w:p>
    <w:p w14:paraId="043E949B" w14:textId="77777777" w:rsidR="00695AE2" w:rsidRPr="00503014" w:rsidRDefault="00695AE2" w:rsidP="00695AE2">
      <w:pPr>
        <w:spacing w:line="240" w:lineRule="auto"/>
        <w:jc w:val="both"/>
        <w:rPr>
          <w:rFonts w:eastAsia="Calibri"/>
        </w:rPr>
      </w:pPr>
      <w:r w:rsidRPr="00503014">
        <w:rPr>
          <w:rFonts w:eastAsia="Calibri"/>
        </w:rPr>
        <w:t xml:space="preserve">V posebej zahtevnih in kompleksnih zadevah se pogosto na spisu določijo dodatni nosilci spisa, ki so lahko razporejeni na različne oddelke, s čimer je zagotovljena poglobljena in široka strokovna pokritost zadeve, hkrati pa se zagotavljajo pogoji za neprekinjeno obravnavanje zadeve v primeru nepredvidenih okoliščin. </w:t>
      </w:r>
    </w:p>
    <w:p w14:paraId="6FD7A3FF" w14:textId="77777777" w:rsidR="00695AE2" w:rsidRPr="00503014" w:rsidRDefault="00695AE2" w:rsidP="00695AE2">
      <w:pPr>
        <w:tabs>
          <w:tab w:val="center" w:pos="2340"/>
        </w:tabs>
        <w:spacing w:line="240" w:lineRule="auto"/>
        <w:jc w:val="both"/>
        <w:rPr>
          <w:rFonts w:eastAsia="Calibri"/>
        </w:rPr>
      </w:pPr>
    </w:p>
    <w:p w14:paraId="3EBB557D" w14:textId="77777777" w:rsidR="00695AE2" w:rsidRPr="00503014" w:rsidRDefault="00695AE2" w:rsidP="00695AE2">
      <w:pPr>
        <w:pStyle w:val="Naslov5"/>
        <w:rPr>
          <w:b/>
        </w:rPr>
      </w:pPr>
      <w:bookmarkStart w:id="232" w:name="_Toc168844798"/>
      <w:bookmarkStart w:id="233" w:name="_Toc191561792"/>
      <w:bookmarkStart w:id="234" w:name="_Toc223093787"/>
      <w:r w:rsidRPr="00503014">
        <w:t>Delovne skupine</w:t>
      </w:r>
      <w:bookmarkEnd w:id="232"/>
      <w:bookmarkEnd w:id="233"/>
      <w:bookmarkEnd w:id="234"/>
    </w:p>
    <w:p w14:paraId="33CB6CF6" w14:textId="77777777" w:rsidR="00695AE2" w:rsidRPr="00503014" w:rsidRDefault="00695AE2" w:rsidP="00695AE2">
      <w:pPr>
        <w:tabs>
          <w:tab w:val="center" w:pos="2340"/>
        </w:tabs>
        <w:spacing w:line="240" w:lineRule="auto"/>
        <w:jc w:val="both"/>
        <w:rPr>
          <w:rFonts w:eastAsia="Calibri"/>
        </w:rPr>
      </w:pPr>
    </w:p>
    <w:p w14:paraId="1E1FD6F6" w14:textId="77777777" w:rsidR="00695AE2" w:rsidRPr="00503014" w:rsidRDefault="00695AE2" w:rsidP="00695AE2">
      <w:pPr>
        <w:tabs>
          <w:tab w:val="center" w:pos="2340"/>
        </w:tabs>
        <w:spacing w:line="240" w:lineRule="auto"/>
        <w:jc w:val="both"/>
        <w:rPr>
          <w:rFonts w:eastAsia="Calibri"/>
        </w:rPr>
      </w:pPr>
      <w:r w:rsidRPr="00503014">
        <w:rPr>
          <w:rFonts w:eastAsia="Calibri"/>
        </w:rPr>
        <w:t xml:space="preserve">Na Državnem odvetništvu RS je oblikovanih veliko stalnih in občasnih delovnih skupin, bodisi z namenom sprejemanja pravnih stališč glede posameznih pravnih vprašanj, usklajenega in enotnega dela na posameznem področju dela oziroma poslovanja organa ter glede drugih </w:t>
      </w:r>
      <w:r w:rsidRPr="00503014">
        <w:rPr>
          <w:rFonts w:eastAsia="Times New Roman"/>
          <w:lang w:eastAsia="sl-SI"/>
        </w:rPr>
        <w:t>pomembnih vprašanj, povezanih z delovanjem organa.</w:t>
      </w:r>
    </w:p>
    <w:p w14:paraId="46865AAE" w14:textId="77777777" w:rsidR="00695AE2" w:rsidRPr="00503014" w:rsidRDefault="00695AE2" w:rsidP="00695AE2">
      <w:pPr>
        <w:tabs>
          <w:tab w:val="center" w:pos="2340"/>
        </w:tabs>
        <w:spacing w:line="240" w:lineRule="auto"/>
        <w:jc w:val="both"/>
        <w:rPr>
          <w:rFonts w:eastAsia="Calibri"/>
        </w:rPr>
      </w:pPr>
    </w:p>
    <w:p w14:paraId="2B51B1B5" w14:textId="77777777" w:rsidR="00695AE2" w:rsidRPr="00503014" w:rsidRDefault="00695AE2" w:rsidP="00695AE2">
      <w:pPr>
        <w:spacing w:line="240" w:lineRule="auto"/>
        <w:jc w:val="both"/>
        <w:rPr>
          <w:rFonts w:eastAsia="Calibri"/>
        </w:rPr>
      </w:pPr>
      <w:r w:rsidRPr="00503014">
        <w:rPr>
          <w:rFonts w:eastAsia="Calibri"/>
        </w:rPr>
        <w:t>Državno odvetništvo RS zagotavlja učinkovit prenos znanja in izkušenj med državnimi odvetniki z oblikovanjem »mešanih« delovnih skupin, v katerih so udeleženi državni odvetniki, razporejeni na različne oddelke.</w:t>
      </w:r>
      <w:r>
        <w:rPr>
          <w:rFonts w:eastAsia="Calibri"/>
        </w:rPr>
        <w:t xml:space="preserve"> </w:t>
      </w:r>
      <w:r w:rsidRPr="00503014">
        <w:rPr>
          <w:rFonts w:eastAsia="Calibri"/>
        </w:rPr>
        <w:t xml:space="preserve">Sestava delovnih skupin z namenom vključevanja in usposabljanja mlajših kolegov ter z namenom pritegnitve različnih izkušenj in generacijskih pogledov na obravnavano tematiko pogosto vključuje različne profile kadra, tako kandidate za državne odvetnike kot državne odvetnike in višje državne odvetnike, glede na vsebino dela pa tudi predstavnike sekretariata ali administrativnega osebja. </w:t>
      </w:r>
    </w:p>
    <w:p w14:paraId="781B4730" w14:textId="77777777" w:rsidR="00695AE2" w:rsidRPr="00503014" w:rsidRDefault="00695AE2" w:rsidP="00695AE2">
      <w:pPr>
        <w:spacing w:line="240" w:lineRule="auto"/>
        <w:jc w:val="both"/>
        <w:rPr>
          <w:rFonts w:eastAsia="Calibri"/>
        </w:rPr>
      </w:pPr>
    </w:p>
    <w:p w14:paraId="498705DB"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V delovnih skupinah, ki obravnavajo vprašanja z določenega pravnega področja oziroma v določeni vrsti zadev, pogosto sodelujejo tudi državni odvetniki z Mednarodnega oddelka. </w:t>
      </w:r>
      <w:r w:rsidRPr="00503014">
        <w:rPr>
          <w:rFonts w:eastAsia="Times New Roman"/>
          <w:lang w:eastAsia="sl-SI"/>
        </w:rPr>
        <w:t>To omogoča višjo raven uporabe prava Evropske unije</w:t>
      </w:r>
      <w:r w:rsidRPr="00503014">
        <w:rPr>
          <w:rFonts w:eastAsia="Calibri"/>
        </w:rPr>
        <w:t xml:space="preserve"> in sodne prakse mednarodnih sodišč v nacionalnih sodnih postopkih. </w:t>
      </w:r>
      <w:r w:rsidRPr="00503014">
        <w:rPr>
          <w:rFonts w:eastAsia="Times New Roman"/>
          <w:lang w:eastAsia="sl-SI"/>
        </w:rPr>
        <w:t>Prav tako se državni odvetniki iz drugih notranjih organizacijskih enot vključujejo v delo skupin oziroma sodelujejo pri obravnavi vsebin, ki spadajo v pristojnost Mednarodnega oddelka. Takšen način sodelovanja omogoča celostno obravnavo pravnih vprašanj ter krepi strokovnost in usklajenost dela na vseh ravneh organizacije.</w:t>
      </w:r>
    </w:p>
    <w:p w14:paraId="5BF8817E" w14:textId="77777777" w:rsidR="00695AE2" w:rsidRPr="00503014" w:rsidRDefault="00695AE2" w:rsidP="00695AE2">
      <w:pPr>
        <w:spacing w:line="240" w:lineRule="auto"/>
        <w:jc w:val="both"/>
        <w:rPr>
          <w:rFonts w:eastAsia="Calibri"/>
        </w:rPr>
      </w:pPr>
    </w:p>
    <w:p w14:paraId="678C9DEE" w14:textId="77777777" w:rsidR="00695AE2" w:rsidRPr="00503014" w:rsidRDefault="00695AE2" w:rsidP="00695AE2">
      <w:pPr>
        <w:spacing w:line="240" w:lineRule="auto"/>
        <w:jc w:val="both"/>
        <w:rPr>
          <w:rFonts w:eastAsia="Calibri"/>
        </w:rPr>
      </w:pPr>
      <w:r w:rsidRPr="00503014">
        <w:rPr>
          <w:rFonts w:eastAsia="Calibri"/>
        </w:rPr>
        <w:t>V primeru množičnih sporov se izvajajo dejavnosti z namenom pridobitve ter proučitve pomembnih informacij glede pravnega in dejanskega stanja, proučitve in izmenjave pravnih stališč ter pravnih mnenj, pregleda sodne prakse in poenotenja dela pri obravnavi zadev. Delovne skupine o ugotovitvah oblikujejo poenotena stališča in priporočila, gradiva delovnih skupin pa so prek intraneta dostopna vsem zaposlenim.</w:t>
      </w:r>
    </w:p>
    <w:p w14:paraId="1893A787" w14:textId="77777777" w:rsidR="00695AE2" w:rsidRPr="00503014" w:rsidRDefault="00695AE2" w:rsidP="00695AE2">
      <w:pPr>
        <w:spacing w:line="240" w:lineRule="auto"/>
        <w:jc w:val="both"/>
        <w:rPr>
          <w:rFonts w:eastAsia="Calibri"/>
        </w:rPr>
      </w:pPr>
    </w:p>
    <w:p w14:paraId="738EA761" w14:textId="77777777" w:rsidR="00695AE2" w:rsidRPr="00503014" w:rsidRDefault="00695AE2" w:rsidP="00695AE2">
      <w:pPr>
        <w:tabs>
          <w:tab w:val="center" w:pos="2340"/>
        </w:tabs>
        <w:spacing w:line="240" w:lineRule="auto"/>
        <w:jc w:val="both"/>
        <w:rPr>
          <w:rFonts w:eastAsia="Calibri"/>
        </w:rPr>
      </w:pPr>
      <w:r w:rsidRPr="00503014">
        <w:rPr>
          <w:rFonts w:eastAsia="Calibri"/>
        </w:rPr>
        <w:t xml:space="preserve">V letu 2025 so na Državnem odvetništvu RS delovale naslednje stalne ali občasne strokovne (vsebinske) delovne skupine: </w:t>
      </w:r>
    </w:p>
    <w:p w14:paraId="42B81D10" w14:textId="77777777" w:rsidR="00695AE2" w:rsidRPr="00503014" w:rsidRDefault="00695AE2" w:rsidP="00695AE2">
      <w:pPr>
        <w:spacing w:line="240" w:lineRule="auto"/>
        <w:jc w:val="both"/>
        <w:rPr>
          <w:rFonts w:eastAsia="Calibri"/>
        </w:rPr>
      </w:pPr>
    </w:p>
    <w:p w14:paraId="2C3FCD26"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PK komisija (predhodni postopki po XXXII. poglavju Zakona o kazenskem postopku),</w:t>
      </w:r>
    </w:p>
    <w:p w14:paraId="26ADF895" w14:textId="77777777" w:rsidR="00695AE2" w:rsidRPr="00503014" w:rsidRDefault="00695AE2" w:rsidP="00695AE2">
      <w:pPr>
        <w:spacing w:line="240" w:lineRule="auto"/>
        <w:jc w:val="both"/>
        <w:rPr>
          <w:rFonts w:eastAsia="Calibri"/>
        </w:rPr>
      </w:pPr>
    </w:p>
    <w:p w14:paraId="7B26346E"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PP komisija (predhodni postopki po XIV. poglavju Zakona o prekrških),</w:t>
      </w:r>
    </w:p>
    <w:p w14:paraId="03B66B08" w14:textId="77777777" w:rsidR="00695AE2" w:rsidRPr="00503014" w:rsidRDefault="00695AE2" w:rsidP="00695AE2">
      <w:pPr>
        <w:spacing w:line="240" w:lineRule="auto"/>
        <w:jc w:val="both"/>
        <w:rPr>
          <w:rFonts w:eastAsia="Calibri"/>
        </w:rPr>
      </w:pPr>
    </w:p>
    <w:p w14:paraId="0834CA2E"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lastRenderedPageBreak/>
        <w:t>komisija za odločanje o zahtevkih po Zakonu o varstvu pravice do sojenja brez nepotrebnega odlašanja (PRR komisija),</w:t>
      </w:r>
    </w:p>
    <w:p w14:paraId="6C3D09FF" w14:textId="77777777" w:rsidR="00695AE2" w:rsidRPr="00503014" w:rsidRDefault="00695AE2" w:rsidP="00695AE2">
      <w:pPr>
        <w:spacing w:line="240" w:lineRule="auto"/>
        <w:ind w:left="720"/>
        <w:contextualSpacing/>
        <w:jc w:val="both"/>
        <w:rPr>
          <w:rFonts w:eastAsia="Calibri"/>
        </w:rPr>
      </w:pPr>
    </w:p>
    <w:p w14:paraId="7CB559D1"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obravnavo sporov iz razmerij, izvirajočih iz dodelitev sredstev evropske kohezijske politike,</w:t>
      </w:r>
    </w:p>
    <w:p w14:paraId="5443B391" w14:textId="77777777" w:rsidR="00695AE2" w:rsidRPr="00503014" w:rsidRDefault="00695AE2" w:rsidP="00695AE2">
      <w:pPr>
        <w:ind w:left="720"/>
        <w:contextualSpacing/>
        <w:rPr>
          <w:rFonts w:eastAsia="Calibri"/>
        </w:rPr>
      </w:pPr>
    </w:p>
    <w:p w14:paraId="444C9944"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usklajevanje dela na področju problematike motenj radijskih frekvenc na meji z Republiko Italijo,</w:t>
      </w:r>
    </w:p>
    <w:p w14:paraId="49A0AC81" w14:textId="77777777" w:rsidR="00695AE2" w:rsidRPr="00503014" w:rsidRDefault="00695AE2" w:rsidP="00695AE2">
      <w:pPr>
        <w:spacing w:line="240" w:lineRule="auto"/>
        <w:ind w:left="720"/>
        <w:contextualSpacing/>
        <w:jc w:val="both"/>
        <w:rPr>
          <w:rFonts w:eastAsia="Calibri"/>
        </w:rPr>
      </w:pPr>
    </w:p>
    <w:p w14:paraId="3406B2CC"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usklajeno delovanje na področju pristojnosti Državnega odvetništva RS po določbah Družinskega zakonika,</w:t>
      </w:r>
    </w:p>
    <w:p w14:paraId="0005FF19" w14:textId="77777777" w:rsidR="00695AE2" w:rsidRPr="00503014" w:rsidRDefault="00695AE2" w:rsidP="00695AE2">
      <w:pPr>
        <w:spacing w:line="240" w:lineRule="auto"/>
        <w:jc w:val="both"/>
        <w:rPr>
          <w:rFonts w:eastAsia="Calibri"/>
        </w:rPr>
      </w:pPr>
    </w:p>
    <w:p w14:paraId="01182466"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Zakon o postopku sodnega in izvensodnega varstva nekdanjih imetnikov kvalificiranih obveznosti bank,</w:t>
      </w:r>
    </w:p>
    <w:p w14:paraId="16390705" w14:textId="77777777" w:rsidR="00695AE2" w:rsidRPr="00503014" w:rsidRDefault="00695AE2" w:rsidP="00695AE2">
      <w:pPr>
        <w:spacing w:line="240" w:lineRule="auto"/>
        <w:jc w:val="both"/>
        <w:rPr>
          <w:rFonts w:eastAsia="Calibri"/>
        </w:rPr>
      </w:pPr>
    </w:p>
    <w:p w14:paraId="24CF0129"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obravnavo problematike socialnih sporov in usklajeno sodelovanje z MDDSZEM,</w:t>
      </w:r>
    </w:p>
    <w:p w14:paraId="346C3C79" w14:textId="77777777" w:rsidR="00695AE2" w:rsidRPr="00503014" w:rsidRDefault="00695AE2" w:rsidP="00695AE2">
      <w:pPr>
        <w:spacing w:line="240" w:lineRule="auto"/>
        <w:jc w:val="both"/>
        <w:rPr>
          <w:rFonts w:eastAsia="Calibri"/>
        </w:rPr>
      </w:pPr>
    </w:p>
    <w:p w14:paraId="3758AAF3"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reševanje zahtevkov iz naslova kršitev pogodb v zvezi s poslovanjem in obratovanjem Letališča E. Rusjana Maribor,</w:t>
      </w:r>
    </w:p>
    <w:p w14:paraId="5FA30092" w14:textId="77777777" w:rsidR="00695AE2" w:rsidRPr="00503014" w:rsidRDefault="00695AE2" w:rsidP="00695AE2">
      <w:pPr>
        <w:spacing w:line="240" w:lineRule="auto"/>
        <w:jc w:val="both"/>
        <w:rPr>
          <w:rFonts w:eastAsia="Calibri"/>
        </w:rPr>
      </w:pPr>
    </w:p>
    <w:p w14:paraId="0B59C825"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obravnavo zahtevkov družbe Piloti Koper, d. o. o., zoper RS – pomorska pilotaža,</w:t>
      </w:r>
    </w:p>
    <w:p w14:paraId="0E5FE486" w14:textId="77777777" w:rsidR="00695AE2" w:rsidRPr="00503014" w:rsidRDefault="00695AE2" w:rsidP="00695AE2">
      <w:pPr>
        <w:spacing w:line="240" w:lineRule="auto"/>
        <w:ind w:left="720"/>
        <w:contextualSpacing/>
        <w:jc w:val="both"/>
        <w:rPr>
          <w:rFonts w:eastAsia="Calibri"/>
        </w:rPr>
      </w:pPr>
    </w:p>
    <w:p w14:paraId="0FCE9B2F"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usklajevanje dela na področju zahtevkov, kjer je uporabnik nepremičnine oziroma stranka, s katero kontaktira Državno odvetništvo RS, Sklad kmetijskih zemljišč in gozdov RS in Slovenski državni gozdovi, d. o. o., družba za gospodarjenje z gozdovi v državni lasti,</w:t>
      </w:r>
    </w:p>
    <w:p w14:paraId="04241DE3" w14:textId="77777777" w:rsidR="00695AE2" w:rsidRPr="00503014" w:rsidRDefault="00695AE2" w:rsidP="00695AE2">
      <w:pPr>
        <w:spacing w:line="240" w:lineRule="auto"/>
        <w:jc w:val="both"/>
        <w:rPr>
          <w:rFonts w:eastAsia="Calibri"/>
        </w:rPr>
      </w:pPr>
    </w:p>
    <w:p w14:paraId="789B4FB3"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odpravo krivic zaradi izbrisa pravnih oseb iz sodnega registra,</w:t>
      </w:r>
    </w:p>
    <w:p w14:paraId="794D75BE" w14:textId="77777777" w:rsidR="00695AE2" w:rsidRPr="00503014" w:rsidRDefault="00695AE2" w:rsidP="00695AE2">
      <w:pPr>
        <w:ind w:left="720"/>
        <w:contextualSpacing/>
        <w:rPr>
          <w:rFonts w:eastAsia="Calibri"/>
        </w:rPr>
      </w:pPr>
    </w:p>
    <w:p w14:paraId="2BAAF3A2"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obravnavanje zahtevkov iz naslova stalne pripravljenosti,</w:t>
      </w:r>
    </w:p>
    <w:p w14:paraId="58516032" w14:textId="77777777" w:rsidR="00695AE2" w:rsidRPr="00503014" w:rsidRDefault="00695AE2" w:rsidP="00695AE2">
      <w:pPr>
        <w:contextualSpacing/>
        <w:rPr>
          <w:rFonts w:eastAsia="Calibri"/>
        </w:rPr>
      </w:pPr>
    </w:p>
    <w:p w14:paraId="44E44FE8"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sodelovanje z organi, ki v drugih državah opravljajo primerljive naloge, kot jih Državno odvetništvo RS opravlja v RS,</w:t>
      </w:r>
    </w:p>
    <w:p w14:paraId="05DA46C9" w14:textId="77777777" w:rsidR="00695AE2" w:rsidRPr="00503014" w:rsidRDefault="00695AE2" w:rsidP="00695AE2">
      <w:pPr>
        <w:ind w:left="720"/>
        <w:contextualSpacing/>
        <w:rPr>
          <w:rFonts w:eastAsia="Calibri"/>
        </w:rPr>
      </w:pPr>
    </w:p>
    <w:p w14:paraId="21DA35C8"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koordinacijo aktivnosti v zadevah zastopanja v upravnih sporih po tožbah zoper odločbe Ministrstva za pravosodje o imenovanju notarjev,</w:t>
      </w:r>
    </w:p>
    <w:p w14:paraId="4B4E0C4D" w14:textId="77777777" w:rsidR="00695AE2" w:rsidRPr="00503014" w:rsidRDefault="00695AE2" w:rsidP="00695AE2">
      <w:pPr>
        <w:ind w:left="720"/>
        <w:contextualSpacing/>
        <w:rPr>
          <w:rFonts w:eastAsia="Calibri"/>
        </w:rPr>
      </w:pPr>
    </w:p>
    <w:p w14:paraId="0C3ACD3A"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obravnavo odprtih vprašanj uporabe uredbe EU o dedovanju,</w:t>
      </w:r>
    </w:p>
    <w:p w14:paraId="46DFE916" w14:textId="77777777" w:rsidR="00695AE2" w:rsidRPr="00503014" w:rsidRDefault="00695AE2" w:rsidP="00695AE2">
      <w:pPr>
        <w:ind w:left="720"/>
        <w:contextualSpacing/>
        <w:rPr>
          <w:rFonts w:eastAsia="Calibri"/>
        </w:rPr>
      </w:pPr>
    </w:p>
    <w:p w14:paraId="16FDC19E"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pripravo sistemskih rešitev na področju stroškov sodnih postopkov,</w:t>
      </w:r>
    </w:p>
    <w:p w14:paraId="1FF98EF6" w14:textId="77777777" w:rsidR="00695AE2" w:rsidRPr="00503014" w:rsidRDefault="00695AE2" w:rsidP="00695AE2">
      <w:pPr>
        <w:ind w:left="720"/>
        <w:contextualSpacing/>
        <w:rPr>
          <w:rFonts w:eastAsia="Calibri"/>
        </w:rPr>
      </w:pPr>
    </w:p>
    <w:p w14:paraId="43EE2E90"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oblikovanje stališč v zadevah »Agrarne skupnosti«,</w:t>
      </w:r>
    </w:p>
    <w:p w14:paraId="237D10D2" w14:textId="77777777" w:rsidR="00695AE2" w:rsidRPr="00503014" w:rsidRDefault="00695AE2" w:rsidP="00695AE2">
      <w:pPr>
        <w:ind w:left="720"/>
        <w:contextualSpacing/>
        <w:rPr>
          <w:rFonts w:eastAsia="Calibri"/>
        </w:rPr>
      </w:pPr>
    </w:p>
    <w:p w14:paraId="0FFB1F36"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koordinacijo in oblikovanje stališč v zadevah »zastopanje CSD«,</w:t>
      </w:r>
    </w:p>
    <w:p w14:paraId="1919940D"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lastRenderedPageBreak/>
        <w:t>delovna skupina za obravnavo problematike socialnih sporov in usklajeno delovanje z MDDSZ,</w:t>
      </w:r>
    </w:p>
    <w:p w14:paraId="05517657" w14:textId="77777777" w:rsidR="00695AE2" w:rsidRPr="00503014" w:rsidRDefault="00695AE2" w:rsidP="00695AE2">
      <w:pPr>
        <w:ind w:left="720"/>
        <w:contextualSpacing/>
        <w:rPr>
          <w:rFonts w:eastAsia="Calibri"/>
        </w:rPr>
      </w:pPr>
    </w:p>
    <w:p w14:paraId="2135A340"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sodelovanje Državnega odvetništva RS pri obravnavi množičnih tožb za odstranitev daljnovodov,</w:t>
      </w:r>
    </w:p>
    <w:p w14:paraId="21C49835" w14:textId="77777777" w:rsidR="00695AE2" w:rsidRPr="00503014" w:rsidRDefault="00695AE2" w:rsidP="00695AE2">
      <w:pPr>
        <w:ind w:left="720"/>
        <w:contextualSpacing/>
        <w:rPr>
          <w:rFonts w:eastAsia="Calibri"/>
        </w:rPr>
      </w:pPr>
    </w:p>
    <w:p w14:paraId="0E0FE773"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skupna za sodelovanje s FURS,</w:t>
      </w:r>
    </w:p>
    <w:p w14:paraId="132ED11D" w14:textId="77777777" w:rsidR="00695AE2" w:rsidRPr="00503014" w:rsidRDefault="00695AE2" w:rsidP="00695AE2">
      <w:pPr>
        <w:ind w:left="720"/>
        <w:contextualSpacing/>
        <w:rPr>
          <w:rFonts w:eastAsia="Calibri"/>
        </w:rPr>
      </w:pPr>
    </w:p>
    <w:p w14:paraId="06191111" w14:textId="77777777" w:rsidR="00695AE2" w:rsidRPr="00503014" w:rsidRDefault="00695AE2" w:rsidP="00695AE2">
      <w:pPr>
        <w:numPr>
          <w:ilvl w:val="0"/>
          <w:numId w:val="19"/>
        </w:numPr>
        <w:spacing w:line="240" w:lineRule="auto"/>
        <w:contextualSpacing/>
        <w:jc w:val="both"/>
        <w:rPr>
          <w:rFonts w:eastAsia="Calibri"/>
        </w:rPr>
      </w:pPr>
      <w:r w:rsidRPr="00503014">
        <w:rPr>
          <w:rFonts w:eastAsia="Calibri"/>
        </w:rPr>
        <w:t>delovna skupina za usklajevanje stališč in koordinacijo dela v zvezi z zahtevki sodnikov in državnih tožilcev na izplačilo razlike v plačah in o sodelovanju nosilcev spisov v teh zadevah z DS.</w:t>
      </w:r>
    </w:p>
    <w:p w14:paraId="0AB07040" w14:textId="77777777" w:rsidR="00695AE2" w:rsidRPr="00503014" w:rsidRDefault="00695AE2" w:rsidP="00695AE2">
      <w:pPr>
        <w:spacing w:line="240" w:lineRule="auto"/>
        <w:ind w:left="720"/>
        <w:contextualSpacing/>
        <w:rPr>
          <w:rFonts w:eastAsia="Calibri"/>
        </w:rPr>
      </w:pPr>
      <w:bookmarkStart w:id="235" w:name="_Hlk219880960"/>
    </w:p>
    <w:bookmarkEnd w:id="235"/>
    <w:p w14:paraId="2DCF0E22" w14:textId="77777777" w:rsidR="00695AE2" w:rsidRPr="00503014" w:rsidRDefault="00695AE2" w:rsidP="00695AE2">
      <w:pPr>
        <w:spacing w:line="240" w:lineRule="auto"/>
        <w:jc w:val="both"/>
        <w:rPr>
          <w:rFonts w:eastAsia="Calibri"/>
        </w:rPr>
      </w:pPr>
      <w:r w:rsidRPr="00503014">
        <w:rPr>
          <w:rFonts w:eastAsia="Calibri"/>
        </w:rPr>
        <w:t>Delovanje nekaterih posameznih delovnih skupin je predstavljeno v okviru predstavitve posameznih delovnih področij v III. poglavju tega poročila dela z naslovom »Analitični del«, in sicer v 1. razdelku »Kratka obrazložitev primerjalnih vrednosti po posameznih področjih z navedbo ukrepov, ki so bili izvedeni za obvladovanje in izboljšanje rezultatov«, predvsem v točkah, ki se nanašajo na »Predstavitev ukrepov za obvladovanje zadev in na priporočila Državnega odvetništva RS«.</w:t>
      </w:r>
    </w:p>
    <w:p w14:paraId="7B5E01BE" w14:textId="77777777" w:rsidR="00695AE2" w:rsidRPr="00503014" w:rsidRDefault="00695AE2" w:rsidP="00695AE2">
      <w:pPr>
        <w:spacing w:line="240" w:lineRule="auto"/>
        <w:jc w:val="both"/>
        <w:rPr>
          <w:rFonts w:eastAsia="Calibri"/>
          <w:sz w:val="28"/>
          <w:szCs w:val="28"/>
        </w:rPr>
      </w:pPr>
    </w:p>
    <w:p w14:paraId="6075DC98" w14:textId="77777777" w:rsidR="00695AE2" w:rsidRPr="00503014" w:rsidRDefault="00695AE2" w:rsidP="00695AE2">
      <w:pPr>
        <w:pStyle w:val="Naslov3"/>
      </w:pPr>
      <w:bookmarkStart w:id="236" w:name="_Toc223093788"/>
      <w:r w:rsidRPr="00503014">
        <w:t>Nove pristojnosti Državnega odvetništva RS</w:t>
      </w:r>
      <w:bookmarkEnd w:id="236"/>
    </w:p>
    <w:p w14:paraId="249C95C0" w14:textId="77777777" w:rsidR="00695AE2" w:rsidRPr="00503014" w:rsidRDefault="00695AE2" w:rsidP="00695AE2">
      <w:pPr>
        <w:pStyle w:val="Jasna"/>
      </w:pPr>
      <w:r w:rsidRPr="00503014">
        <w:t xml:space="preserve"> </w:t>
      </w:r>
    </w:p>
    <w:p w14:paraId="2629BB1F" w14:textId="77777777" w:rsidR="00695AE2" w:rsidRPr="00503014" w:rsidRDefault="00695AE2" w:rsidP="00695AE2">
      <w:pPr>
        <w:pStyle w:val="Naslov4"/>
        <w:rPr>
          <w:rFonts w:eastAsia="Calibri"/>
        </w:rPr>
      </w:pPr>
      <w:bookmarkStart w:id="237" w:name="_Toc223093789"/>
      <w:r w:rsidRPr="00503014">
        <w:rPr>
          <w:rFonts w:eastAsia="Calibri"/>
        </w:rPr>
        <w:t>Zakon o funkcionarjih</w:t>
      </w:r>
      <w:bookmarkEnd w:id="237"/>
    </w:p>
    <w:p w14:paraId="29FC5BF8" w14:textId="77777777" w:rsidR="00695AE2" w:rsidRPr="00503014" w:rsidRDefault="00695AE2" w:rsidP="00695AE2">
      <w:pPr>
        <w:spacing w:line="240" w:lineRule="auto"/>
        <w:jc w:val="both"/>
        <w:rPr>
          <w:rFonts w:eastAsia="Calibri"/>
        </w:rPr>
      </w:pPr>
    </w:p>
    <w:p w14:paraId="51610C6A" w14:textId="77777777" w:rsidR="00695AE2" w:rsidRPr="00503014" w:rsidRDefault="00695AE2" w:rsidP="00695AE2">
      <w:pPr>
        <w:spacing w:line="240" w:lineRule="auto"/>
        <w:jc w:val="both"/>
        <w:rPr>
          <w:rFonts w:eastAsia="Calibri"/>
        </w:rPr>
      </w:pPr>
      <w:r w:rsidRPr="00503014">
        <w:rPr>
          <w:rFonts w:eastAsia="Calibri"/>
        </w:rPr>
        <w:t>Dne 13. 8. 2025 je stopil v veljavo Zakon o funkcionarjih (Uradni list RS, št. 57/25</w:t>
      </w:r>
      <w:r>
        <w:rPr>
          <w:rFonts w:eastAsia="Calibri"/>
        </w:rPr>
        <w:t>, v nadaljevanju:</w:t>
      </w:r>
      <w:r w:rsidRPr="004C6ADA">
        <w:rPr>
          <w:rFonts w:eastAsia="Calibri"/>
        </w:rPr>
        <w:t xml:space="preserve"> </w:t>
      </w:r>
      <w:r w:rsidRPr="00503014">
        <w:rPr>
          <w:rFonts w:eastAsia="Calibri"/>
        </w:rPr>
        <w:t>ZF), ki ureja položaj, pogoje za opravljanje funkcije ter pravice in obveznosti funkcionarjev in funkcionark v državnih organih in občinah. Zakon je sistemske narave in ureja pravni položaj glede socialnih zavarovanj in v zvezi z opravljanjem funkcije, ureja pravice po prenehanju funkcije ter povračila stroškov in drugih prejemkov v zvezi z opravljanjem funkcije, in sicer tako poklicnih kot tudi nepoklicnih funkcionarjev. Z</w:t>
      </w:r>
      <w:r>
        <w:rPr>
          <w:rFonts w:eastAsia="Calibri"/>
        </w:rPr>
        <w:t>F</w:t>
      </w:r>
      <w:r w:rsidRPr="00503014">
        <w:rPr>
          <w:rFonts w:eastAsia="Calibri"/>
        </w:rPr>
        <w:t xml:space="preserve"> se bo uporabljal za urejanje položaja, pravic in obveznosti funkcionarjev, razen če posebni zakoni posamezna vprašanja za posamezne kategorije funkcionarjev urejajo drugače. </w:t>
      </w:r>
    </w:p>
    <w:p w14:paraId="132617C0" w14:textId="77777777" w:rsidR="00695AE2" w:rsidRPr="00503014" w:rsidRDefault="00695AE2" w:rsidP="00695AE2">
      <w:pPr>
        <w:spacing w:line="240" w:lineRule="auto"/>
        <w:jc w:val="both"/>
        <w:rPr>
          <w:rFonts w:eastAsia="Calibri"/>
        </w:rPr>
      </w:pPr>
    </w:p>
    <w:p w14:paraId="3769E10A" w14:textId="77777777" w:rsidR="00695AE2" w:rsidRPr="00503014" w:rsidRDefault="00695AE2" w:rsidP="00695AE2">
      <w:pPr>
        <w:spacing w:line="240" w:lineRule="auto"/>
        <w:jc w:val="both"/>
        <w:rPr>
          <w:rFonts w:eastAsia="Calibri"/>
        </w:rPr>
      </w:pPr>
      <w:r w:rsidRPr="00503014">
        <w:rPr>
          <w:bCs/>
          <w:color w:val="000000" w:themeColor="text1"/>
        </w:rPr>
        <w:t>Vzporedno s pripravo novele ZDOdv in ravno zaradi predvidene spremembe statusa državnih odvetnikov v funkcionarje se je v besedilo novega Z</w:t>
      </w:r>
      <w:r>
        <w:rPr>
          <w:bCs/>
          <w:color w:val="000000" w:themeColor="text1"/>
        </w:rPr>
        <w:t>F</w:t>
      </w:r>
      <w:r w:rsidRPr="00503014">
        <w:rPr>
          <w:bCs/>
          <w:color w:val="000000" w:themeColor="text1"/>
        </w:rPr>
        <w:t xml:space="preserve"> vključila tudi rešitev, ki </w:t>
      </w:r>
      <w:r w:rsidRPr="00503014">
        <w:rPr>
          <w:rFonts w:eastAsia="Calibri"/>
        </w:rPr>
        <w:t xml:space="preserve">v okviru pravic funkcionarjev ureja tudi pravico do pravne pomoči, s tem pa uvaja novo pristojnost Državnega odvetništva RS. </w:t>
      </w:r>
    </w:p>
    <w:p w14:paraId="73EB10A0" w14:textId="77777777" w:rsidR="00695AE2" w:rsidRPr="00503014" w:rsidRDefault="00695AE2" w:rsidP="00695AE2">
      <w:pPr>
        <w:spacing w:line="240" w:lineRule="auto"/>
        <w:jc w:val="both"/>
        <w:rPr>
          <w:rFonts w:eastAsia="Calibri"/>
        </w:rPr>
      </w:pPr>
    </w:p>
    <w:p w14:paraId="1BE9BBB8" w14:textId="77777777" w:rsidR="00695AE2" w:rsidRPr="00503014" w:rsidRDefault="00695AE2" w:rsidP="00695AE2">
      <w:pPr>
        <w:spacing w:line="240" w:lineRule="auto"/>
        <w:jc w:val="both"/>
        <w:rPr>
          <w:rFonts w:eastAsia="Calibri"/>
        </w:rPr>
      </w:pPr>
      <w:r w:rsidRPr="00503014">
        <w:rPr>
          <w:rFonts w:eastAsia="Calibri"/>
        </w:rPr>
        <w:t xml:space="preserve">Pravna pomoč je po novem omogočena tako poklicnim kot nepoklicnim funkcionarjem, zoper katere bo v zvezi z opravljanjem njihove funkcije voden odškodninski postopek, funkcionarja v državnem organu, zoper katerega se vodi odškodninski postopek zaradi opravljanja njegove funkcije in ki uveljavlja pravico do pravne pomoči, pa bo zastopalo Državno odvetništvo RS. </w:t>
      </w:r>
    </w:p>
    <w:p w14:paraId="70D34367" w14:textId="77777777" w:rsidR="00695AE2" w:rsidRPr="00503014" w:rsidRDefault="00695AE2" w:rsidP="00695AE2">
      <w:pPr>
        <w:spacing w:line="240" w:lineRule="auto"/>
        <w:jc w:val="both"/>
        <w:rPr>
          <w:bCs/>
          <w:color w:val="000000" w:themeColor="text1"/>
        </w:rPr>
      </w:pPr>
    </w:p>
    <w:p w14:paraId="73CDC425" w14:textId="77777777" w:rsidR="00695AE2" w:rsidRPr="00503014" w:rsidRDefault="00695AE2" w:rsidP="00695AE2">
      <w:pPr>
        <w:spacing w:line="240" w:lineRule="auto"/>
        <w:jc w:val="both"/>
        <w:rPr>
          <w:rFonts w:eastAsia="Calibri"/>
        </w:rPr>
      </w:pPr>
      <w:r w:rsidRPr="00503014">
        <w:rPr>
          <w:rFonts w:eastAsia="Calibri"/>
        </w:rPr>
        <w:t xml:space="preserve">Če funkcionar odkloni zastopanje po Državnem odvetništvu, nima pravice do založitve stroškov izvajalca pravne pomoči. Če Državno odvetništvo RS v skladu z zakonom zaradi nasprotja interesov odkloni zastopanje funkcionarja v državnem organu, ima funkcionar pravico do začasne založitve stroškov izvajalca pravne pomoči. O odklonitvi zastopanja </w:t>
      </w:r>
      <w:r w:rsidRPr="00503014">
        <w:rPr>
          <w:rFonts w:eastAsia="Calibri"/>
        </w:rPr>
        <w:lastRenderedPageBreak/>
        <w:t xml:space="preserve">Državno odvetništvo RS pisno obvesti funkcionarja in državni organ, v katerem funkcionar opravlja funkcijo. </w:t>
      </w:r>
    </w:p>
    <w:p w14:paraId="37EAB7DA" w14:textId="77777777" w:rsidR="00695AE2" w:rsidRPr="00503014" w:rsidRDefault="00695AE2" w:rsidP="00695AE2">
      <w:pPr>
        <w:spacing w:line="240" w:lineRule="auto"/>
        <w:jc w:val="both"/>
        <w:rPr>
          <w:rFonts w:eastAsia="Calibri"/>
        </w:rPr>
      </w:pPr>
    </w:p>
    <w:p w14:paraId="429BFC23" w14:textId="77777777" w:rsidR="00695AE2" w:rsidRPr="00503014" w:rsidRDefault="00695AE2" w:rsidP="00695AE2">
      <w:pPr>
        <w:spacing w:line="240" w:lineRule="auto"/>
        <w:jc w:val="both"/>
        <w:rPr>
          <w:rFonts w:eastAsia="Calibri"/>
        </w:rPr>
      </w:pPr>
      <w:r w:rsidRPr="00503014">
        <w:rPr>
          <w:rFonts w:eastAsia="Calibri"/>
        </w:rPr>
        <w:t xml:space="preserve">V tem obsegu bo pravna pomoč zagotovljena funkcionarjem v času opravljanja funkcije in tudi po njenem prenehanju (tudi v tem primeru le zaradi njihovih postopanj, izvršenih v času opravljanja funkcije). Pravna pomoč je zasnovana na način, da se funkcionarju stroški pravne pomoči začasno založijo, zato je predvidena tudi možnost njihovega vračila. </w:t>
      </w:r>
    </w:p>
    <w:p w14:paraId="7524B1AA" w14:textId="77777777" w:rsidR="00695AE2" w:rsidRPr="00503014" w:rsidRDefault="00695AE2" w:rsidP="00695AE2">
      <w:pPr>
        <w:spacing w:line="240" w:lineRule="auto"/>
        <w:jc w:val="both"/>
        <w:rPr>
          <w:rFonts w:eastAsia="Calibri"/>
        </w:rPr>
      </w:pPr>
    </w:p>
    <w:p w14:paraId="1BC0B6A1" w14:textId="77777777" w:rsidR="00695AE2" w:rsidRPr="00503014" w:rsidRDefault="00695AE2" w:rsidP="00695AE2">
      <w:pPr>
        <w:spacing w:line="240" w:lineRule="auto"/>
        <w:jc w:val="both"/>
        <w:rPr>
          <w:rFonts w:eastAsia="Calibri"/>
        </w:rPr>
      </w:pPr>
      <w:r w:rsidRPr="00503014">
        <w:rPr>
          <w:rFonts w:eastAsia="Calibri"/>
        </w:rPr>
        <w:t xml:space="preserve">S podelitvijo pristojnosti zastopanja funkcionarjev v državnih organih, zoper katere bi se vodili odškodninski postopki, povezani z izvrševanjem njihove funkcije, bo Državno odvetništvo RS nedvomno prispevalo k </w:t>
      </w:r>
      <w:r w:rsidRPr="00503014">
        <w:rPr>
          <w:rFonts w:eastAsia="Times New Roman"/>
        </w:rPr>
        <w:t>varovanju neodvisnosti državnih funkcionarjev. Vendar pa je o</w:t>
      </w:r>
      <w:r w:rsidRPr="00503014">
        <w:rPr>
          <w:rFonts w:eastAsia="Calibri"/>
        </w:rPr>
        <w:t xml:space="preserve">b tem  treba poudariti, da je bilo </w:t>
      </w:r>
      <w:r w:rsidRPr="00503014">
        <w:rPr>
          <w:bCs/>
          <w:color w:val="000000" w:themeColor="text1"/>
        </w:rPr>
        <w:t xml:space="preserve">v razpravah ob oblikovanju zgoraj predstavljene rešitve opozorjeno, da je zastopanje funkcionarja po javnem uslužbencu z vidika varovanja neodvisnosti javne funkcije lahko tvegano. </w:t>
      </w:r>
      <w:r w:rsidRPr="00503014">
        <w:rPr>
          <w:rFonts w:eastAsia="Times New Roman"/>
        </w:rPr>
        <w:t>Državni odvetnik mora biti kot zastopnik funkcionarja namreč garant neodvisnosti oblastne funkcije, ki jo opravlja zastopani funkcionar in ki je predmet presoje v odškodninskem sporu, to pa lahko državnemu odvetniku v največji meri zagotavlja le položaj funkcionarja, saj državni odvetnik le v tem primeru ni vezan na kakršnakoli navodila, pač pa je pri odločanju samostojen in avtonomen.</w:t>
      </w:r>
      <w:r w:rsidRPr="00503014">
        <w:rPr>
          <w:rFonts w:eastAsia="Calibri"/>
        </w:rPr>
        <w:t xml:space="preserve"> Prav tako je potrebno izpostaviti, da naj bi p</w:t>
      </w:r>
      <w:r w:rsidRPr="00503014">
        <w:rPr>
          <w:bCs/>
          <w:color w:val="000000" w:themeColor="text1"/>
        </w:rPr>
        <w:t>osamezna vprašanja tega zastopanja uredila novela ZDOdv; delo na obeh zakonih je sicer teklo vzporedno, a novela ZDOdv doslej ni bila sprejeta, Z</w:t>
      </w:r>
      <w:r>
        <w:rPr>
          <w:bCs/>
          <w:color w:val="000000" w:themeColor="text1"/>
        </w:rPr>
        <w:t>F</w:t>
      </w:r>
      <w:r w:rsidRPr="00503014">
        <w:rPr>
          <w:bCs/>
          <w:color w:val="000000" w:themeColor="text1"/>
        </w:rPr>
        <w:t xml:space="preserve"> pa že velja, zaradi česar pri izvajanju te pristojnosti lahko nastanejo težave. Na to so predstavniki Državnega odvetništva RS in Ministrstva za javno upravo v okviru delovne skupine Ministrstva za pravosodje, ki je pripravljala novelo ZDOdv, večkrat opozorili.</w:t>
      </w:r>
    </w:p>
    <w:p w14:paraId="4B2AF94E" w14:textId="77777777" w:rsidR="00695AE2" w:rsidRPr="00503014" w:rsidRDefault="00695AE2" w:rsidP="00695AE2">
      <w:pPr>
        <w:spacing w:line="240" w:lineRule="auto"/>
        <w:jc w:val="both"/>
        <w:rPr>
          <w:rFonts w:eastAsia="Calibri"/>
        </w:rPr>
      </w:pPr>
    </w:p>
    <w:p w14:paraId="4AAB15BA" w14:textId="77777777" w:rsidR="00695AE2" w:rsidRPr="00503014" w:rsidRDefault="00695AE2" w:rsidP="00695AE2">
      <w:pPr>
        <w:pStyle w:val="Naslov4"/>
        <w:rPr>
          <w:rFonts w:eastAsia="Calibri"/>
        </w:rPr>
      </w:pPr>
      <w:bookmarkStart w:id="238" w:name="_Toc223093790"/>
      <w:r w:rsidRPr="00503014">
        <w:rPr>
          <w:rFonts w:eastAsia="Calibri"/>
        </w:rPr>
        <w:t>Zakon o referendumu in ljudski iniciativi</w:t>
      </w:r>
      <w:bookmarkEnd w:id="238"/>
    </w:p>
    <w:p w14:paraId="206D6C18" w14:textId="77777777" w:rsidR="00695AE2" w:rsidRPr="00503014" w:rsidRDefault="00695AE2" w:rsidP="00695AE2">
      <w:pPr>
        <w:spacing w:line="240" w:lineRule="auto"/>
        <w:jc w:val="both"/>
        <w:rPr>
          <w:rFonts w:eastAsia="Calibri"/>
          <w:i/>
          <w:iCs/>
        </w:rPr>
      </w:pPr>
    </w:p>
    <w:p w14:paraId="20D8A14C" w14:textId="77777777" w:rsidR="00695AE2" w:rsidRPr="00503014" w:rsidRDefault="00695AE2" w:rsidP="00695AE2">
      <w:pPr>
        <w:spacing w:line="240" w:lineRule="auto"/>
        <w:jc w:val="both"/>
        <w:rPr>
          <w:rFonts w:eastAsia="Calibri"/>
          <w:i/>
          <w:iCs/>
        </w:rPr>
      </w:pPr>
      <w:r w:rsidRPr="00503014">
        <w:rPr>
          <w:rFonts w:eastAsia="Calibri"/>
        </w:rPr>
        <w:t xml:space="preserve">Sprememba Zakona o referendumu in o ljudski iniciativi (ZRLI, Uradni list RS, št. 22/25) je Državnemu odvetništvu RS podelila novo pristojnost, in sicer </w:t>
      </w:r>
      <w:r w:rsidRPr="00503014">
        <w:t>52a. člen tega zakona določa, da lahko v postopku pred vrhovnim sodiščem stranka opravlja procesna dejanja samo po pooblaščencu, ki je odvetnik ali odvetniška družba, razen če je stranka sama odvetnik, Republika Slovenija oziroma državni organ pa samo po višjem državnem odvetniku.</w:t>
      </w:r>
    </w:p>
    <w:p w14:paraId="31B0AC83" w14:textId="77777777" w:rsidR="00695AE2" w:rsidRPr="00503014" w:rsidRDefault="00695AE2" w:rsidP="00695AE2">
      <w:pPr>
        <w:spacing w:line="240" w:lineRule="auto"/>
        <w:jc w:val="both"/>
        <w:rPr>
          <w:rFonts w:eastAsia="Calibri"/>
          <w:sz w:val="28"/>
          <w:szCs w:val="28"/>
        </w:rPr>
      </w:pPr>
      <w:r w:rsidRPr="00503014">
        <w:rPr>
          <w:rFonts w:eastAsia="Calibri"/>
          <w:sz w:val="28"/>
          <w:szCs w:val="28"/>
        </w:rPr>
        <w:t xml:space="preserve">  </w:t>
      </w:r>
    </w:p>
    <w:p w14:paraId="61D6F781" w14:textId="77777777" w:rsidR="00695AE2" w:rsidRPr="00503014" w:rsidRDefault="00695AE2" w:rsidP="00695AE2">
      <w:pPr>
        <w:pStyle w:val="Naslov3"/>
        <w:ind w:left="0" w:firstLine="0"/>
      </w:pPr>
      <w:bookmarkStart w:id="239" w:name="_Toc191561798"/>
      <w:bookmarkStart w:id="240" w:name="_Toc168844800"/>
      <w:bookmarkStart w:id="241" w:name="_Toc223093791"/>
      <w:r w:rsidRPr="00503014">
        <w:t>Zakaj je potrebna reforma institucionalnega okvira delovanja Državnega odvetništva RS</w:t>
      </w:r>
      <w:bookmarkEnd w:id="239"/>
      <w:bookmarkEnd w:id="240"/>
      <w:r w:rsidRPr="00503014">
        <w:t>?</w:t>
      </w:r>
      <w:bookmarkEnd w:id="241"/>
    </w:p>
    <w:p w14:paraId="0EE1E882" w14:textId="77777777" w:rsidR="00695AE2" w:rsidRPr="00462126" w:rsidRDefault="00695AE2" w:rsidP="00695AE2">
      <w:pPr>
        <w:pStyle w:val="Jasna"/>
        <w:rPr>
          <w:sz w:val="28"/>
          <w:szCs w:val="28"/>
        </w:rPr>
      </w:pPr>
      <w:bookmarkStart w:id="242" w:name="_Toc168844801"/>
    </w:p>
    <w:p w14:paraId="0BA17223" w14:textId="77777777" w:rsidR="00695AE2" w:rsidRPr="00503014" w:rsidRDefault="00695AE2" w:rsidP="00695AE2">
      <w:pPr>
        <w:pStyle w:val="Naslov4"/>
      </w:pPr>
      <w:bookmarkStart w:id="243" w:name="_Toc191561799"/>
      <w:bookmarkStart w:id="244" w:name="_Toc223093792"/>
      <w:bookmarkEnd w:id="242"/>
      <w:r w:rsidRPr="00503014">
        <w:t>Državno odvetništvo RS kot nosilec državnih funkcij</w:t>
      </w:r>
      <w:bookmarkEnd w:id="243"/>
      <w:bookmarkEnd w:id="244"/>
      <w:r w:rsidRPr="00503014">
        <w:t xml:space="preserve">  </w:t>
      </w:r>
    </w:p>
    <w:p w14:paraId="4BA450F3" w14:textId="77777777" w:rsidR="00695AE2" w:rsidRPr="00503014" w:rsidRDefault="00695AE2" w:rsidP="00695AE2">
      <w:pPr>
        <w:spacing w:line="240" w:lineRule="auto"/>
        <w:jc w:val="both"/>
        <w:rPr>
          <w:rFonts w:eastAsia="Calibri"/>
        </w:rPr>
      </w:pPr>
    </w:p>
    <w:p w14:paraId="79C268DE" w14:textId="77777777" w:rsidR="00695AE2" w:rsidRPr="00503014" w:rsidRDefault="00695AE2" w:rsidP="00695AE2">
      <w:pPr>
        <w:spacing w:line="240" w:lineRule="auto"/>
        <w:ind w:right="54"/>
        <w:jc w:val="both"/>
        <w:rPr>
          <w:rFonts w:eastAsia="Calibri"/>
        </w:rPr>
      </w:pPr>
      <w:r w:rsidRPr="00503014">
        <w:rPr>
          <w:rFonts w:eastAsia="Calibri"/>
        </w:rPr>
        <w:t xml:space="preserve">Republiko Slovenijo kot pravno osebo zastopa Vlada RS, če glede posameznih zadev s posebnim zakonom ni drugače določeno. Na podlagi posebnega zakona (ZDOdv, prej ZDPra) je bil tisti del oblastne funkcije, ki se nanaša na predstavljanje oziroma zastopanje države v sodnih in upravnih postopkih, prenesen na Državno odvetništvo RS. Po drugem odstavku 2. člena ZDOdv Državno odvetništvo RS opravlja strokovne naloge na področju varstva premoženjskih in drugih pravic in interesov države prek pravnega zastopanja pred sodišči in upravnimi organi v Republiki Sloveniji, pred tujimi sodišči in tujimi arbitražami ter pred mednarodnimi sodišči in mednarodnimi arbitražami. </w:t>
      </w:r>
    </w:p>
    <w:p w14:paraId="323E10C0" w14:textId="77777777" w:rsidR="00695AE2" w:rsidRPr="00503014" w:rsidRDefault="00695AE2" w:rsidP="00695AE2">
      <w:pPr>
        <w:spacing w:line="240" w:lineRule="auto"/>
        <w:jc w:val="both"/>
        <w:rPr>
          <w:rFonts w:eastAsia="Calibri"/>
        </w:rPr>
      </w:pPr>
    </w:p>
    <w:p w14:paraId="12155238" w14:textId="77777777" w:rsidR="00695AE2" w:rsidRPr="00503014" w:rsidRDefault="00695AE2" w:rsidP="00695AE2">
      <w:pPr>
        <w:spacing w:line="240" w:lineRule="auto"/>
        <w:ind w:right="54"/>
        <w:jc w:val="both"/>
        <w:rPr>
          <w:rFonts w:eastAsia="Calibri"/>
        </w:rPr>
      </w:pPr>
      <w:r w:rsidRPr="00503014">
        <w:rPr>
          <w:rFonts w:eastAsia="Calibri"/>
        </w:rPr>
        <w:lastRenderedPageBreak/>
        <w:t xml:space="preserve">Državno odvetništvo RS je mogoče ob klasifikaciji državnih organov po vrsti dejavnosti, ki jo opravlja, uvrstitvi med nosilce izvršilne državne funkcije, ki je primerljiva državno tožilski funkciji. Državno tožilstvo in državno odvetništvo sta sistemsko med seboj popolnoma primerljiva, saj sta oba pravosodna državna organa, ki sta </w:t>
      </w:r>
      <w:r w:rsidRPr="00503014">
        <w:rPr>
          <w:rFonts w:eastAsia="Times New Roman"/>
          <w:lang w:eastAsia="sl-SI"/>
        </w:rPr>
        <w:t xml:space="preserve">nosilca državne funkcije, </w:t>
      </w:r>
      <w:r w:rsidRPr="00503014">
        <w:rPr>
          <w:rFonts w:eastAsia="Calibri"/>
        </w:rPr>
        <w:t xml:space="preserve">razlikujeta pa se predvsem glede na to, kakšno specializacijo pri nastopanju v postopkih opravljata. </w:t>
      </w:r>
      <w:r w:rsidRPr="00503014">
        <w:rPr>
          <w:rFonts w:eastAsia="Times New Roman"/>
          <w:lang w:eastAsia="sl-SI"/>
        </w:rPr>
        <w:t xml:space="preserve">Kot udeleženca v sodnih postopkih opravljata svoje temeljne naloge v imenu države, </w:t>
      </w:r>
      <w:r w:rsidRPr="00503014">
        <w:rPr>
          <w:rFonts w:eastAsia="Calibri"/>
        </w:rPr>
        <w:t xml:space="preserve">bodisi v kazenskem postopku (državni tožilci) bodisi v drugih postopkih (državni odvetniki). Državno odvetništvo RS torej, podobno kot državno tožilstvo, pred sodiščem opravlja procesna dejanja v imenu države. Tej pristojnosti pa je imanentno zastopanje po funkcionarjih. Zastopnik države </w:t>
      </w:r>
      <w:r w:rsidRPr="00503014">
        <w:rPr>
          <w:rFonts w:eastAsia="Times New Roman"/>
          <w:lang w:eastAsia="sl-SI"/>
        </w:rPr>
        <w:t xml:space="preserve">in njenih organov </w:t>
      </w:r>
      <w:r w:rsidRPr="00503014">
        <w:rPr>
          <w:rFonts w:eastAsia="Calibri"/>
        </w:rPr>
        <w:t xml:space="preserve">v civilnih, gospodarskih, upravnih, izvršilnih, insolventnih, delovnih, socialnih, nepravdnih in drugih postopkih </w:t>
      </w:r>
      <w:r w:rsidRPr="00503014">
        <w:rPr>
          <w:rFonts w:eastAsia="Times New Roman"/>
          <w:lang w:eastAsia="sl-SI"/>
        </w:rPr>
        <w:t xml:space="preserve">pred vsemi nacionalnimi sodišči vseh stopenj, pred ustavnim sodiščem ter tudi pred mednarodnimi in tujimi sodišči in arbitražami </w:t>
      </w:r>
      <w:r w:rsidRPr="00503014">
        <w:rPr>
          <w:rFonts w:eastAsia="Calibri"/>
        </w:rPr>
        <w:t xml:space="preserve">mora biti enako kot zastopnik države pri kazenskem pregonu oziroma v kazenskih postopkih pri opravljanju svojega dela kot izrazito strokoven subjekt samostojen in nepristranski ter glede pravnih vprašanj vezan le na ustavo in zakon, na splošna načela mednarodnega prava ter na ratificirane in objavljene mednarodne pogodbe, kar je sicer temelj vseh pravosodnih funkcij. Zaradi zahtevnosti nalog je zakon določil pogoje, ki jih morajo izpolnjevati osebe za opravljanje te državne funkcije na način, da je zagotovljena ustrezna strokovnost kadra. </w:t>
      </w:r>
      <w:r w:rsidRPr="00503014">
        <w:rPr>
          <w:rFonts w:eastAsia="Times New Roman"/>
          <w:lang w:eastAsia="sl-SI"/>
        </w:rPr>
        <w:t xml:space="preserve">Za zasedbo mest v obeh organih so predpisani enaki oziroma primerljivi pogoji, ki so primerljivi s sodniškimi funkcionarji. To zagotavlja enako strokovno usposobljenost kadra vseh treh organov. </w:t>
      </w:r>
    </w:p>
    <w:p w14:paraId="56FFF839" w14:textId="77777777" w:rsidR="00695AE2" w:rsidRPr="00503014" w:rsidRDefault="00695AE2" w:rsidP="00695AE2">
      <w:pPr>
        <w:spacing w:line="240" w:lineRule="auto"/>
        <w:ind w:right="54"/>
        <w:jc w:val="both"/>
        <w:rPr>
          <w:rFonts w:eastAsia="Calibri"/>
        </w:rPr>
      </w:pPr>
    </w:p>
    <w:p w14:paraId="34E2804B" w14:textId="77777777" w:rsidR="00695AE2" w:rsidRPr="00503014" w:rsidRDefault="00695AE2" w:rsidP="00695AE2">
      <w:pPr>
        <w:spacing w:line="240" w:lineRule="auto"/>
        <w:jc w:val="both"/>
        <w:rPr>
          <w:rFonts w:eastAsia="Times New Roman"/>
          <w:lang w:eastAsia="sl-SI"/>
        </w:rPr>
      </w:pPr>
      <w:r w:rsidRPr="00503014">
        <w:rPr>
          <w:rFonts w:eastAsia="Calibri"/>
        </w:rPr>
        <w:t xml:space="preserve">Pravosodje kot celota, v ožjem in širšem pomenu, lahko vzpostavi trden hram pravne države le, če so vsi njegovi stebri med seboj enakovredni in enako stabilni. Vloga države v vlogah v pravosodju pa je zaradi izvzetja državnih odvetnikov iz sistema pravosodnih funkcionarjev postala neenotna. Država mora namreč biti v vseh vlogah in postopkih udeležena z nosilci državnih pristojnosti v enakih statusnih položajih, saj je le tako zagotovljena »enakost orožij«. Funkcionarski položaj pomeni zlasti odgovornost in stabilen okvir, v katerem bi bilo Državnemu odvetništvu RS v največji možni meri omogočeno, da vse večji nabor svojih nalog in pristojnosti opravlja učinkovito ter ob upoštevanju najvišjih strokovnih in etičnih standardov. </w:t>
      </w:r>
    </w:p>
    <w:p w14:paraId="70609210" w14:textId="77777777" w:rsidR="00695AE2" w:rsidRPr="00503014" w:rsidRDefault="00695AE2" w:rsidP="00695AE2">
      <w:pPr>
        <w:spacing w:line="240" w:lineRule="auto"/>
        <w:jc w:val="both"/>
        <w:rPr>
          <w:rFonts w:eastAsia="Times New Roman"/>
          <w:lang w:eastAsia="sl-SI"/>
        </w:rPr>
      </w:pPr>
    </w:p>
    <w:p w14:paraId="43D06154" w14:textId="77777777" w:rsidR="00695AE2" w:rsidRPr="00503014" w:rsidRDefault="00695AE2" w:rsidP="00695AE2">
      <w:pPr>
        <w:spacing w:line="240" w:lineRule="auto"/>
        <w:jc w:val="both"/>
        <w:rPr>
          <w:rFonts w:eastAsia="Calibri"/>
        </w:rPr>
      </w:pPr>
      <w:r w:rsidRPr="00503014">
        <w:rPr>
          <w:rFonts w:eastAsia="Calibri"/>
        </w:rPr>
        <w:t xml:space="preserve">Država mora imeti zastopnika, ki interese države vselej postavlja pred svoje interese, hkrati pa skrbi tudi za pravilnost in zakonitost predloženih pravnih stališč. </w:t>
      </w:r>
      <w:r w:rsidRPr="00503014">
        <w:rPr>
          <w:rFonts w:eastAsia="Calibri"/>
          <w:lang w:eastAsia="sl-SI"/>
        </w:rPr>
        <w:t>Državno odvetništvo RS ni le odvetnik države, pač pa skozi svoje delovanje oziroma pristojnosti ohranja in izpostavlja osnovne pravne postulate, med katere vsekakor spadata vladavina prava in zagotavljanje spoštovanja človekovih pravic in temeljnih svoboščin.</w:t>
      </w:r>
      <w:r w:rsidRPr="00503014">
        <w:rPr>
          <w:rFonts w:eastAsia="Calibri"/>
        </w:rPr>
        <w:t xml:space="preserve"> Samostojno in neodvisno, vezano le na ustavo in zakon, institucionalno zastopanje premoženjskih in drugih pravic ter koristi države, prav tako pa tudi javnih koristi, je edina učinkovita ureditev, saj je le na ta način zagotovljeno strokovno, kakovostno ter hkrati enotno in usklajeno izvajanje zastopniške funkcije. </w:t>
      </w:r>
      <w:r w:rsidRPr="00503014">
        <w:rPr>
          <w:rFonts w:eastAsia="Calibri"/>
          <w:lang w:eastAsia="sl-SI"/>
        </w:rPr>
        <w:t>Državno odvetništvo RS bi se skozi svojo integriteto, temelječo na samostojnosti in avtonomnosti ter strokovnosti, lahko zoperstavljalo neprimernim poskusom poseganja oblasti v temeljne človekove pravice in svoboščine le skozi ustrezno neodvisen položaj, ki bi mu ga lahko zagotovil le funkcionarski status državnega odvetnika kot nosilca njegovih pristojnosti.</w:t>
      </w:r>
    </w:p>
    <w:p w14:paraId="2C32B48D" w14:textId="77777777" w:rsidR="00695AE2" w:rsidRPr="00503014" w:rsidRDefault="00695AE2" w:rsidP="00695AE2">
      <w:pPr>
        <w:spacing w:line="240" w:lineRule="auto"/>
        <w:jc w:val="both"/>
        <w:rPr>
          <w:rFonts w:eastAsia="Calibri"/>
        </w:rPr>
      </w:pPr>
    </w:p>
    <w:p w14:paraId="30454151" w14:textId="77777777" w:rsidR="00695AE2" w:rsidRPr="00503014" w:rsidRDefault="00695AE2" w:rsidP="00695AE2">
      <w:pPr>
        <w:spacing w:line="240" w:lineRule="auto"/>
        <w:jc w:val="both"/>
        <w:rPr>
          <w:rFonts w:eastAsia="Calibri"/>
          <w:lang w:eastAsia="sl-SI"/>
        </w:rPr>
      </w:pPr>
      <w:r w:rsidRPr="00503014">
        <w:rPr>
          <w:rFonts w:eastAsia="Calibri"/>
        </w:rPr>
        <w:t xml:space="preserve">Državno odvetništvo RS pri nalogah zastopanja in pravnega svetovanja pravno obravnava zadeve, v katerih so zastopani subjekti oziroma prejemniki storitev svetovanja nosilci vseh treh </w:t>
      </w:r>
      <w:r w:rsidRPr="00503014">
        <w:rPr>
          <w:rFonts w:eastAsia="Calibri"/>
        </w:rPr>
        <w:lastRenderedPageBreak/>
        <w:t>vej oblasti,</w:t>
      </w:r>
      <w:r w:rsidRPr="00503014">
        <w:rPr>
          <w:rFonts w:eastAsia="Times New Roman"/>
          <w:lang w:eastAsia="sl-SI"/>
        </w:rPr>
        <w:t xml:space="preserve"> saj se kot državni organi, ki jih Državno odvetništvo RS zastopa v sodnih postopkih, jim pravno svetuje in zanje oblikuje pravna mnenja, poleg vlade in ministrstev (ter organov v njihovi sestavi) pojavljajo tudi Državni zbor RS ter sodišča splošne pristojnosti in specializirana sodišča vseh stopenj, pa tudi Ustavno sodišče. </w:t>
      </w:r>
      <w:r w:rsidRPr="00503014">
        <w:rPr>
          <w:rFonts w:eastAsia="Calibri"/>
        </w:rPr>
        <w:t xml:space="preserve">To dejstvo narekuje zakonsko ureditev, ki bo zagotovila funkcionalno neodvisnost nosilca pristojnosti, kar pa je mogoče zagotoviti le z opravljanjem nalog po funkcionarju, ki mu, brez skrbi pred vmešavanjem in morebitnimi sankcijami vej oblasti, ki jim svetuje in jih zastopa, že sam njegov položaj zagotavlja potrebno </w:t>
      </w:r>
      <w:r w:rsidRPr="00503014">
        <w:rPr>
          <w:rFonts w:eastAsia="Calibri"/>
          <w:lang w:eastAsia="sl-SI"/>
        </w:rPr>
        <w:t xml:space="preserve">funkcionalno neodvisnost pri vrednotenju in zastopanju vsebine zadeve, kar sicer je predpogoj za njegovo </w:t>
      </w:r>
      <w:r w:rsidRPr="00503014">
        <w:rPr>
          <w:rFonts w:eastAsia="Calibri"/>
        </w:rPr>
        <w:t>korekcijsko vlogo</w:t>
      </w:r>
      <w:r w:rsidRPr="00503014">
        <w:rPr>
          <w:rFonts w:eastAsia="Calibri"/>
          <w:i/>
          <w:iCs/>
        </w:rPr>
        <w:t xml:space="preserve"> sine qua non. </w:t>
      </w:r>
      <w:r w:rsidRPr="00503014">
        <w:rPr>
          <w:rFonts w:eastAsia="Calibri"/>
        </w:rPr>
        <w:t xml:space="preserve">Gre </w:t>
      </w:r>
      <w:r w:rsidRPr="00503014">
        <w:rPr>
          <w:rFonts w:eastAsia="Calibri"/>
          <w:lang w:eastAsia="sl-SI"/>
        </w:rPr>
        <w:t>za varovalo, ki zagotavlja, da je končna presoja v pristojnosti strokovno usposobljenih in neodvisnih funkcionarjev, ne pa podvržena morebitnim nezakonitim političnim navodilom izvršilne oblasti</w:t>
      </w:r>
      <w:r w:rsidRPr="00503014">
        <w:rPr>
          <w:rFonts w:eastAsia="Calibri"/>
        </w:rPr>
        <w:t xml:space="preserve"> v posameznih zadevah, kar ne nazadnje zmanjšuje tudi verodostojnost zastopanega subjekta, slabi ugled države in načenja vladavino prava</w:t>
      </w:r>
      <w:r w:rsidRPr="00503014">
        <w:rPr>
          <w:rFonts w:eastAsia="Calibri"/>
          <w:lang w:eastAsia="sl-SI"/>
        </w:rPr>
        <w:t xml:space="preserve">. </w:t>
      </w:r>
    </w:p>
    <w:p w14:paraId="6BE78DD3" w14:textId="77777777" w:rsidR="00695AE2" w:rsidRPr="00503014" w:rsidRDefault="00695AE2" w:rsidP="00695AE2">
      <w:pPr>
        <w:spacing w:line="240" w:lineRule="auto"/>
        <w:jc w:val="both"/>
        <w:rPr>
          <w:rFonts w:eastAsia="Calibri"/>
          <w:lang w:eastAsia="sl-SI"/>
        </w:rPr>
      </w:pPr>
    </w:p>
    <w:p w14:paraId="2D38C9D8" w14:textId="77777777" w:rsidR="00695AE2" w:rsidRPr="00503014" w:rsidRDefault="00695AE2" w:rsidP="00695AE2">
      <w:pPr>
        <w:spacing w:line="240" w:lineRule="auto"/>
        <w:jc w:val="both"/>
        <w:rPr>
          <w:rFonts w:eastAsia="Calibri"/>
        </w:rPr>
      </w:pPr>
      <w:r w:rsidRPr="00503014">
        <w:rPr>
          <w:rFonts w:eastAsia="Calibri"/>
        </w:rPr>
        <w:t>Najbolj pogosti civilno-pravni spori zoper državo so zadeve iz naslova uveljavljanja odškodninske odgovornosti države po 26. členu Ustave RS, v skladu s katerim ima vsakdo pravico do povračila škode, ki mu jo v zvezi z opravljanjem službe ali kakšne druge dejavnosti državnega organa, organa lokalne skupnosti ali nosilca javnih pooblastil s svojim protipravnim ravnanjem storil oseba ali organ, ki tako službo ali dejavnost opravlja. Gre torej za škodo, povzročeno s protipravnim ravnanjem v zvezi z izvajanjem oblasti ali javnih pooblastil. Ne le, da je zakon Državnemu odvetništvu RS podelil oblastno funkcijo zastopanja države v sodnih in upravnih postopkih, nanj se prenaša tudi materialnopravna vsebina zastopanja države zaradi izvajanja oblasti, bodisi sodne, kadar gre za uveljavljanje protipravnega ravnanja sodišč, bodisi izvršilne, kadar gre za uveljavljanje protipravnosti upravnih aktov, aktov ministrov ali vladnih aktov, bodisi zakonodajne, kadar se uveljavlja zakonodajna protipravnost. Vse to toliko bolj, če tožeče stranke svoje zahtevke naperijo ne le zoper državo kot toženo stranko (in v njenem okviru zoper državne organe, v pristojnost katerih spada neko delovno področje), pač pa zoper nosilce sodne, izvršilne ali zakonodajne veje oblasti (torej zoper sodnike, tožilce, člane vlade, poslance ali morebiti zoper funkcionarje drugih samostojnih državnih organov). Zastopanje državnih funkcionarjev v sodnih postopkih v primerih, ko bo neposredno zoper njih (in ne (le) zoper državo) naperjena tožba po 26. členu Ustave RS zaradi opravljanja oziroma izvrševanja državne funkcije oziroma izvajanja državne oblastne pristojnosti je nova pristojnost državnih odvetnikov po Zakonu o funkcionarjih. Ta nova pristojnost bi nedvomno terjala zastopanje po funkcionarju, saj je le na ta način zaščitena neodvisnost izvajanja funkcije funkcionarja, ki je v postopku.</w:t>
      </w:r>
    </w:p>
    <w:p w14:paraId="76A43669" w14:textId="77777777" w:rsidR="00695AE2" w:rsidRPr="00503014" w:rsidRDefault="00695AE2" w:rsidP="00695AE2">
      <w:pPr>
        <w:spacing w:line="240" w:lineRule="auto"/>
        <w:jc w:val="both"/>
        <w:rPr>
          <w:rFonts w:eastAsia="Calibri"/>
        </w:rPr>
      </w:pPr>
    </w:p>
    <w:p w14:paraId="14C85D46" w14:textId="77777777" w:rsidR="00695AE2" w:rsidRPr="00503014" w:rsidRDefault="00695AE2" w:rsidP="00695AE2">
      <w:pPr>
        <w:spacing w:line="240" w:lineRule="auto"/>
        <w:jc w:val="both"/>
        <w:rPr>
          <w:rFonts w:eastAsia="Calibri"/>
          <w:lang w:eastAsia="sl-SI"/>
        </w:rPr>
      </w:pPr>
      <w:r w:rsidRPr="00503014">
        <w:rPr>
          <w:rFonts w:eastAsia="Calibri"/>
          <w:lang w:eastAsia="sl-SI"/>
        </w:rPr>
        <w:t>D</w:t>
      </w:r>
      <w:r w:rsidRPr="00503014">
        <w:rPr>
          <w:rFonts w:eastAsia="Calibri"/>
        </w:rPr>
        <w:t>elovanje Državnega odvetništva RS na različnih področjih, predvsem zaradi zastopanja organov vseh vej oblasti (in po novem tudi njihovih funkcionarjev), zahteva njegov popolnoma nevtralen položaj v razmerju do katerekoli veje oblasti, in sicer prav zaradi zagotovitve njegove zmožnosti v  sodnih postopkih popolnoma enakovredno zastopati katerokoli od njih in ne vzbujati pri katerikoli od njih kakršnihkoli dvomov glede morebitnega konflikta interesov med posameznimi vejami oblasti. Popolnoma jasno je, da to oblastno funkcijo (zastopanja države na vseh področjih njenega oblastnega delovanja – zakonodajnem, sodnem, izvršilnem) kot nevtralen, samostojen, neodvisen in avtonomen pravosodni državni organ lahko opravlja zgolj v funkcionarskem statusu subjektov, ki so v Državnem odvetništvu RS nosilci te oblastne funkcije.</w:t>
      </w:r>
    </w:p>
    <w:p w14:paraId="65AEF51C" w14:textId="77777777" w:rsidR="00695AE2" w:rsidRPr="00503014" w:rsidRDefault="00695AE2" w:rsidP="00695AE2">
      <w:pPr>
        <w:spacing w:line="240" w:lineRule="auto"/>
        <w:jc w:val="both"/>
        <w:rPr>
          <w:rFonts w:eastAsia="Calibri"/>
        </w:rPr>
      </w:pPr>
    </w:p>
    <w:p w14:paraId="03FE133C" w14:textId="77777777" w:rsidR="00695AE2" w:rsidRPr="00503014" w:rsidRDefault="00695AE2" w:rsidP="00695AE2">
      <w:pPr>
        <w:spacing w:line="240" w:lineRule="auto"/>
        <w:jc w:val="both"/>
        <w:rPr>
          <w:rFonts w:eastAsia="Times New Roman"/>
          <w:lang w:eastAsia="sl-SI"/>
        </w:rPr>
      </w:pPr>
      <w:r w:rsidRPr="00503014">
        <w:rPr>
          <w:rFonts w:eastAsia="Calibri"/>
        </w:rPr>
        <w:lastRenderedPageBreak/>
        <w:t xml:space="preserve">Državno odvetništvo RS ima poleg vloge zastopnika države in državnih organov v sodnih in upravnih postopkih (izvirna oblastna pristojnost) še druge pristojnosti, v okviru katerih je nanj preneseno neposredno izvajanje oblastnih pristojnosti. Državno odvetništvo RS je zadolženo za krepitev delovanja pravne države, samostojno zastopanje javnega interesa (institucionalna pristojnost), po zakonu varuje javne finance in ugled države itd. Teh pristojnosti ne opravlja noben drug državni organ. Gre za področja, ki so za ustavno in zakonito delovanje države ključnega pomena. Te naloge mora Državno odvetništvo RS opravljati samostojno in avtonomno, s čimer krepi in zagotavlja varstvo pravne države ter skrbi za varstvo ustavnih kategorij. Ker delovanje Državnega odvetništva RS rezultira v vsestranskih oblikah varovanja substrata države na vseh oblastnih področjih, je nujen njegov status samostojnega in nevtralnega državnega organa, kar zahteva tudi način dela državnih odvetnikov, ki terja visoko stopnjo strokovnosti in samostojnosti. Naloga zastopnika države namreč ni avtomatizirano zagovarjanje dejanj države, pač pa mora s svojim delovanjem uresničevati načelo pravne države, zaradi česar je potrebno tudi njegovo varstvo pred kršitvami njegove samostojnosti, kar pa bi lahko zagotovil le funkcionarski status. </w:t>
      </w:r>
    </w:p>
    <w:p w14:paraId="45349307" w14:textId="77777777" w:rsidR="00695AE2" w:rsidRPr="00503014" w:rsidRDefault="00695AE2" w:rsidP="00695AE2">
      <w:pPr>
        <w:spacing w:line="240" w:lineRule="auto"/>
        <w:ind w:right="54"/>
        <w:jc w:val="both"/>
        <w:rPr>
          <w:rFonts w:eastAsia="Calibri"/>
        </w:rPr>
      </w:pPr>
    </w:p>
    <w:p w14:paraId="0CF95028" w14:textId="77777777" w:rsidR="00695AE2" w:rsidRPr="00503014" w:rsidRDefault="00695AE2" w:rsidP="00695AE2">
      <w:pPr>
        <w:spacing w:line="240" w:lineRule="auto"/>
        <w:jc w:val="both"/>
        <w:rPr>
          <w:rFonts w:eastAsia="Calibri"/>
        </w:rPr>
      </w:pPr>
      <w:r w:rsidRPr="00503014">
        <w:rPr>
          <w:rFonts w:eastAsia="Calibri"/>
          <w:lang w:eastAsia="sl-SI"/>
        </w:rPr>
        <w:t xml:space="preserve">Pomen in ustavnopravni položaj interesov, ki jih varuje Državno odvetništvo RS, terja, da ima Državno odvetništvo RS na voljo vse potrebne vzvode za učinkovito izvrševanje svojih pristojnosti. Nujna podstat tega pa je funkcionarski status. </w:t>
      </w:r>
      <w:r w:rsidRPr="00503014">
        <w:rPr>
          <w:rFonts w:eastAsia="Calibri"/>
        </w:rPr>
        <w:t>Glede na navedeno je potrebna vrnitev funkcionarskega statusa, da bo Državno odvetništvo RS svoje pristojnosti lahko opravljalo ustrezno glede na odgovornosti, ki jih prinašajo, in pri tem brez izjeme utrjevalo in varovalo pravno državo, človekove pravice in svoboščine ter proračun, ki je namenjen blaginji vsega prebivalstva.</w:t>
      </w:r>
    </w:p>
    <w:p w14:paraId="5384D57D" w14:textId="77777777" w:rsidR="00695AE2" w:rsidRPr="00503014" w:rsidRDefault="00695AE2" w:rsidP="00695AE2">
      <w:pPr>
        <w:spacing w:line="240" w:lineRule="auto"/>
        <w:jc w:val="both"/>
        <w:rPr>
          <w:rFonts w:eastAsia="Calibri"/>
        </w:rPr>
      </w:pPr>
    </w:p>
    <w:p w14:paraId="29FEF6C6" w14:textId="77777777" w:rsidR="00695AE2" w:rsidRPr="00503014" w:rsidRDefault="00695AE2" w:rsidP="00695AE2">
      <w:pPr>
        <w:pStyle w:val="Naslov4"/>
        <w:ind w:left="0" w:firstLine="0"/>
      </w:pPr>
      <w:bookmarkStart w:id="245" w:name="_Toc191561800"/>
      <w:r>
        <w:t xml:space="preserve"> </w:t>
      </w:r>
      <w:bookmarkStart w:id="246" w:name="_Toc223093793"/>
      <w:r w:rsidRPr="00503014">
        <w:t>Zakaj je po mnenju Državnega odvetništva RS trenutna ureditev statusa državnih odvetnikov lahko tudi ustavno sporna?</w:t>
      </w:r>
      <w:bookmarkEnd w:id="245"/>
      <w:bookmarkEnd w:id="246"/>
    </w:p>
    <w:p w14:paraId="354DE604" w14:textId="77777777" w:rsidR="00695AE2" w:rsidRPr="00503014" w:rsidRDefault="00695AE2" w:rsidP="00695AE2">
      <w:pPr>
        <w:spacing w:line="240" w:lineRule="auto"/>
        <w:jc w:val="both"/>
        <w:rPr>
          <w:rFonts w:eastAsia="Times New Roman"/>
          <w:lang w:eastAsia="sl-SI"/>
        </w:rPr>
      </w:pPr>
    </w:p>
    <w:p w14:paraId="087E0A5D" w14:textId="77777777" w:rsidR="00695AE2" w:rsidRPr="00503014" w:rsidRDefault="00695AE2" w:rsidP="00695AE2">
      <w:pPr>
        <w:spacing w:line="240" w:lineRule="auto"/>
        <w:jc w:val="both"/>
        <w:rPr>
          <w:rFonts w:eastAsia="Calibri"/>
        </w:rPr>
      </w:pPr>
      <w:r w:rsidRPr="00503014">
        <w:rPr>
          <w:rFonts w:eastAsia="Calibri"/>
        </w:rPr>
        <w:t xml:space="preserve">Status nosilca izvajanja nalog je samo posledica pristojnosti organa, ki opravlja oblastvene funkcije na strani države, zato so lahko nosilci vseh pristojnosti Državnega odvetništva RS, torej svetovalne, zastopniške, poravnalne in institucionalne pristojnosti, ki so državne oblastne pristojnosti, le funkcionarji. Izvajanja državne oblastne funkcije namreč ni mogoče naložiti javnim uslužbencem, kar pa državni odvetniki trenutno so. </w:t>
      </w:r>
    </w:p>
    <w:p w14:paraId="66603C44" w14:textId="77777777" w:rsidR="00695AE2" w:rsidRPr="00503014" w:rsidRDefault="00695AE2" w:rsidP="00695AE2">
      <w:pPr>
        <w:spacing w:line="240" w:lineRule="auto"/>
        <w:jc w:val="both"/>
        <w:rPr>
          <w:rFonts w:eastAsia="Calibri"/>
        </w:rPr>
      </w:pPr>
    </w:p>
    <w:p w14:paraId="14F4FC89" w14:textId="77777777" w:rsidR="00695AE2" w:rsidRPr="00503014" w:rsidRDefault="00695AE2" w:rsidP="00695AE2">
      <w:pPr>
        <w:spacing w:line="240" w:lineRule="auto"/>
        <w:ind w:right="54"/>
        <w:jc w:val="both"/>
        <w:rPr>
          <w:rFonts w:eastAsia="Calibri"/>
        </w:rPr>
      </w:pPr>
      <w:r w:rsidRPr="00503014">
        <w:rPr>
          <w:rFonts w:eastAsia="Calibri"/>
        </w:rPr>
        <w:t>Varovanje premoženjske substance države in varovanje javnega interesa ter s tem krepitev pravne države predstavlja vsebinski substrat države, njegov personalni substrat na tem področju pa so državni odvetniki. Ker so nosilci državnih oblastvenih funkcij lahko zgolj in samo funkcionarji in samo funkcionarji lahko predstavljajo državo, je edina sistemsko pravilna ureditev takšna, da imajo državni odvetniki položaj funkcionarjev.</w:t>
      </w:r>
    </w:p>
    <w:p w14:paraId="1588C29A" w14:textId="77777777" w:rsidR="00695AE2" w:rsidRPr="00503014" w:rsidRDefault="00695AE2" w:rsidP="00695AE2">
      <w:pPr>
        <w:spacing w:line="240" w:lineRule="auto"/>
        <w:jc w:val="both"/>
        <w:rPr>
          <w:rFonts w:eastAsia="Calibri"/>
        </w:rPr>
      </w:pPr>
    </w:p>
    <w:p w14:paraId="3A9E5594" w14:textId="77777777" w:rsidR="00695AE2" w:rsidRPr="00503014" w:rsidRDefault="00695AE2" w:rsidP="00695AE2">
      <w:pPr>
        <w:spacing w:line="240" w:lineRule="auto"/>
        <w:ind w:right="54"/>
        <w:jc w:val="both"/>
        <w:rPr>
          <w:rFonts w:eastAsia="Calibri"/>
        </w:rPr>
      </w:pPr>
      <w:r w:rsidRPr="00503014">
        <w:rPr>
          <w:rFonts w:eastAsia="Calibri"/>
        </w:rPr>
        <w:t xml:space="preserve">Tudi sodna praksa </w:t>
      </w:r>
      <w:r w:rsidRPr="00503014">
        <w:rPr>
          <w:rFonts w:eastAsia="Times New Roman"/>
          <w:lang w:eastAsia="sl-SI"/>
        </w:rPr>
        <w:t>k</w:t>
      </w:r>
      <w:r w:rsidRPr="00503014">
        <w:rPr>
          <w:rFonts w:eastAsia="Calibri"/>
        </w:rPr>
        <w:t>ot posebej pomemben razlikovalni element poudarja dejstvo, »</w:t>
      </w:r>
      <w:r w:rsidRPr="00503014">
        <w:rPr>
          <w:rFonts w:eastAsia="Calibri"/>
          <w:i/>
          <w:iCs/>
        </w:rPr>
        <w:t>da pravosodni funkcionarji do takšne mere personalizirajo državo, da njihova dejanja predstavljajo ravnanja države same«.</w:t>
      </w:r>
      <w:r w:rsidRPr="00503014">
        <w:rPr>
          <w:rFonts w:eastAsia="Calibri"/>
          <w:i/>
          <w:iCs/>
          <w:vertAlign w:val="superscript"/>
        </w:rPr>
        <w:t xml:space="preserve"> </w:t>
      </w:r>
      <w:r w:rsidRPr="00503014">
        <w:rPr>
          <w:rFonts w:eastAsia="Calibri"/>
          <w:i/>
          <w:iCs/>
          <w:vertAlign w:val="superscript"/>
        </w:rPr>
        <w:footnoteReference w:id="8"/>
      </w:r>
      <w:r w:rsidRPr="00503014">
        <w:rPr>
          <w:rFonts w:eastAsia="Calibri"/>
        </w:rPr>
        <w:t xml:space="preserve"> </w:t>
      </w:r>
    </w:p>
    <w:p w14:paraId="6745DB1E" w14:textId="77777777" w:rsidR="00695AE2" w:rsidRPr="00503014" w:rsidRDefault="00695AE2" w:rsidP="00695AE2">
      <w:pPr>
        <w:spacing w:line="240" w:lineRule="auto"/>
        <w:jc w:val="both"/>
        <w:rPr>
          <w:rFonts w:eastAsia="Calibri"/>
        </w:rPr>
      </w:pPr>
    </w:p>
    <w:p w14:paraId="7DF3EB41" w14:textId="77777777" w:rsidR="00695AE2" w:rsidRPr="00503014" w:rsidRDefault="00695AE2" w:rsidP="00695AE2">
      <w:pPr>
        <w:spacing w:line="240" w:lineRule="auto"/>
        <w:jc w:val="both"/>
        <w:rPr>
          <w:rFonts w:eastAsia="Calibri"/>
        </w:rPr>
      </w:pPr>
      <w:r w:rsidRPr="00503014">
        <w:rPr>
          <w:rFonts w:eastAsia="Calibri"/>
        </w:rPr>
        <w:t xml:space="preserve">Pravosodni funkcionar je personalni substrat države in ima v tem pogledu neodvisnost in samostojnost (jo mora imeti), predvsem pa, kar je poudariti, tudi odgovornost, ki iz tega izhaja. Pravosodni funkcionarji svoje pristojnosti izvršujejo strokovno, vestno in pravočasno, pri </w:t>
      </w:r>
      <w:r w:rsidRPr="00503014">
        <w:rPr>
          <w:rFonts w:eastAsia="Calibri"/>
        </w:rPr>
        <w:lastRenderedPageBreak/>
        <w:t xml:space="preserve">svojem delu ravnajo po pravilih stroke ter se za to stalno usposabljajo in izpopolnjujejo, pri izvrševanju pristojnosti ravnajo častno v skladu s pravili poklicne etike (prisega, etična komisija), odgovarjajo za kakovostno, hitro in učinkovito izvrševanje pristojnosti (disciplinska odgovornost), pristojnosti izvršujejo v javno korist, politično nevtralno in nepristransko. </w:t>
      </w:r>
    </w:p>
    <w:p w14:paraId="11952942" w14:textId="77777777" w:rsidR="00695AE2" w:rsidRPr="00503014" w:rsidRDefault="00695AE2" w:rsidP="00695AE2">
      <w:pPr>
        <w:spacing w:line="240" w:lineRule="auto"/>
        <w:jc w:val="both"/>
        <w:rPr>
          <w:rFonts w:eastAsia="Calibri"/>
        </w:rPr>
      </w:pPr>
    </w:p>
    <w:p w14:paraId="225C7A35" w14:textId="77777777" w:rsidR="00695AE2" w:rsidRPr="00503014" w:rsidRDefault="00695AE2" w:rsidP="00695AE2">
      <w:pPr>
        <w:spacing w:line="240" w:lineRule="auto"/>
        <w:jc w:val="both"/>
        <w:rPr>
          <w:rFonts w:eastAsia="Calibri"/>
        </w:rPr>
      </w:pPr>
      <w:r w:rsidRPr="00503014">
        <w:rPr>
          <w:rFonts w:eastAsia="Calibri"/>
        </w:rPr>
        <w:t xml:space="preserve">Država je na Državno odvetništvo RS, ki je pri opravljanju svojih nalog in pristojnosti samostojen in avtonomen organ, prenesla svojo izvorno pristojnost zastopanja države na enem od področij, in sicer v sodnih in upravnih postopkih. V sodnih postopkih doma in v tujini ter pred upravnimi organi tako lahko in sme Republiko Slovenijo predstavljati – zastopati edino državni odvetnik, ki opravlja naloge Državnega odvetništva RS. Ker gre za prenos izvirne pristojnosti države, se ta lahko izvaja le kot funkcija. Državni odvetnik je, ko vznikne spor ali celo za njegovo preprečitev, oblikovalec volje države praktično na vseh pravnih področjih, z izjemo kazenskega prava, kjer je to državni tožilec. </w:t>
      </w:r>
    </w:p>
    <w:p w14:paraId="50C903B1" w14:textId="77777777" w:rsidR="00695AE2" w:rsidRPr="00503014" w:rsidRDefault="00695AE2" w:rsidP="00695AE2">
      <w:pPr>
        <w:tabs>
          <w:tab w:val="left" w:pos="1440"/>
        </w:tabs>
        <w:spacing w:line="240" w:lineRule="auto"/>
        <w:jc w:val="both"/>
        <w:rPr>
          <w:rFonts w:eastAsia="Calibri"/>
        </w:rPr>
      </w:pPr>
    </w:p>
    <w:p w14:paraId="4A9F7F3B" w14:textId="77777777" w:rsidR="00695AE2" w:rsidRPr="00503014" w:rsidRDefault="00695AE2" w:rsidP="00695AE2">
      <w:pPr>
        <w:tabs>
          <w:tab w:val="left" w:pos="1440"/>
        </w:tabs>
        <w:spacing w:line="240" w:lineRule="auto"/>
        <w:jc w:val="both"/>
        <w:rPr>
          <w:rFonts w:eastAsia="Calibri"/>
        </w:rPr>
      </w:pPr>
      <w:r w:rsidRPr="00503014">
        <w:rPr>
          <w:rFonts w:eastAsia="Calibri"/>
        </w:rPr>
        <w:t>Nesistemska ureditev po ZDOdv tako povzroča anomalije tudi znotraj celotnega pravosodnega sistema. Načelo pravne varnosti, katerega bistveni komponenti sta pravna predvidljivost in pravna doslednost, terja, da se primerljive položaje ureja na primerljiv način. Državni odvetniki  so po odločilnih kriterijih (izvajanje pravosodnih nalog, varovanje ustavno garantiranih pravic in interesov, enaka zahtevnost dela, praktično enaki pogoji za zasedbo delovnih mest in funkcij, praktično enaki pogoji dela) primerljivi z ostalimi pravosodnimi funkcionarji, zlasti državnimi tožilci. Državni odvetniki in državni tožilci so oboji nosilci izvršilne državne funkcije na področju pravosodja, oboji pred sodišči nastopajo v imenu države – državni tožilci na področju kazenskega pregona, državni odvetniki pa na vseh ostalih pravnih področjih. Do ZDOdv se je zato položaj vseh pravosodnih funkcionarjev urejal na primerljiv način. S tem je bilo zagotovljeno, da je država v vseh vlogah v pravosodju (sojenje, zastopanje) udeležena z enako kvalificiranimi in usposobljenimi posamezniki (enakost orožij).</w:t>
      </w:r>
    </w:p>
    <w:p w14:paraId="63E0E3C8" w14:textId="77777777" w:rsidR="00695AE2" w:rsidRPr="00503014" w:rsidRDefault="00695AE2" w:rsidP="00695AE2">
      <w:pPr>
        <w:spacing w:line="240" w:lineRule="auto"/>
        <w:jc w:val="both"/>
        <w:rPr>
          <w:rFonts w:eastAsia="Calibri"/>
        </w:rPr>
      </w:pPr>
    </w:p>
    <w:p w14:paraId="458F5855" w14:textId="77777777" w:rsidR="00695AE2" w:rsidRPr="00503014" w:rsidRDefault="00695AE2" w:rsidP="00695AE2">
      <w:pPr>
        <w:spacing w:line="240" w:lineRule="auto"/>
        <w:ind w:right="54"/>
        <w:jc w:val="both"/>
        <w:rPr>
          <w:rFonts w:eastAsia="Calibri"/>
        </w:rPr>
      </w:pPr>
      <w:r w:rsidRPr="00503014">
        <w:rPr>
          <w:rFonts w:eastAsia="Calibri"/>
          <w:lang w:eastAsia="sl-SI"/>
        </w:rPr>
        <w:t>Načela pravne države ne dopuščajo, da je izvajanje nekaterih oblastnih funkcij države na področju pravosodja, ki jih izvršuje izključno Državno odvetništvo RS, podvrženo tveganjem, ki jih prinaša sedanja ureditev. Ker</w:t>
      </w:r>
      <w:r w:rsidRPr="00503014">
        <w:rPr>
          <w:rFonts w:eastAsia="Calibri"/>
        </w:rPr>
        <w:t xml:space="preserve"> so po vsebini državni odvetniki že zdaj nosilci pravosodne funkcije, ki je primerljiva državno tožilski, je z vidika pravne doslednosti in s tem pravne varnosti prek primerljivega urejanja primerljivih pravnih položajev zato tudi za državne odvetnike treba ponovno vzpostaviti funkcionarski status, ki je bil državnim odvetnikom ob zadnji reformi organa nepremišljeno odvzet. </w:t>
      </w:r>
    </w:p>
    <w:p w14:paraId="273C8534" w14:textId="77777777" w:rsidR="00695AE2" w:rsidRPr="00503014" w:rsidRDefault="00695AE2" w:rsidP="00695AE2">
      <w:pPr>
        <w:spacing w:line="240" w:lineRule="auto"/>
        <w:jc w:val="both"/>
        <w:rPr>
          <w:rFonts w:eastAsia="Calibri"/>
        </w:rPr>
      </w:pPr>
    </w:p>
    <w:p w14:paraId="57CEEAF0" w14:textId="77777777" w:rsidR="00695AE2" w:rsidRPr="00503014" w:rsidRDefault="00695AE2" w:rsidP="00695AE2">
      <w:pPr>
        <w:spacing w:line="240" w:lineRule="auto"/>
        <w:jc w:val="both"/>
        <w:rPr>
          <w:rFonts w:eastAsia="Calibri"/>
        </w:rPr>
      </w:pPr>
      <w:r w:rsidRPr="00503014">
        <w:rPr>
          <w:rFonts w:eastAsia="Calibri"/>
        </w:rPr>
        <w:t xml:space="preserve">Funkcionarski sistem izgrajuje stabilno okolje za zastopanje najzahtevnejših zadev pred domačimi, tujimi in mednarodnimi sodišči, kar pomembno prispeva k povečanju kakovosti sojenja in s tem k razvoju pravne stroke in sodne prakse, k razbremenitvi sodišč, s tem pa tudi k pospešitvi postopkov, zmanjšanju zaostankov na sodiščih in k mirnemu reševanju sporov. Pomembna je tudi svetovalna funkcija Državnega odvetništva RS, ki se izvaja s pripravo pravnih mnenj, ki zahtevajo visoko pravno usposobljenost in neodvisno pravno analizo. V okviru poravnalne funkcije se sklepajo poravnave, ki imajo moč izvršilnega naslova. Vse navedeno se še zlasti izrazito kaže pri zastopanju države, kadar so zoper njo naperjeni odškodninski zahtevki po 26. členu Ustave RS, prav teh pa je največ. Ti so naperjeni zoper vse tri veje oblasti. Oblastnih funkcij pa ne morejo zastopati zgolj javni uslužbenci, pač pa le tem primerljive oblastne funkcije. Taka ureditev državnega zastopanja nujno zahteva samostojnost in </w:t>
      </w:r>
      <w:r w:rsidRPr="00503014">
        <w:rPr>
          <w:rFonts w:eastAsia="Calibri"/>
        </w:rPr>
        <w:lastRenderedPageBreak/>
        <w:t xml:space="preserve">neodvisnost, kar pa lahko zagotavlja le funkcionarski status državnega odvetnika kot nosilca take zastopniške funkcije.  </w:t>
      </w:r>
    </w:p>
    <w:p w14:paraId="3817EB3B" w14:textId="77777777" w:rsidR="00695AE2" w:rsidRPr="00503014" w:rsidRDefault="00695AE2" w:rsidP="00695AE2">
      <w:pPr>
        <w:spacing w:line="240" w:lineRule="auto"/>
        <w:jc w:val="both"/>
        <w:rPr>
          <w:rFonts w:eastAsia="Calibri"/>
        </w:rPr>
      </w:pPr>
    </w:p>
    <w:p w14:paraId="08A7FB72" w14:textId="77777777" w:rsidR="00695AE2" w:rsidRPr="00503014" w:rsidRDefault="00695AE2" w:rsidP="00695AE2">
      <w:pPr>
        <w:spacing w:line="240" w:lineRule="auto"/>
        <w:jc w:val="both"/>
        <w:rPr>
          <w:rFonts w:eastAsia="Calibri"/>
        </w:rPr>
      </w:pPr>
      <w:r w:rsidRPr="00503014">
        <w:rPr>
          <w:rFonts w:eastAsia="Calibri"/>
        </w:rPr>
        <w:t xml:space="preserve">Status funkcionarja je tudi edini primeren za izvajanje ene ključnih pristojnosti Državnega odvetništva RS – vlaganja tožb v javnem interesu, ki jih Državno odvetništvo RS vlaga v lastnem imenu, samostojno in neodvisno zoper subjekt, ki ga sicer zastopa. Podrejenost navodilom, ki je značilna za javnouslužbenski sistem, ustvarja okoliščine, v katerih je vlaganje tožb v javnem interesu obremenjeno z zavedanjem negativnih posledic, ki lahko nastanejo za Državno odvetništvo RS zaradi napačnega razumevanja tega instituta s strani toženega subjekta (v smislu kršenja hierarhije), sploh če gre za organ izvršilne veje oblasti, ki je obenem odgovoren za sistemsko urejanje položaja Državnega odvetništva RS. Takšna ureditev lahko vodi v prekomerno zadržan pristop k izvrševanju te ključne pristojnosti, ki ga lahko sprosti le zagotovitev funkcionarskega statusa in s tem večje stopnje neodvisnosti in samostojnosti v razmerju do zastopanih oziroma toženih subjektov. </w:t>
      </w:r>
    </w:p>
    <w:p w14:paraId="2F66030E" w14:textId="77777777" w:rsidR="00695AE2" w:rsidRPr="00503014" w:rsidRDefault="00695AE2" w:rsidP="00695AE2">
      <w:pPr>
        <w:spacing w:line="240" w:lineRule="auto"/>
        <w:jc w:val="both"/>
        <w:rPr>
          <w:rFonts w:eastAsia="Calibri"/>
        </w:rPr>
      </w:pPr>
    </w:p>
    <w:p w14:paraId="7790043A" w14:textId="77777777" w:rsidR="00695AE2" w:rsidRPr="00503014" w:rsidRDefault="00695AE2" w:rsidP="00695AE2">
      <w:pPr>
        <w:spacing w:line="240" w:lineRule="auto"/>
        <w:jc w:val="both"/>
        <w:rPr>
          <w:rFonts w:eastAsia="Calibri"/>
        </w:rPr>
      </w:pPr>
      <w:r w:rsidRPr="00503014">
        <w:rPr>
          <w:rFonts w:eastAsia="Calibri"/>
        </w:rPr>
        <w:t xml:space="preserve">Državni odvetnik je kot javni uslužbenec potencialno podvržen manjši samostojnosti in neodvisnosti pravnega ravnanja in presoje zadev, večji pa je lahko tudi vpliv aktualne politike na strokovne odločitve državnih odvetnikov. Krepitev strokovne samostojnosti državnega odvetnika in njegovo varstvo pravne države sta lahko ogrožena; vpletenost morebitnih interesnih razlogov lahko vodi do podrejenosti potencialno nedopustnim navodilom in do poskusov prisile v pravno nesprejemljiva ravnanja. Državni odvetniki zaradi oslabljene samostojnosti na podlagi obstoječega ZDOdv ne morejo izpolnjevati najvišjih strokovnih kriterijev na področju vladavine prava ter dovolj učinkovito varovati interesov, katerih varstvu se zavežejo s svojo prisego. Po ZDOdv državni odvetnik kot javni uslužbenec namreč ne more odkloniti izvršitve nedopustnega, a po ZDOdv zavezujočega vladnega navodila. Možnost odklonitve takšnega vladnega navodila je po naravi tipično funkcionarska in konceptualno popolnoma nezdružljiva z javnouslužbenskim  sistemom podrejenosti navodilom. Le položaj funkcionarja nudi opolnomočenje in zaščito posamezniku pri sprejemanju tako pomembnih in odgovornih odločitev. Enakost orožij je namreč eno od glavnih zagotovil delovanja pravnih sistemov. Če se bo moral Vladi RS ali ministru ob varovanju ustavnih ali temeljnih človekovih pravic zoperstaviti javni uslužbenec, ta za to zagotovo ni opremljen z dovolj močnim orožjem. Nujno je, da na poti uresničevanja pravnih interesov države pred sodišči nastopa enakopraven subjekt, torej funkcionar, ki lahko učinkovito zagotovi, da prek nalog zastopanja in v samem dostopu do sodišča ne bo prišlo do očitne zlorabe pravic. Prav to je ključna in po naravi pravzaprav </w:t>
      </w:r>
      <w:r w:rsidRPr="00503014">
        <w:rPr>
          <w:rFonts w:eastAsia="Calibri"/>
          <w:i/>
          <w:iCs/>
        </w:rPr>
        <w:t>pravobranilska</w:t>
      </w:r>
      <w:r w:rsidRPr="00503014">
        <w:rPr>
          <w:rFonts w:eastAsia="Calibri"/>
        </w:rPr>
        <w:t xml:space="preserve"> funkcija, ZDOdv pa je žal ne vsebuje. </w:t>
      </w:r>
    </w:p>
    <w:p w14:paraId="6AFF2499" w14:textId="77777777" w:rsidR="00695AE2" w:rsidRPr="00503014" w:rsidRDefault="00695AE2" w:rsidP="00695AE2">
      <w:pPr>
        <w:tabs>
          <w:tab w:val="left" w:pos="1440"/>
        </w:tabs>
        <w:spacing w:line="240" w:lineRule="auto"/>
        <w:jc w:val="both"/>
        <w:rPr>
          <w:rFonts w:eastAsia="Calibri"/>
        </w:rPr>
      </w:pPr>
    </w:p>
    <w:p w14:paraId="592BE16A" w14:textId="77777777" w:rsidR="00695AE2" w:rsidRPr="00503014" w:rsidRDefault="00695AE2" w:rsidP="00695AE2">
      <w:pPr>
        <w:spacing w:line="240" w:lineRule="auto"/>
        <w:jc w:val="both"/>
        <w:rPr>
          <w:rFonts w:eastAsia="Calibri"/>
        </w:rPr>
      </w:pPr>
      <w:r w:rsidRPr="00503014">
        <w:rPr>
          <w:rFonts w:eastAsia="Calibri"/>
        </w:rPr>
        <w:t xml:space="preserve">Državni odvetniki so kot javni uslužbenci izpostavljeni pritiskom individualnih odškodninskih tožb nasprotnih strank, medtem ko za funkcionarje, ki so personalni substrat države,  odgovarja država, kar funkcionarju nudi varnost, da lahko svojo voljo oblikuje zgolj in samo na podlagi in v mejah ustave, ratificiranih in objavljenih mednarodnih pogodb, zakonov in podzakonskih predpisov. </w:t>
      </w:r>
    </w:p>
    <w:p w14:paraId="037385A4" w14:textId="77777777" w:rsidR="00695AE2" w:rsidRPr="00503014" w:rsidRDefault="00695AE2" w:rsidP="00695AE2">
      <w:pPr>
        <w:spacing w:line="240" w:lineRule="auto"/>
        <w:jc w:val="both"/>
        <w:rPr>
          <w:rFonts w:eastAsia="Calibri"/>
        </w:rPr>
      </w:pPr>
    </w:p>
    <w:p w14:paraId="01DA87CC" w14:textId="77777777" w:rsidR="00695AE2" w:rsidRPr="00503014" w:rsidRDefault="00695AE2" w:rsidP="00695AE2">
      <w:pPr>
        <w:spacing w:line="240" w:lineRule="auto"/>
        <w:jc w:val="both"/>
        <w:rPr>
          <w:rFonts w:eastAsia="Calibri"/>
        </w:rPr>
      </w:pPr>
      <w:r w:rsidRPr="00503014">
        <w:rPr>
          <w:rFonts w:eastAsia="Calibri"/>
        </w:rPr>
        <w:t xml:space="preserve">Šibkejši položaj državnega odvetnika kot javnega uslužbenca otežuje tudi koordinacijo in usklajevanje različnih interesov, kadar zastopanje v posamezni zadevi terja usklajevanje različnih ali celo nasprotujočih stališč več državnih organov, pri čemer lahko usklajevanja potekajo med predstavniki najvišjih ravni. Državni odvetnik se kot javni uslužbenec ne more dvigniti nad morebitne partikularne interese, kar otežuje doseganje poenotenega stališča, ki </w:t>
      </w:r>
      <w:r w:rsidRPr="00503014">
        <w:rPr>
          <w:rFonts w:eastAsia="Calibri"/>
        </w:rPr>
        <w:lastRenderedPageBreak/>
        <w:t>je potrebno za zastopanje v sodnih postopkih, v katerih stranke niso posamezni državni organi ampak Republika Slovenija kot celota. Status funkcionarja bi v teh primerih zagotovil ustrezno enakost orožij v smislu prepričevalne moči in s tem učinkovito doseganje enotnega stališča.</w:t>
      </w:r>
    </w:p>
    <w:p w14:paraId="37985ED3" w14:textId="77777777" w:rsidR="00695AE2" w:rsidRPr="00503014" w:rsidRDefault="00695AE2" w:rsidP="00695AE2">
      <w:pPr>
        <w:spacing w:line="240" w:lineRule="auto"/>
        <w:jc w:val="both"/>
        <w:rPr>
          <w:rFonts w:eastAsia="Calibri"/>
        </w:rPr>
      </w:pPr>
    </w:p>
    <w:p w14:paraId="6B7A8398" w14:textId="77777777" w:rsidR="00695AE2" w:rsidRPr="00503014" w:rsidRDefault="00695AE2" w:rsidP="00695AE2">
      <w:pPr>
        <w:spacing w:line="240" w:lineRule="auto"/>
        <w:jc w:val="both"/>
        <w:rPr>
          <w:rFonts w:eastAsia="Calibri"/>
        </w:rPr>
      </w:pPr>
      <w:r w:rsidRPr="00503014">
        <w:rPr>
          <w:rFonts w:eastAsia="Calibri"/>
        </w:rPr>
        <w:t xml:space="preserve">Področje nadzora je nadaljnja nevarnost, zlasti glede nadzora/obvladovanja korupcijskih tveganj ob visokih vrednostih obravnavanih zadev. Za razliko od drugih pravosodnih funkcionarjev državni odvetniki kot javni uslužbenci namreč niso dolžni poročati Komisiji za preprečevanje korupcije o spremembah v svojem premoženju in tudi sicer niso zavezanci po Zakonu o integriteti in preprečevanju korupcije, kar je vsekakor absurd. Ob vedno kompleksnejših sporih, v ozadju katerih se pojavljajo in prepletajo različne interesne sfere, položaj javnega uslužbenca že sam po sebi ustvarja pogoje za korupcijska tveganja. Kljub obravnavanju zadev z zelo visokimi zneski (več sto milijonov evrov), v katerih so lahko pritiski na državne odvetnike zelo veliki, državni odvetniki kot javni uslužbenci niso dolžni prijavljati sprememb premoženja na Komisijo za preprečevanje korupcije, kar je dodaten dejavnik tveganja. Državni odvetniki kot funkcionarji bi bili poleg že obstoječi zavezanosti iz prisege ter disciplinski odgovornosti podvrženi tudi nezdružljivosti funkcije, s tem pa bi se odpravljala interesna tveganja. </w:t>
      </w:r>
    </w:p>
    <w:p w14:paraId="56173EE0" w14:textId="77777777" w:rsidR="00695AE2" w:rsidRPr="00503014" w:rsidRDefault="00695AE2" w:rsidP="00695AE2">
      <w:pPr>
        <w:tabs>
          <w:tab w:val="left" w:pos="1440"/>
        </w:tabs>
        <w:spacing w:line="240" w:lineRule="auto"/>
        <w:jc w:val="both"/>
        <w:rPr>
          <w:rFonts w:eastAsia="Calibri"/>
        </w:rPr>
      </w:pPr>
    </w:p>
    <w:p w14:paraId="54D3FD80" w14:textId="77777777" w:rsidR="00695AE2" w:rsidRPr="00503014" w:rsidRDefault="00695AE2" w:rsidP="00695AE2">
      <w:pPr>
        <w:spacing w:line="240" w:lineRule="auto"/>
        <w:ind w:right="54"/>
        <w:jc w:val="both"/>
        <w:rPr>
          <w:rFonts w:eastAsia="Calibri"/>
        </w:rPr>
      </w:pPr>
      <w:r w:rsidRPr="00503014">
        <w:rPr>
          <w:rFonts w:eastAsia="Calibri"/>
        </w:rPr>
        <w:t xml:space="preserve">ZDOdv je z odvzemom funkcije v pravno ureditev državne organizacije ter v njenem okviru pravosodnih organov vpeljal ustavno neskladno anomalijo, saj je Državnemu odvetništvu RS podeljena državna oblastna funkcija, ki pa za njeno izvajanje nima ustreznega personalnega substrata – funkcionarskega statusa državnih odvetnikov. Koncept zastopanja po funkcionarjih se zliva v koncept načela zakonitosti in pravne države kot zaokrožene celote, zato je upoštevaje dejstvo, da je Državno odvetništvo RS pravosodni organ, je  ustavno skladno njegov položaj urediti v skladu z načeli pravne države in enakosti glede na primerljivost in podobnost znotraj pravosodnih organov v Republiki Sloveniji. </w:t>
      </w:r>
    </w:p>
    <w:p w14:paraId="63B10771" w14:textId="77777777" w:rsidR="00695AE2" w:rsidRPr="00503014" w:rsidRDefault="00695AE2" w:rsidP="00695AE2">
      <w:pPr>
        <w:pStyle w:val="Jasna"/>
      </w:pPr>
    </w:p>
    <w:p w14:paraId="19776221" w14:textId="77777777" w:rsidR="00695AE2" w:rsidRPr="00503014" w:rsidRDefault="00695AE2" w:rsidP="00695AE2">
      <w:pPr>
        <w:pStyle w:val="Naslov4"/>
        <w:ind w:left="0" w:firstLine="0"/>
      </w:pPr>
      <w:bookmarkStart w:id="247" w:name="_Toc191561801"/>
      <w:r>
        <w:t xml:space="preserve"> </w:t>
      </w:r>
      <w:bookmarkStart w:id="248" w:name="_Toc223093794"/>
      <w:r w:rsidRPr="00503014">
        <w:t xml:space="preserve">Podpora strokovne javnosti prizadevanjem Državnega odvetništva RS za </w:t>
      </w:r>
      <w:r w:rsidRPr="00503014">
        <w:rPr>
          <w:rFonts w:eastAsia="Calibri"/>
        </w:rPr>
        <w:t>okrepitev samostojnosti in avtonomnosti njegovega delovanja ter ureditev statusa državnih odvetnikov</w:t>
      </w:r>
      <w:bookmarkEnd w:id="248"/>
      <w:r w:rsidRPr="00503014">
        <w:rPr>
          <w:rFonts w:eastAsia="Calibri"/>
        </w:rPr>
        <w:t xml:space="preserve"> </w:t>
      </w:r>
      <w:bookmarkEnd w:id="247"/>
    </w:p>
    <w:p w14:paraId="13FC4AEE" w14:textId="77777777" w:rsidR="00695AE2" w:rsidRPr="00503014" w:rsidRDefault="00695AE2" w:rsidP="00695AE2">
      <w:pPr>
        <w:spacing w:line="240" w:lineRule="auto"/>
        <w:ind w:right="54"/>
        <w:jc w:val="both"/>
        <w:rPr>
          <w:rFonts w:eastAsia="Calibri"/>
        </w:rPr>
      </w:pPr>
    </w:p>
    <w:p w14:paraId="50D3561D" w14:textId="77777777" w:rsidR="00695AE2" w:rsidRPr="00503014" w:rsidRDefault="00695AE2" w:rsidP="00695AE2">
      <w:pPr>
        <w:spacing w:line="240" w:lineRule="auto"/>
        <w:ind w:right="54"/>
        <w:jc w:val="both"/>
        <w:rPr>
          <w:rFonts w:eastAsia="Calibri"/>
        </w:rPr>
      </w:pPr>
      <w:r w:rsidRPr="00503014">
        <w:rPr>
          <w:rFonts w:eastAsia="Calibri"/>
        </w:rPr>
        <w:t xml:space="preserve">Državno odvetništvo RS je marca 2023 organiziralo posvet v Državnem svetu z naslovom </w:t>
      </w:r>
      <w:r w:rsidRPr="00503014">
        <w:rPr>
          <w:rFonts w:eastAsia="Calibri"/>
          <w:color w:val="007466"/>
        </w:rPr>
        <w:t>»Kakšnega odvetnika potrebuje država?«</w:t>
      </w:r>
      <w:r w:rsidRPr="00503014">
        <w:rPr>
          <w:rFonts w:eastAsia="Calibri"/>
          <w:color w:val="007466"/>
          <w:vertAlign w:val="superscript"/>
        </w:rPr>
        <w:footnoteReference w:id="9"/>
      </w:r>
      <w:r w:rsidRPr="00503014">
        <w:rPr>
          <w:rFonts w:eastAsia="Calibri"/>
          <w:color w:val="007466"/>
        </w:rPr>
        <w:t xml:space="preserve"> </w:t>
      </w:r>
      <w:r w:rsidRPr="00503014">
        <w:rPr>
          <w:rFonts w:eastAsia="Calibri"/>
        </w:rPr>
        <w:t xml:space="preserve">ter na njem povabilo stroko k razpravi o spremembah svojega matičnega zakona, ki bi vodile v večjo učinkovitost, opolnomočenje in zaščito delovanja državnih odvetnikov z vidika pristojnosti znotraj pravosodja, ki jih izvršujejo. </w:t>
      </w:r>
    </w:p>
    <w:p w14:paraId="569B8594" w14:textId="77777777" w:rsidR="00695AE2" w:rsidRPr="00503014" w:rsidRDefault="00695AE2" w:rsidP="00695AE2">
      <w:pPr>
        <w:spacing w:line="240" w:lineRule="auto"/>
        <w:ind w:right="54"/>
        <w:jc w:val="both"/>
        <w:rPr>
          <w:rFonts w:eastAsia="Calibri"/>
        </w:rPr>
      </w:pPr>
    </w:p>
    <w:p w14:paraId="27605FF3" w14:textId="77777777" w:rsidR="00695AE2" w:rsidRPr="00503014" w:rsidRDefault="00695AE2" w:rsidP="00695AE2">
      <w:pPr>
        <w:spacing w:line="240" w:lineRule="auto"/>
        <w:ind w:right="54"/>
        <w:jc w:val="both"/>
        <w:rPr>
          <w:rFonts w:eastAsia="Calibri"/>
        </w:rPr>
      </w:pPr>
      <w:r w:rsidRPr="00503014">
        <w:rPr>
          <w:rFonts w:eastAsia="Calibri"/>
        </w:rPr>
        <w:t xml:space="preserve">Na posvetu so sodelovali: predsednica republike dr. Nataša Pirc Musar, predsednica Državnega zbora Republike Slovenije mag. Urška Klakočar Zupančič, predsednik Državnega sveta RS Marko Lotrič, predsednik Ustavnega sodišča RS dr. Matej Accetto, generalna državna odvetnica dr. Ana Kerševan, tedanji generalni državni tožilec Drago Šketa, tedanja predsednica Slovenskega sodniškega društva dr. Vesna Bergant Rakočević, predsednik odvetniške zbornice Janez Starman, predsednik notarske zbornice dr. Bojan Podgoršek,  prof. dr. Rajko Pirnat, prof. dr. Igor Kaučič, prof. dr. Damjan Možina, izr. prof. dr. Bruna Žuber. V razpravah je bilo veliko pozornosti namenjene vprašanju statusnega preoblikovanja državnih odvetnikov v funkcionarje. Stroka je v veliki večini pritrdila stališču, ki se je izoblikovalo že na </w:t>
      </w:r>
      <w:r w:rsidRPr="00503014">
        <w:rPr>
          <w:rFonts w:eastAsia="Calibri"/>
        </w:rPr>
        <w:lastRenderedPageBreak/>
        <w:t>posvetu z naslovom »Vloga državnih pravobranilcev v luči reforme« iz leta 2016,</w:t>
      </w:r>
      <w:r w:rsidRPr="00503014">
        <w:rPr>
          <w:rFonts w:eastAsia="Calibri"/>
          <w:vertAlign w:val="superscript"/>
        </w:rPr>
        <w:footnoteReference w:id="10"/>
      </w:r>
      <w:r w:rsidRPr="00503014">
        <w:rPr>
          <w:rFonts w:eastAsia="Calibri"/>
        </w:rPr>
        <w:t xml:space="preserve"> in sicer da je funkcionarski sistem edini pravi okvir delovanja državnega pravobranilstva oziroma kasneje državnega odvetništva.</w:t>
      </w:r>
      <w:bookmarkStart w:id="249" w:name="_Toc191561802"/>
      <w:r w:rsidRPr="00503014">
        <w:rPr>
          <w:rFonts w:eastAsia="Calibri"/>
        </w:rPr>
        <w:t xml:space="preserve"> Okrepljena samostojnost prek reforme statusa je bila kot garant večje učinkovitosti zastopanja izpostavljena tudi na okrogli mizi z naslovom </w:t>
      </w:r>
      <w:r w:rsidRPr="00503014">
        <w:rPr>
          <w:rFonts w:eastAsia="Calibri"/>
          <w:color w:val="007466"/>
        </w:rPr>
        <w:t>'Učinkovito zastopanje države' na Dnevih državnega odvetništva 8. 5. 2023</w:t>
      </w:r>
      <w:r w:rsidRPr="00503014">
        <w:rPr>
          <w:rFonts w:eastAsia="Calibri"/>
        </w:rPr>
        <w:t>, na kateri so sodelovali prof. dr. Rajko Pirnat, tedanja dekanica Pravne fakultete Univerze v Mariboru prof. dr. Vesna Rijavec, Janez Starman in prof. dr. Mitja Kovač.</w:t>
      </w:r>
    </w:p>
    <w:p w14:paraId="374DB74F" w14:textId="77777777" w:rsidR="00695AE2" w:rsidRPr="00503014" w:rsidRDefault="00695AE2" w:rsidP="00695AE2">
      <w:pPr>
        <w:spacing w:line="240" w:lineRule="auto"/>
        <w:ind w:right="54"/>
        <w:jc w:val="both"/>
        <w:rPr>
          <w:rFonts w:eastAsia="Calibri"/>
        </w:rPr>
      </w:pPr>
    </w:p>
    <w:p w14:paraId="3B7E16DC" w14:textId="77777777" w:rsidR="00695AE2" w:rsidRPr="00503014" w:rsidRDefault="00695AE2" w:rsidP="00695AE2">
      <w:pPr>
        <w:spacing w:line="240" w:lineRule="auto"/>
        <w:ind w:right="54"/>
        <w:jc w:val="both"/>
        <w:rPr>
          <w:rFonts w:eastAsia="Calibri"/>
        </w:rPr>
      </w:pPr>
      <w:r w:rsidRPr="00503014">
        <w:rPr>
          <w:rFonts w:eastAsia="Times New Roman" w:cs="Times New Roman"/>
          <w:bCs/>
        </w:rPr>
        <w:t xml:space="preserve">Prizadevanjem Državnega odvetništva za </w:t>
      </w:r>
      <w:r w:rsidRPr="00503014">
        <w:rPr>
          <w:rFonts w:eastAsia="Calibri"/>
          <w:bCs/>
        </w:rPr>
        <w:t xml:space="preserve"> </w:t>
      </w:r>
      <w:r w:rsidRPr="00503014">
        <w:rPr>
          <w:rFonts w:eastAsia="Times New Roman" w:cs="Times New Roman"/>
          <w:bCs/>
        </w:rPr>
        <w:t xml:space="preserve">spremembo ZDOdv je v novembru 2024 </w:t>
      </w:r>
      <w:r w:rsidRPr="00503014">
        <w:rPr>
          <w:rFonts w:eastAsia="Calibri"/>
        </w:rPr>
        <w:t>z javnim pismom podpore</w:t>
      </w:r>
      <w:r w:rsidRPr="00503014">
        <w:rPr>
          <w:rFonts w:eastAsia="Times New Roman" w:cs="Times New Roman"/>
          <w:bCs/>
        </w:rPr>
        <w:t xml:space="preserve"> izkazalo tudi </w:t>
      </w:r>
      <w:r w:rsidRPr="00503014">
        <w:rPr>
          <w:rFonts w:eastAsia="Times New Roman" w:cs="Times New Roman"/>
          <w:bCs/>
          <w:color w:val="007466"/>
        </w:rPr>
        <w:t>Društvo državnih tožilcev Slovenije</w:t>
      </w:r>
      <w:bookmarkEnd w:id="249"/>
      <w:r w:rsidRPr="00503014">
        <w:rPr>
          <w:rFonts w:eastAsia="Times New Roman" w:cs="Times New Roman"/>
          <w:bCs/>
        </w:rPr>
        <w:t xml:space="preserve">. </w:t>
      </w:r>
      <w:r w:rsidRPr="00503014">
        <w:rPr>
          <w:rFonts w:eastAsia="Calibri"/>
        </w:rPr>
        <w:t xml:space="preserve">V prejetem pismu podpore je predsednik društva, dr. Boštjan Valenčič, zapisal: »Določitev trajne funkcije in siceršnja ustrezna okvirna normativna ureditev državnega odvetništva kot samostojnega pravosodnega organa bi tudi navzven odrazila zakonske pristojnosti in naloge, ki vam jih je naložil zakonodajalec.«. </w:t>
      </w:r>
    </w:p>
    <w:p w14:paraId="6F3FC27F" w14:textId="77777777" w:rsidR="00695AE2" w:rsidRPr="00503014" w:rsidRDefault="00695AE2" w:rsidP="00695AE2">
      <w:pPr>
        <w:spacing w:line="240" w:lineRule="auto"/>
        <w:ind w:right="54"/>
        <w:jc w:val="both"/>
        <w:rPr>
          <w:rFonts w:eastAsia="Calibri"/>
        </w:rPr>
      </w:pPr>
    </w:p>
    <w:p w14:paraId="7C157466" w14:textId="77777777" w:rsidR="00695AE2" w:rsidRPr="00503014" w:rsidRDefault="00695AE2" w:rsidP="00695AE2">
      <w:pPr>
        <w:spacing w:line="240" w:lineRule="auto"/>
        <w:ind w:right="54"/>
        <w:jc w:val="both"/>
        <w:rPr>
          <w:rFonts w:eastAsia="Calibri"/>
        </w:rPr>
      </w:pPr>
      <w:r w:rsidRPr="00503014">
        <w:rPr>
          <w:rFonts w:eastAsia="Calibri"/>
        </w:rPr>
        <w:t>Podpora državnotožilskih kolegov je izjemno pomembna, saj gre nenazadnje za pravosodne funkcionarje, s katerimi smo državni odvetniki najbolj primerljivi, zaradi česar v svojih prizadevanjih tudi stremimo k primerljivi ureditvi našega institucionalnega položaja.</w:t>
      </w:r>
    </w:p>
    <w:p w14:paraId="5E1F6D68" w14:textId="77777777" w:rsidR="00695AE2" w:rsidRPr="00503014" w:rsidRDefault="00695AE2" w:rsidP="00695AE2">
      <w:pPr>
        <w:spacing w:line="240" w:lineRule="auto"/>
        <w:ind w:right="54"/>
        <w:jc w:val="both"/>
        <w:rPr>
          <w:rFonts w:eastAsia="Calibri"/>
        </w:rPr>
      </w:pPr>
    </w:p>
    <w:p w14:paraId="76B50E76" w14:textId="77777777" w:rsidR="00695AE2" w:rsidRPr="00503014" w:rsidRDefault="00695AE2" w:rsidP="00695AE2">
      <w:pPr>
        <w:pStyle w:val="Jasna"/>
      </w:pPr>
      <w:bookmarkStart w:id="250" w:name="_Toc191561803"/>
      <w:r w:rsidRPr="00503014">
        <w:t>Predlagane spremembe ZDOdv so se kot utemeljene izkazale tudi v luči zaključkov projekta z naslovom »Vloga državnega odvetništva v upravnem sporu«</w:t>
      </w:r>
      <w:bookmarkEnd w:id="250"/>
      <w:r w:rsidRPr="00503014">
        <w:t>.</w:t>
      </w:r>
    </w:p>
    <w:p w14:paraId="1AF8C359" w14:textId="77777777" w:rsidR="00695AE2" w:rsidRPr="00503014" w:rsidRDefault="00695AE2" w:rsidP="00695AE2">
      <w:pPr>
        <w:spacing w:line="240" w:lineRule="auto"/>
        <w:ind w:right="54"/>
        <w:jc w:val="both"/>
        <w:rPr>
          <w:rFonts w:eastAsia="Calibri"/>
        </w:rPr>
      </w:pPr>
    </w:p>
    <w:p w14:paraId="546AF82F" w14:textId="77777777" w:rsidR="00695AE2" w:rsidRPr="00503014" w:rsidRDefault="00695AE2" w:rsidP="00695AE2">
      <w:pPr>
        <w:spacing w:line="240" w:lineRule="auto"/>
        <w:ind w:right="54"/>
        <w:jc w:val="both"/>
        <w:rPr>
          <w:rFonts w:eastAsia="Calibri"/>
        </w:rPr>
      </w:pPr>
      <w:r w:rsidRPr="00503014">
        <w:rPr>
          <w:rFonts w:eastAsia="Calibri"/>
        </w:rPr>
        <w:t xml:space="preserve">V študijskem letu 2023/24 se je v okviru študentskih projektov za trajnostni razvoj na Pravni fakulteti Univerze v Ljubljani izvajal </w:t>
      </w:r>
      <w:r w:rsidRPr="00503014">
        <w:rPr>
          <w:rFonts w:eastAsia="Calibri"/>
          <w:color w:val="007466"/>
        </w:rPr>
        <w:t>projekt z naslovom »Vloga državnega odvetništva v upravnem sporu«</w:t>
      </w:r>
      <w:r w:rsidRPr="00503014">
        <w:rPr>
          <w:rFonts w:eastAsia="Calibri"/>
        </w:rPr>
        <w:t xml:space="preserve">, katerega vodja je bila izr. prof. dr. Bruna Žuber. Projekt je potekal v sodelovanju z zunanjima partnerjema, Ekonomsko fakulteto Univerze v Ljubljani in Državnim odvetništvom RS; generalna državna odvetnica dr. Ana Kerševan je bila tudi delovna mentorica študentom. </w:t>
      </w:r>
    </w:p>
    <w:p w14:paraId="26C00E86" w14:textId="77777777" w:rsidR="00695AE2" w:rsidRPr="00503014" w:rsidRDefault="00695AE2" w:rsidP="00695AE2">
      <w:pPr>
        <w:spacing w:line="240" w:lineRule="auto"/>
        <w:ind w:right="54"/>
        <w:jc w:val="both"/>
        <w:rPr>
          <w:rFonts w:eastAsia="Calibri"/>
          <w:b/>
          <w:bCs/>
        </w:rPr>
      </w:pPr>
    </w:p>
    <w:p w14:paraId="30F9F04A" w14:textId="77777777" w:rsidR="00695AE2" w:rsidRPr="00503014" w:rsidRDefault="00695AE2" w:rsidP="00695AE2">
      <w:pPr>
        <w:spacing w:line="240" w:lineRule="auto"/>
        <w:ind w:right="54"/>
        <w:jc w:val="both"/>
        <w:rPr>
          <w:rFonts w:eastAsia="Calibri"/>
        </w:rPr>
      </w:pPr>
      <w:r w:rsidRPr="00503014">
        <w:rPr>
          <w:rFonts w:eastAsia="Calibri"/>
        </w:rPr>
        <w:t>Zaradi pomembnosti in povednosti so ugotovitve študije v nadaljevanju na kratko povzete, in sicer:</w:t>
      </w:r>
    </w:p>
    <w:p w14:paraId="7F8416E7" w14:textId="77777777" w:rsidR="00695AE2" w:rsidRPr="00503014" w:rsidRDefault="00695AE2" w:rsidP="00695AE2">
      <w:pPr>
        <w:spacing w:line="240" w:lineRule="auto"/>
        <w:ind w:right="54"/>
        <w:jc w:val="both"/>
        <w:rPr>
          <w:rFonts w:eastAsia="Calibri"/>
        </w:rPr>
      </w:pPr>
    </w:p>
    <w:p w14:paraId="096F9BD3" w14:textId="77777777" w:rsidR="00695AE2" w:rsidRPr="00503014" w:rsidRDefault="00695AE2" w:rsidP="00695AE2">
      <w:pPr>
        <w:spacing w:line="240" w:lineRule="auto"/>
        <w:ind w:right="54"/>
        <w:jc w:val="both"/>
        <w:rPr>
          <w:rFonts w:eastAsia="Calibri"/>
        </w:rPr>
      </w:pPr>
      <w:r w:rsidRPr="00503014">
        <w:rPr>
          <w:rFonts w:eastAsia="Calibri"/>
        </w:rPr>
        <w:t xml:space="preserve">Zaključki pravnega dela študije potrjujejo, da poleg svoje glavne funkcije zastopanja Državno odvetništvo RS opravlja še številne druge vloge. V prvi vrsti so to postopki, v okviru katerih je Republika Slovenija z zakonom nanj prenesla neposredno izvajanje svojih oblastnih pristojnosti. Avtorji so poudarili, da mora biti izvajanje oblasti že samo po sebi predmet ustavnega varstva. Državno odvetništvo RS, podobno kot državno tožilstvo, v okviru svojih nalog neposredno vpliva na več pravnih kategorij, ki so ustavno varovane, vendar pri tem ne uživa primerljive samostojnosti in neodvisnosti. Samostojnost in neodvisnost Državnega odvetništva RS sta ključna za zagotavljanje pravne države in učinkovitega pravnega sistema. Neodvisnost omogoča tudi, da se pravne odločitve sprejemajo na podlagi strokovnosti in pravne pravilnosti, ne pa na podlagi političnih meril. Država za neodvisno obravnavo pravnih vprašanj potrebuje neodvisen organ. Avtorji dalje zaznavajo, da bi lahko spremembe zakonodajnega okvirja Državnega odvetništva RS bistveno izboljšale njegovo učinkovitost in pravno varnost v upravnih sporih. Zakonodajni okvir lahko namreč pri uresničevanju vloge </w:t>
      </w:r>
      <w:r w:rsidRPr="00503014">
        <w:rPr>
          <w:rFonts w:eastAsia="Calibri"/>
        </w:rPr>
        <w:lastRenderedPageBreak/>
        <w:t>Državnega odvetništva RS postavlja omejitve in njegovo vlogo zmanjšuje, lahko pa ga opolnomoči kot državni organ, katerega funkcija je med drugim tudi zaščita pravic in interesov države, posredno preko tega pa tudi krepitev pravne države.</w:t>
      </w:r>
    </w:p>
    <w:p w14:paraId="19B9A387" w14:textId="77777777" w:rsidR="00695AE2" w:rsidRPr="00503014" w:rsidRDefault="00695AE2" w:rsidP="00695AE2">
      <w:pPr>
        <w:spacing w:line="240" w:lineRule="auto"/>
        <w:ind w:right="54"/>
        <w:jc w:val="both"/>
        <w:rPr>
          <w:rFonts w:eastAsia="Calibri"/>
        </w:rPr>
      </w:pPr>
    </w:p>
    <w:p w14:paraId="01C33C87" w14:textId="77777777" w:rsidR="00695AE2" w:rsidRPr="00503014" w:rsidRDefault="00695AE2" w:rsidP="00695AE2">
      <w:pPr>
        <w:spacing w:line="240" w:lineRule="auto"/>
        <w:ind w:right="54"/>
        <w:jc w:val="both"/>
        <w:rPr>
          <w:rFonts w:eastAsia="Calibri"/>
        </w:rPr>
      </w:pPr>
      <w:r w:rsidRPr="00503014">
        <w:rPr>
          <w:rFonts w:eastAsia="Calibri"/>
        </w:rPr>
        <w:t>V okviru ekonomskih vidikov delovanja Državnega odvetništva RS avtorji ugotavljajo, da delovanje Državnega odvetništva RS prispeva k stabilnemu poslovnemu okolju. To vodi k večjemu zaupanju med strankami, manjšemu številu pravnih konfliktov ter nižjim stroškom, povezanim s sodnimi postopki. Če Državno odvetništvo RS ne bi delovalo, bi to predstavljalo dodatno finančno breme za Republiko Slovenijo, saj bi država te storitve najemala v zasebnem sektorju, v katerem so stroški zastopanja višji. Avtorji izpostavljajo ključno vlogo Državnega odvetništva RS v omrežju pravnih informacij med državnimi organi, njegova centralna vloga ter pomembnost pa iz leta v leto naraščata. Njegova visoka stopnja centralnosti dokazuje izjemno pomembnost Državnega odvetništva RS kot vozlišča, njegove pomembnosti za medsebojno povezljivost ostalih članov omrežja in za pretok informacij v omrežju in je tako ključnega pomena za učinkovito delovanje institucionalnega sistema pravne države.</w:t>
      </w:r>
    </w:p>
    <w:p w14:paraId="39F5A949" w14:textId="77777777" w:rsidR="00695AE2" w:rsidRPr="00503014" w:rsidRDefault="00695AE2" w:rsidP="00695AE2">
      <w:pPr>
        <w:spacing w:line="240" w:lineRule="auto"/>
        <w:ind w:right="54"/>
        <w:jc w:val="both"/>
        <w:rPr>
          <w:rFonts w:eastAsia="Calibri"/>
        </w:rPr>
      </w:pPr>
    </w:p>
    <w:p w14:paraId="206C2FBD" w14:textId="77777777" w:rsidR="00695AE2" w:rsidRPr="00503014" w:rsidRDefault="00695AE2" w:rsidP="00695AE2">
      <w:pPr>
        <w:pStyle w:val="Naslov4"/>
      </w:pPr>
      <w:bookmarkStart w:id="251" w:name="_Toc191561804"/>
      <w:bookmarkStart w:id="252" w:name="_Toc223093795"/>
      <w:r w:rsidRPr="00503014">
        <w:t>Spremembe Zakona o državnem odvetništvu</w:t>
      </w:r>
      <w:bookmarkEnd w:id="251"/>
      <w:bookmarkEnd w:id="252"/>
    </w:p>
    <w:p w14:paraId="71702473" w14:textId="77777777" w:rsidR="00695AE2" w:rsidRPr="00503014" w:rsidRDefault="00695AE2" w:rsidP="00695AE2">
      <w:pPr>
        <w:spacing w:line="240" w:lineRule="auto"/>
        <w:jc w:val="both"/>
        <w:rPr>
          <w:rFonts w:eastAsia="Calibri"/>
        </w:rPr>
      </w:pPr>
      <w:r w:rsidRPr="00503014">
        <w:rPr>
          <w:rFonts w:eastAsia="Calibri"/>
        </w:rPr>
        <w:t xml:space="preserve"> </w:t>
      </w:r>
    </w:p>
    <w:p w14:paraId="763331DB" w14:textId="77777777" w:rsidR="00695AE2" w:rsidRPr="00503014" w:rsidRDefault="00695AE2" w:rsidP="00695AE2">
      <w:pPr>
        <w:pStyle w:val="Naslov5"/>
      </w:pPr>
      <w:bookmarkStart w:id="253" w:name="_Toc223093796"/>
      <w:r w:rsidRPr="00503014">
        <w:t>Razlogi sprememb</w:t>
      </w:r>
      <w:bookmarkEnd w:id="253"/>
    </w:p>
    <w:p w14:paraId="250C95EC" w14:textId="77777777" w:rsidR="00695AE2" w:rsidRPr="00503014" w:rsidRDefault="00695AE2" w:rsidP="00695AE2">
      <w:pPr>
        <w:spacing w:line="240" w:lineRule="auto"/>
        <w:jc w:val="both"/>
        <w:rPr>
          <w:rFonts w:eastAsia="Calibri"/>
        </w:rPr>
      </w:pPr>
    </w:p>
    <w:p w14:paraId="6EE03FD8" w14:textId="77777777" w:rsidR="00695AE2" w:rsidRPr="00503014" w:rsidRDefault="00695AE2" w:rsidP="00695AE2">
      <w:pPr>
        <w:spacing w:line="240" w:lineRule="auto"/>
        <w:jc w:val="both"/>
        <w:rPr>
          <w:rFonts w:eastAsia="Calibri"/>
        </w:rPr>
      </w:pPr>
      <w:r w:rsidRPr="00503014">
        <w:rPr>
          <w:rFonts w:eastAsia="Calibri"/>
        </w:rPr>
        <w:t xml:space="preserve">Pristojnosti, ki so naložene Državnemu odvetništvu RS, ki je organ z več desetletno zgodovino uspešnega zastopanja države, so že od nekdaj funkcionarske narave, zato so bili državni odvetniki (nekoč državni pravobranilci) do uvedbe ZDOdv leta 2017 funkcionarji. ZDOdv pa je povzročil nesistemski položaj in ustvaril paradoks – izvajanje tipičnih funkcionarskih nalog je naložil javnim uslužbencem. </w:t>
      </w:r>
    </w:p>
    <w:p w14:paraId="2BFE3BC1" w14:textId="77777777" w:rsidR="00695AE2" w:rsidRPr="00503014" w:rsidRDefault="00695AE2" w:rsidP="00695AE2">
      <w:pPr>
        <w:spacing w:line="240" w:lineRule="auto"/>
        <w:jc w:val="both"/>
        <w:rPr>
          <w:rFonts w:eastAsia="Calibri"/>
        </w:rPr>
      </w:pPr>
    </w:p>
    <w:p w14:paraId="53471F5F" w14:textId="77777777" w:rsidR="00695AE2" w:rsidRPr="00503014" w:rsidRDefault="00695AE2" w:rsidP="00695AE2">
      <w:pPr>
        <w:spacing w:line="240" w:lineRule="auto"/>
        <w:jc w:val="both"/>
        <w:rPr>
          <w:rFonts w:eastAsia="Calibri"/>
        </w:rPr>
      </w:pPr>
      <w:r w:rsidRPr="00503014">
        <w:rPr>
          <w:rFonts w:eastAsia="Calibri"/>
        </w:rPr>
        <w:t xml:space="preserve">Ta sistemska premestitev v javnouslužbenski sistem v času pred izvedbo reforme ni temeljila na strokovni analizi stanja, ni pojasnila vzrokov za spremembe niti ni prikazala prednosti, ki naj bi jih tako dosegla. Iz predloga ZDOdv je razbrati, da naj bi bila reforma med drugim usmerjena v večjo </w:t>
      </w:r>
      <w:r w:rsidRPr="00503014">
        <w:rPr>
          <w:rFonts w:eastAsia="Calibri"/>
          <w:lang w:eastAsia="sl-SI"/>
        </w:rPr>
        <w:t xml:space="preserve">avtonomnost Državnega odvetništva RS ter v </w:t>
      </w:r>
      <w:r w:rsidRPr="00503014">
        <w:rPr>
          <w:rFonts w:eastAsia="Calibri"/>
        </w:rPr>
        <w:t>strokovno samostojnost državnega odvetnika in njegovo varstvo pravne države v primeru prevlade morebitnih interesnih razlogov</w:t>
      </w:r>
      <w:r w:rsidRPr="00503014">
        <w:rPr>
          <w:rFonts w:eastAsia="Calibri"/>
          <w:lang w:eastAsia="sl-SI"/>
        </w:rPr>
        <w:t>, vendar je mogoče ugotoviti, da sprememba iz funkcionarskega v javnouslužbenski sistem k temu ni prispevala. U</w:t>
      </w:r>
      <w:r w:rsidRPr="00503014">
        <w:rPr>
          <w:rFonts w:eastAsia="Calibri"/>
        </w:rPr>
        <w:t xml:space="preserve">mestitev v sistem javnih uslužbencev državnim odvetnikom in Državnemu odvetništvu RS kot celoti otežuje učinkovito izvajanje najpomembnejših pristojnosti, še posebej v okoliščinah, v katerih je načelo pravne države najbolj ogroženo. Javnouslužbenski sistem državnemu odvetniku ne zagotavlja okolja za strokovno, zakonito in ustavno skladno delovanje, na kar je ob sprejemanju zdaj veljavnega ZDOdv tedanje Državno pravobranilstvo RS, podprto z mnenji pravnih teoretikov in praktikov, opozarjalo in tudi obsežno argumentiralo nujnost ohranitve funkcionarskega položaja. </w:t>
      </w:r>
    </w:p>
    <w:p w14:paraId="6A8B6B8E" w14:textId="77777777" w:rsidR="00695AE2" w:rsidRPr="00503014" w:rsidRDefault="00695AE2" w:rsidP="00695AE2">
      <w:pPr>
        <w:spacing w:line="240" w:lineRule="auto"/>
        <w:jc w:val="both"/>
        <w:rPr>
          <w:rFonts w:eastAsia="Calibri"/>
        </w:rPr>
      </w:pPr>
    </w:p>
    <w:p w14:paraId="01AA23F2" w14:textId="77777777" w:rsidR="00695AE2" w:rsidRPr="00503014" w:rsidRDefault="00695AE2" w:rsidP="00695AE2">
      <w:pPr>
        <w:tabs>
          <w:tab w:val="center" w:pos="2340"/>
        </w:tabs>
        <w:spacing w:line="240" w:lineRule="auto"/>
        <w:jc w:val="both"/>
        <w:rPr>
          <w:rFonts w:eastAsia="Calibri"/>
        </w:rPr>
      </w:pPr>
      <w:r w:rsidRPr="00503014">
        <w:rPr>
          <w:rFonts w:eastAsia="Calibri"/>
        </w:rPr>
        <w:t xml:space="preserve">Ni dvoma, da država potrebuje izvrševanje pristojnosti, ki so naložene Državnemu odvetništvu RS z ZDOdv, dodatno pa še s področnimi zakoni, prek katerih se pristojnosti Državnega odvetništva RS konstantno širijo. Bistveno je, da je izvrševanje teh pristojnosti umeščeno v okvir, ki ne le omogoča, ampak zagotavlja, da se te pristojnosti izvršujejo v celoti in učinkovito. Da je pravno svetovanje in pravno zastopanje države in njenih organov učinkovito, mora biti pravni svetovalec in pravni zastopnik seveda visoko strokovno usposobljen, hkrati pa mu mora biti zagotovljeno, da je pri svojem delovanju samostojen in neodvisen, neobremenjen z </w:t>
      </w:r>
      <w:r w:rsidRPr="00503014">
        <w:rPr>
          <w:rFonts w:eastAsia="Calibri"/>
        </w:rPr>
        <w:lastRenderedPageBreak/>
        <w:t xml:space="preserve">nasprotjem interesov in političnimi pritiski ter sistemsko opolnomočen za prevzem polne odgovornosti za svojo odločitev. </w:t>
      </w:r>
    </w:p>
    <w:p w14:paraId="7731A9F7" w14:textId="77777777" w:rsidR="00695AE2" w:rsidRPr="00503014" w:rsidRDefault="00695AE2" w:rsidP="00695AE2">
      <w:pPr>
        <w:spacing w:line="240" w:lineRule="auto"/>
        <w:jc w:val="both"/>
        <w:rPr>
          <w:rFonts w:eastAsia="Calibri"/>
        </w:rPr>
      </w:pPr>
    </w:p>
    <w:p w14:paraId="47526BA2" w14:textId="77777777" w:rsidR="00695AE2" w:rsidRPr="00503014" w:rsidRDefault="00695AE2" w:rsidP="00695AE2">
      <w:pPr>
        <w:spacing w:line="240" w:lineRule="auto"/>
        <w:jc w:val="both"/>
        <w:rPr>
          <w:rFonts w:eastAsia="Calibri"/>
        </w:rPr>
      </w:pPr>
      <w:r w:rsidRPr="00503014">
        <w:rPr>
          <w:rFonts w:eastAsia="Calibri"/>
        </w:rPr>
        <w:t>In nenazadnje, ureditev ne sme temeljiti na predpostavkah, da do zlorab ne prihaja, da je pri vseh deležnikih vedno prisoten interes, da se pristojnosti izvajajo na najbolj učinkovit način in da vedno obstaja dovolj (mladega) kadra, ki mu je zastopanje države tak privilegij, da se bo odločal za poklic državnega odvetnika ne glede na sistemsko ureditev in vrednotenje tega poklica. Tudi, če se zaradi odgovornega in motiviranega pristopa posameznikov pristojnosti (še vedno) učinkovito izvršujejo, mora ureditev, če je le možno, zagotoviti, da se jih manj učinkovito niti ne more izvrševati, toliko bolj pa mora zagotoviti, da ne prihaja do zlorab in da je z vidika sistemske ureditve organa zagotovljen tudi njegov kadrovski obstoj v prihodnje. V konkretnem primeru to zagotavlja le izvajanje pristojnosti Državnega odvetništva RS prek državnih odvetnikov s trajno funkcijo.</w:t>
      </w:r>
    </w:p>
    <w:p w14:paraId="3FF7F174" w14:textId="77777777" w:rsidR="00695AE2" w:rsidRPr="00503014" w:rsidRDefault="00695AE2" w:rsidP="00695AE2">
      <w:pPr>
        <w:spacing w:line="240" w:lineRule="auto"/>
        <w:jc w:val="both"/>
        <w:rPr>
          <w:rFonts w:eastAsia="Calibri"/>
        </w:rPr>
      </w:pPr>
    </w:p>
    <w:p w14:paraId="25F6D38C" w14:textId="77777777" w:rsidR="00695AE2" w:rsidRPr="00503014" w:rsidRDefault="00695AE2" w:rsidP="00695AE2">
      <w:pPr>
        <w:tabs>
          <w:tab w:val="left" w:pos="1440"/>
        </w:tabs>
        <w:spacing w:line="240" w:lineRule="auto"/>
        <w:jc w:val="both"/>
        <w:rPr>
          <w:rFonts w:eastAsia="Calibri"/>
        </w:rPr>
      </w:pPr>
      <w:r w:rsidRPr="00503014">
        <w:rPr>
          <w:rFonts w:eastAsia="Calibri"/>
        </w:rPr>
        <w:t>ZDOdv iz leta 2017 je zasledoval pravilne cilje in rešitve, kot so krepitev svetovalne funkcije, krepitev avtonomije državnih odvetnikov, vezanost na stroko in varstvo pravne države pred prevlado morebitnih interesnih razlogov, učinkovitejše izvajanje pristojnosti, preprečitev političnega kadrovanja idr., a je za njihovo realizacijo predvidel neustrezna orodja. Pristojnosti Državnega odvetništva RS terjajo, če naj bodo izvršene učinkovito, neodvisno pravno presojo, sposobnost samostojnega odločanja in prevzemanja odgovornosti in zaščito pred nedovoljenimi vplivi in pritiski, kar v največji meri zagotavlja status funkcionarja, status javnega uslužbenca pa ne.</w:t>
      </w:r>
    </w:p>
    <w:p w14:paraId="091E64A0" w14:textId="77777777" w:rsidR="00695AE2" w:rsidRPr="00503014" w:rsidRDefault="00695AE2" w:rsidP="00695AE2">
      <w:pPr>
        <w:tabs>
          <w:tab w:val="left" w:pos="1440"/>
        </w:tabs>
        <w:spacing w:line="240" w:lineRule="auto"/>
        <w:jc w:val="both"/>
        <w:rPr>
          <w:rFonts w:eastAsia="Calibri"/>
        </w:rPr>
      </w:pPr>
    </w:p>
    <w:p w14:paraId="6E06FB87" w14:textId="77777777" w:rsidR="00695AE2" w:rsidRPr="00503014" w:rsidRDefault="00695AE2" w:rsidP="00695AE2">
      <w:pPr>
        <w:tabs>
          <w:tab w:val="left" w:pos="1440"/>
        </w:tabs>
        <w:spacing w:line="240" w:lineRule="auto"/>
        <w:jc w:val="both"/>
        <w:rPr>
          <w:rFonts w:eastAsia="Calibri"/>
        </w:rPr>
      </w:pPr>
      <w:r w:rsidRPr="00503014">
        <w:rPr>
          <w:rFonts w:eastAsia="Calibri"/>
        </w:rPr>
        <w:t>Na podlagi zgoraj predstavljenih utemeljitev, ki imajo široko podporo tudi v zunanji stroki, je jasno, da je sprememba ZDOdv utemeljena, potrebna in tudi nujna.</w:t>
      </w:r>
    </w:p>
    <w:p w14:paraId="1CEC6D18" w14:textId="77777777" w:rsidR="00695AE2" w:rsidRPr="00503014" w:rsidRDefault="00695AE2" w:rsidP="00695AE2">
      <w:pPr>
        <w:tabs>
          <w:tab w:val="left" w:pos="1440"/>
        </w:tabs>
        <w:spacing w:line="240" w:lineRule="auto"/>
        <w:jc w:val="both"/>
        <w:rPr>
          <w:rFonts w:eastAsia="Calibri"/>
        </w:rPr>
      </w:pPr>
    </w:p>
    <w:p w14:paraId="3521FFB8" w14:textId="77777777" w:rsidR="00695AE2" w:rsidRPr="00503014" w:rsidRDefault="00695AE2" w:rsidP="00695AE2">
      <w:pPr>
        <w:pStyle w:val="Naslov5"/>
      </w:pPr>
      <w:bookmarkStart w:id="254" w:name="_Toc191561806"/>
      <w:bookmarkStart w:id="255" w:name="_Toc223093797"/>
      <w:r w:rsidRPr="00503014">
        <w:t>Cilji sprememb</w:t>
      </w:r>
      <w:bookmarkEnd w:id="254"/>
      <w:bookmarkEnd w:id="255"/>
    </w:p>
    <w:p w14:paraId="745C130D" w14:textId="77777777" w:rsidR="00695AE2" w:rsidRPr="00503014" w:rsidRDefault="00695AE2" w:rsidP="00695AE2">
      <w:pPr>
        <w:tabs>
          <w:tab w:val="left" w:pos="1440"/>
        </w:tabs>
        <w:spacing w:line="240" w:lineRule="auto"/>
        <w:jc w:val="both"/>
        <w:rPr>
          <w:rFonts w:eastAsia="Calibri"/>
        </w:rPr>
      </w:pPr>
    </w:p>
    <w:p w14:paraId="0B53D86E" w14:textId="77777777" w:rsidR="00695AE2" w:rsidRPr="00503014" w:rsidRDefault="00695AE2" w:rsidP="00695AE2">
      <w:pPr>
        <w:spacing w:line="240" w:lineRule="auto"/>
        <w:jc w:val="both"/>
        <w:rPr>
          <w:rFonts w:eastAsia="Calibri"/>
        </w:rPr>
      </w:pPr>
      <w:r w:rsidRPr="00503014">
        <w:rPr>
          <w:rFonts w:eastAsia="Calibri"/>
        </w:rPr>
        <w:t xml:space="preserve">Spremembe ZDOdv bi lahko zagotovile, da v prihodnje država s svojimi postopki pred sodišči ne bo nedopustno posegala v človekove pravice, da bodo posli in razmerja države pred realizacijo predmet neodvisne pravne obravnave, da bo zagotovljena večja zaščita javnih financ in da se bo prek zagotovitve nadaljnjega in predvsem še bolj učinkovitega izvajanja obstoječih pristojnosti prek zastopanja v posameznih postopkih in prek svetovalnih mnenj s še okrepljeno preventivno vlogo Državnega odvetništva RS kot sistemskega pravnega svetovalca države in državnih organov država uspešneje soočala z aktualnimi družbenimi izzivi in potrebami na področjih, ki se odražajo v konkretnih primerih, v katerih je Državno odvetništvo </w:t>
      </w:r>
      <w:r>
        <w:rPr>
          <w:rFonts w:eastAsia="Calibri"/>
        </w:rPr>
        <w:t xml:space="preserve">RS </w:t>
      </w:r>
      <w:r w:rsidRPr="00503014">
        <w:rPr>
          <w:rFonts w:eastAsia="Calibri"/>
        </w:rPr>
        <w:t xml:space="preserve">zastopalo državo ali ji pravno svetovalo, in se nanašajo: </w:t>
      </w:r>
    </w:p>
    <w:p w14:paraId="2AA2AD6F" w14:textId="77777777" w:rsidR="00695AE2" w:rsidRPr="00503014" w:rsidRDefault="00695AE2" w:rsidP="00695AE2">
      <w:pPr>
        <w:numPr>
          <w:ilvl w:val="0"/>
          <w:numId w:val="40"/>
        </w:numPr>
        <w:spacing w:line="240" w:lineRule="auto"/>
        <w:jc w:val="both"/>
        <w:rPr>
          <w:rFonts w:eastAsia="Calibri"/>
        </w:rPr>
      </w:pPr>
      <w:r w:rsidRPr="00503014">
        <w:rPr>
          <w:rFonts w:eastAsia="Calibri"/>
        </w:rPr>
        <w:t xml:space="preserve">na skrb za socialno šibke in ranljive skupine (pomoč državnim organom, na primer CSD, pri zastopanju v občutljivih zadevah družinskih sporov zaradi varstva koristi otrok, pri izdajanju odločb o socialnih transferjih, da ne bodo po nepotrebnem predmet sodne presoje ipd.), </w:t>
      </w:r>
    </w:p>
    <w:p w14:paraId="3DE43B04" w14:textId="77777777" w:rsidR="00695AE2" w:rsidRPr="00503014" w:rsidRDefault="00695AE2" w:rsidP="00695AE2">
      <w:pPr>
        <w:numPr>
          <w:ilvl w:val="0"/>
          <w:numId w:val="40"/>
        </w:numPr>
        <w:spacing w:line="240" w:lineRule="auto"/>
        <w:contextualSpacing/>
        <w:jc w:val="both"/>
        <w:rPr>
          <w:rFonts w:eastAsia="Times New Roman"/>
        </w:rPr>
      </w:pPr>
      <w:r w:rsidRPr="00503014">
        <w:rPr>
          <w:rFonts w:eastAsia="Calibri"/>
        </w:rPr>
        <w:t xml:space="preserve">na varovanje proračunskih sredstev (zastopanje in svetovanje v zadevi 'Dolenc', svetovanje v t. i. zadevi Litijska, </w:t>
      </w:r>
      <w:r w:rsidRPr="00503014">
        <w:rPr>
          <w:rFonts w:eastAsia="Times New Roman"/>
        </w:rPr>
        <w:t>mnenje za Evropsko investicijsko banko glede poroštvene pogodbe</w:t>
      </w:r>
      <w:r w:rsidRPr="00503014">
        <w:rPr>
          <w:rFonts w:eastAsia="Calibri"/>
        </w:rPr>
        <w:t>, ukrepi za zmanjševanje tveganj za množične spore s potencialno veliko proračunsko obremenitvijo – tožbe vojakov iz naslova stalne pripravljenosti, opozarjanje na</w:t>
      </w:r>
      <w:r w:rsidRPr="00503014">
        <w:rPr>
          <w:rFonts w:eastAsia="Times New Roman"/>
        </w:rPr>
        <w:t xml:space="preserve"> sporn</w:t>
      </w:r>
      <w:r w:rsidRPr="00503014">
        <w:rPr>
          <w:rFonts w:eastAsia="Calibri"/>
        </w:rPr>
        <w:t>ost</w:t>
      </w:r>
      <w:r w:rsidRPr="00503014">
        <w:rPr>
          <w:rFonts w:eastAsia="Times New Roman"/>
        </w:rPr>
        <w:t xml:space="preserve"> brezplačnega prenosa državnega premoženja na člane agrarnih skupnosti idr.).</w:t>
      </w:r>
    </w:p>
    <w:p w14:paraId="77B8CB10" w14:textId="77777777" w:rsidR="00695AE2" w:rsidRPr="00503014" w:rsidRDefault="00695AE2" w:rsidP="00695AE2">
      <w:pPr>
        <w:numPr>
          <w:ilvl w:val="0"/>
          <w:numId w:val="40"/>
        </w:numPr>
        <w:spacing w:line="240" w:lineRule="auto"/>
        <w:jc w:val="both"/>
        <w:rPr>
          <w:rFonts w:eastAsia="Calibri"/>
        </w:rPr>
      </w:pPr>
      <w:r w:rsidRPr="00503014">
        <w:rPr>
          <w:rFonts w:eastAsia="Calibri"/>
        </w:rPr>
        <w:lastRenderedPageBreak/>
        <w:t>na razbremenjevanje sodišč in učinkovitejše delovanje pravosodja (večji obseg izvensodnega in pred sodnega reševanja sporov),</w:t>
      </w:r>
    </w:p>
    <w:p w14:paraId="07531103" w14:textId="77777777" w:rsidR="00695AE2" w:rsidRPr="00503014" w:rsidRDefault="00695AE2" w:rsidP="00695AE2">
      <w:pPr>
        <w:numPr>
          <w:ilvl w:val="0"/>
          <w:numId w:val="40"/>
        </w:numPr>
        <w:spacing w:line="240" w:lineRule="auto"/>
        <w:jc w:val="both"/>
        <w:rPr>
          <w:rFonts w:eastAsia="Calibri"/>
        </w:rPr>
      </w:pPr>
      <w:r w:rsidRPr="00503014">
        <w:rPr>
          <w:rFonts w:eastAsia="Calibri"/>
        </w:rPr>
        <w:t>na obvladovanje posledic epidemij (na primer odškodninski postopki zaradi cepljenja ali zaradi ukrepov v osnovnih šolah za zajezitev epidemije COVID-19 ipd.),</w:t>
      </w:r>
    </w:p>
    <w:p w14:paraId="18C05EA8" w14:textId="77777777" w:rsidR="00695AE2" w:rsidRPr="00503014" w:rsidRDefault="00695AE2" w:rsidP="00695AE2">
      <w:pPr>
        <w:numPr>
          <w:ilvl w:val="0"/>
          <w:numId w:val="40"/>
        </w:numPr>
        <w:spacing w:line="240" w:lineRule="auto"/>
        <w:jc w:val="both"/>
        <w:rPr>
          <w:rFonts w:eastAsia="Calibri"/>
        </w:rPr>
      </w:pPr>
      <w:r w:rsidRPr="00503014">
        <w:rPr>
          <w:rFonts w:eastAsia="Calibri"/>
        </w:rPr>
        <w:t xml:space="preserve">na obvladovanje posledic vojnih žarišč na spremembe pri delovanju trgov (reševanje sporov s področja regulacije cen, odpovedi javnih naročil, ipd.),  </w:t>
      </w:r>
    </w:p>
    <w:p w14:paraId="26FC2036" w14:textId="77777777" w:rsidR="00695AE2" w:rsidRPr="00503014" w:rsidRDefault="00695AE2" w:rsidP="00695AE2">
      <w:pPr>
        <w:numPr>
          <w:ilvl w:val="0"/>
          <w:numId w:val="40"/>
        </w:numPr>
        <w:spacing w:line="240" w:lineRule="auto"/>
        <w:jc w:val="both"/>
        <w:rPr>
          <w:rFonts w:eastAsia="Calibri"/>
        </w:rPr>
      </w:pPr>
      <w:r w:rsidRPr="00503014">
        <w:rPr>
          <w:rFonts w:eastAsia="Calibri"/>
        </w:rPr>
        <w:t xml:space="preserve">na varstvo okolja (na primer mednarodna investicijska arbitraža, ki se nanaša na prepoved frackinga, upravni spori povezani z gradnjo hidroelektrarn, regulacija cen v energetiki idr.), </w:t>
      </w:r>
    </w:p>
    <w:p w14:paraId="316C6E8A" w14:textId="77777777" w:rsidR="00695AE2" w:rsidRPr="00503014" w:rsidRDefault="00695AE2" w:rsidP="00695AE2">
      <w:pPr>
        <w:numPr>
          <w:ilvl w:val="0"/>
          <w:numId w:val="40"/>
        </w:numPr>
        <w:spacing w:line="240" w:lineRule="auto"/>
        <w:jc w:val="both"/>
        <w:rPr>
          <w:rFonts w:eastAsia="Calibri"/>
        </w:rPr>
      </w:pPr>
      <w:r w:rsidRPr="00503014">
        <w:rPr>
          <w:rFonts w:eastAsia="Calibri"/>
        </w:rPr>
        <w:t xml:space="preserve">na povečane migracijske izzive (na primer zastopanje države v upravnih sporih, ki se nanašajo na obravnavo prosilcev za azil), </w:t>
      </w:r>
    </w:p>
    <w:p w14:paraId="27D98372" w14:textId="77777777" w:rsidR="00695AE2" w:rsidRPr="00503014" w:rsidRDefault="00695AE2" w:rsidP="00695AE2">
      <w:pPr>
        <w:numPr>
          <w:ilvl w:val="0"/>
          <w:numId w:val="40"/>
        </w:numPr>
        <w:spacing w:line="240" w:lineRule="auto"/>
        <w:jc w:val="both"/>
        <w:rPr>
          <w:rFonts w:eastAsia="Calibri"/>
        </w:rPr>
      </w:pPr>
      <w:r w:rsidRPr="00503014">
        <w:rPr>
          <w:rFonts w:eastAsia="Calibri"/>
        </w:rPr>
        <w:t>na zaščito neodvisnosti medijev (zagotovitev upoštevanja zakonskih obveznosti države na področju financiranja javnih storitev medijev).</w:t>
      </w:r>
    </w:p>
    <w:p w14:paraId="5E9461B0" w14:textId="77777777" w:rsidR="00695AE2" w:rsidRPr="00503014" w:rsidRDefault="00695AE2" w:rsidP="00695AE2">
      <w:pPr>
        <w:spacing w:line="240" w:lineRule="auto"/>
        <w:jc w:val="both"/>
        <w:rPr>
          <w:rFonts w:eastAsia="Times New Roman"/>
        </w:rPr>
      </w:pPr>
    </w:p>
    <w:p w14:paraId="7D747C65" w14:textId="77777777" w:rsidR="00695AE2" w:rsidRPr="00503014" w:rsidRDefault="00695AE2" w:rsidP="00695AE2">
      <w:pPr>
        <w:spacing w:line="240" w:lineRule="auto"/>
        <w:jc w:val="both"/>
        <w:rPr>
          <w:rFonts w:eastAsia="Calibri"/>
        </w:rPr>
      </w:pPr>
      <w:r w:rsidRPr="00503014">
        <w:rPr>
          <w:rFonts w:eastAsia="Calibri"/>
        </w:rPr>
        <w:t>Po mnenju Državnega odvetništva RS bi spremembe ZDOdv lahko učinkovito odpravile anomalije ZDOdv, obenem pa vzpostavile podlago, ki bi Državnemu odvetništvu RS omogočila, da bo predstavljalo kvaliteten, učinkovit in celovit pravni servis vseh državnih organov. Za uresničitev vseh teh ciljev je treba (poleg ostalih zakonodajnih sprememb) državne odvetnike na sistemski ravni, prek ponovne vzpostavitve državno odvetniške funkcije, opolnomočiti za prevzemanje večje odgovornosti in samostojnosti ter s tem učinkovitejše izvajanje pristojnosti, hkrati pa jih zaščititi pred nedovoljenimi pritiski in korupcijskimi tveganji. Državno odvetništvo RS je treba ponovno ustrezno umestiti primerljivo z ostalimi pravosodnimi organi</w:t>
      </w:r>
      <w:r w:rsidRPr="00503014">
        <w:rPr>
          <w:rFonts w:eastAsia="Times New Roman"/>
        </w:rPr>
        <w:t xml:space="preserve"> in položaj državnih odvetnikov ponovno urediti primerljivo ostalim pravosodnim funkcionarjem</w:t>
      </w:r>
      <w:r w:rsidRPr="00503014">
        <w:rPr>
          <w:rFonts w:eastAsia="Calibri"/>
        </w:rPr>
        <w:t xml:space="preserve">, kar bo preprečilo obstoječe neustavno stanje in zagotovilo kontinuiteto delovanja tega organa ter ohranilo konkurenčno okolje znotraj pravosodja. </w:t>
      </w:r>
    </w:p>
    <w:p w14:paraId="78D51843" w14:textId="77777777" w:rsidR="00695AE2" w:rsidRPr="00503014" w:rsidRDefault="00695AE2" w:rsidP="00695AE2">
      <w:pPr>
        <w:pStyle w:val="Jasna"/>
      </w:pPr>
    </w:p>
    <w:p w14:paraId="2210BFFF" w14:textId="77777777" w:rsidR="00695AE2" w:rsidRPr="00503014" w:rsidRDefault="00695AE2" w:rsidP="00695AE2">
      <w:pPr>
        <w:pStyle w:val="Naslov4"/>
        <w:ind w:left="0" w:firstLine="0"/>
        <w:rPr>
          <w:rFonts w:eastAsia="Calibri"/>
        </w:rPr>
      </w:pPr>
      <w:bookmarkStart w:id="256" w:name="_Toc223093798"/>
      <w:r w:rsidRPr="00503014">
        <w:rPr>
          <w:rFonts w:eastAsia="Calibri"/>
        </w:rPr>
        <w:t>Pregled aktivnosti Državnega odvetništva RS v okviru prizadevanj za spremembo Zakona o državnem odvetništvu</w:t>
      </w:r>
      <w:bookmarkEnd w:id="256"/>
      <w:r w:rsidRPr="00503014">
        <w:rPr>
          <w:rFonts w:eastAsia="Calibri"/>
        </w:rPr>
        <w:t xml:space="preserve"> </w:t>
      </w:r>
    </w:p>
    <w:p w14:paraId="77A264A3" w14:textId="77777777" w:rsidR="00695AE2" w:rsidRPr="00503014" w:rsidRDefault="00695AE2" w:rsidP="00695AE2">
      <w:pPr>
        <w:spacing w:line="240" w:lineRule="auto"/>
        <w:ind w:right="54"/>
        <w:jc w:val="both"/>
        <w:rPr>
          <w:rFonts w:eastAsia="Calibri"/>
        </w:rPr>
      </w:pPr>
    </w:p>
    <w:p w14:paraId="2BFBBA9A" w14:textId="77777777" w:rsidR="00695AE2" w:rsidRPr="00503014" w:rsidRDefault="00695AE2" w:rsidP="00695AE2">
      <w:pPr>
        <w:spacing w:line="240" w:lineRule="auto"/>
        <w:jc w:val="both"/>
        <w:rPr>
          <w:bCs/>
          <w:color w:val="000000" w:themeColor="text1"/>
        </w:rPr>
      </w:pPr>
      <w:r w:rsidRPr="00503014">
        <w:rPr>
          <w:bCs/>
          <w:color w:val="000000" w:themeColor="text1"/>
        </w:rPr>
        <w:t>Državno odvetništvo RS je vse aktivnosti v zvezi s spremembo zakona, katere ključni poudarek je bila preprečitev anomalij, ki jih je prinesla praksa izvajanja ZDOdv, kot sredstvo za doseganje tega cilja in povečanje učinkovitosti izvajanja pristojnosti Državnega odvetništva RS pa je vključevala tudi spremembo statusa</w:t>
      </w:r>
      <w:r>
        <w:rPr>
          <w:bCs/>
          <w:color w:val="000000" w:themeColor="text1"/>
        </w:rPr>
        <w:t>,</w:t>
      </w:r>
      <w:r w:rsidRPr="00503014">
        <w:rPr>
          <w:bCs/>
          <w:color w:val="000000" w:themeColor="text1"/>
        </w:rPr>
        <w:t xml:space="preserve"> od leta 2023 dalje izvajalo usklajeno z Ministrstvom za pravosodje.</w:t>
      </w:r>
    </w:p>
    <w:p w14:paraId="7332634F" w14:textId="77777777" w:rsidR="00695AE2" w:rsidRPr="00503014" w:rsidRDefault="00695AE2" w:rsidP="00695AE2">
      <w:pPr>
        <w:spacing w:line="240" w:lineRule="auto"/>
        <w:ind w:right="54"/>
        <w:jc w:val="both"/>
        <w:rPr>
          <w:rFonts w:eastAsia="Calibri"/>
        </w:rPr>
      </w:pPr>
    </w:p>
    <w:p w14:paraId="6F18C4D5" w14:textId="77777777" w:rsidR="00695AE2" w:rsidRPr="00503014" w:rsidRDefault="00695AE2" w:rsidP="00695AE2">
      <w:pPr>
        <w:spacing w:line="240" w:lineRule="auto"/>
        <w:jc w:val="both"/>
        <w:rPr>
          <w:rFonts w:eastAsia="Times New Roman"/>
          <w:bCs/>
        </w:rPr>
      </w:pPr>
      <w:r w:rsidRPr="00503014">
        <w:rPr>
          <w:bCs/>
          <w:color w:val="000000" w:themeColor="text1"/>
        </w:rPr>
        <w:t xml:space="preserve">Zaradi pomembnosti zunanje strokovne podpore so bile izvedene številne aktivnosti Državnega odvetništva RS (nekatere med njimi so že bile podrobneje predstavljene v tč. </w:t>
      </w:r>
      <w:r w:rsidRPr="00503014">
        <w:rPr>
          <w:rFonts w:eastAsia="Times New Roman"/>
          <w:bCs/>
        </w:rPr>
        <w:t xml:space="preserve">4.3.3.3 tega poročila).  </w:t>
      </w:r>
    </w:p>
    <w:p w14:paraId="24441864" w14:textId="77777777" w:rsidR="00695AE2" w:rsidRPr="00503014" w:rsidRDefault="00695AE2" w:rsidP="00695AE2">
      <w:pPr>
        <w:spacing w:line="240" w:lineRule="auto"/>
        <w:jc w:val="both"/>
        <w:rPr>
          <w:rFonts w:eastAsia="Times New Roman"/>
          <w:bCs/>
        </w:rPr>
      </w:pPr>
    </w:p>
    <w:p w14:paraId="6368754A" w14:textId="77777777" w:rsidR="00695AE2" w:rsidRPr="00503014" w:rsidRDefault="00695AE2" w:rsidP="00695AE2">
      <w:pPr>
        <w:spacing w:line="240" w:lineRule="auto"/>
        <w:jc w:val="both"/>
        <w:rPr>
          <w:bCs/>
          <w:color w:val="000000" w:themeColor="text1"/>
        </w:rPr>
      </w:pPr>
      <w:r w:rsidRPr="00503014">
        <w:rPr>
          <w:bCs/>
          <w:color w:val="000000" w:themeColor="text1"/>
        </w:rPr>
        <w:t>Tako je bil marca 2023 izveden strokovni posvet v Državnem svetu, ki je bil glede na udeležbo in vsebino povedanega izjemno odmeven. Tema spremembe statusa je bila tudi predmet medijskih objav, Dnevov državnega odvetništva na Bledu maja 2023, v ta namen je bil izdelan prispevek in članek Državnega odvetništva RS na Posvetu o spreminjanju ustave, Državno odvetništvo RS je skupaj s Pravno fakulteto Univerze v Ljubljani in Ekonomsko fakulteto Univerze v Ljubljani izvedlo raziskovalni projekt o učinkovitosti Državnega odvetništva RS na ravni zastopanja v upravnih sporih, ki se je nanašal tudi na vprašanja samostojnosti pri delu državnih odvetnikov, ipd.</w:t>
      </w:r>
    </w:p>
    <w:p w14:paraId="79A597EF" w14:textId="77777777" w:rsidR="00695AE2" w:rsidRPr="00503014" w:rsidRDefault="00695AE2" w:rsidP="00695AE2">
      <w:pPr>
        <w:spacing w:line="240" w:lineRule="auto"/>
        <w:jc w:val="both"/>
        <w:rPr>
          <w:bCs/>
          <w:color w:val="000000" w:themeColor="text1"/>
        </w:rPr>
      </w:pPr>
      <w:r w:rsidRPr="00503014">
        <w:rPr>
          <w:bCs/>
          <w:color w:val="000000" w:themeColor="text1"/>
        </w:rPr>
        <w:lastRenderedPageBreak/>
        <w:t xml:space="preserve">Skoraj soglasna stališča stroke na posvetu v Državnem svetu, tudi glede vključitve Državnega odvetništva RS v ustavo in spremembe imena nazaj v Državno pravobranilstvo, so bila podlaga za angažma Ministrstva za pravosodje in Državnega odvetništva RS za pripravo predloga ustavne spremembe za umestitev Državnega odvetništva RS v ustavo (podrobneje že tudi v tč. 1.3.2 tega poročila). Predlog ustavnega zakona je Ministrstvo za pravosodje dokončno oblikovalo maja 2023. Ker pa za tem aktualno politično dogajanje ni več nakazovalo možnosti pridobitve ustavne večine, predlog ni bil poslan na Vlado RS. </w:t>
      </w:r>
    </w:p>
    <w:p w14:paraId="60C2971F" w14:textId="77777777" w:rsidR="00695AE2" w:rsidRDefault="00695AE2" w:rsidP="00695AE2">
      <w:pPr>
        <w:spacing w:line="240" w:lineRule="atLeast"/>
        <w:jc w:val="both"/>
        <w:rPr>
          <w:bCs/>
          <w:color w:val="000000" w:themeColor="text1"/>
        </w:rPr>
      </w:pPr>
    </w:p>
    <w:p w14:paraId="242C5E4C" w14:textId="77777777" w:rsidR="00695AE2" w:rsidRPr="00503014" w:rsidRDefault="00695AE2" w:rsidP="00695AE2">
      <w:pPr>
        <w:spacing w:line="240" w:lineRule="atLeast"/>
        <w:jc w:val="both"/>
        <w:rPr>
          <w:rFonts w:cs="Arial"/>
          <w:bCs/>
          <w:szCs w:val="20"/>
        </w:rPr>
      </w:pPr>
      <w:r w:rsidRPr="00503014">
        <w:rPr>
          <w:bCs/>
          <w:color w:val="000000" w:themeColor="text1"/>
        </w:rPr>
        <w:t xml:space="preserve">Aktivnosti so se zato spet usmerile v spremembo zakona. Po več izmenjanih predlogih zakonskih sprememb je Ministrstvo za pravosodje junija 2024 </w:t>
      </w:r>
      <w:r w:rsidRPr="00503014">
        <w:rPr>
          <w:rFonts w:cs="Arial"/>
          <w:bCs/>
          <w:szCs w:val="20"/>
        </w:rPr>
        <w:t xml:space="preserve">ustanovilo Operativno delovno skupino za namen proučitve in priprave zakonodajnega gradiva za učinkovitejše izvajanje nalog državnega odvetništva (v nadaljevanju: delovna skupina). </w:t>
      </w:r>
      <w:r w:rsidRPr="00503014">
        <w:rPr>
          <w:rFonts w:cs="Arial"/>
          <w:szCs w:val="20"/>
        </w:rPr>
        <w:t xml:space="preserve">Delovno skupino sestavljajo predstavniki Ministrstva </w:t>
      </w:r>
      <w:r w:rsidRPr="00503014">
        <w:rPr>
          <w:rFonts w:cs="Arial"/>
          <w:bCs/>
          <w:szCs w:val="20"/>
        </w:rPr>
        <w:t xml:space="preserve">za pravosodje, Ministrstva za javno upravo, Ministrstva za finance in Državnega odvetništva. Od ustanovitve dalje je delovna skupina izvedla več rednih sestankov. </w:t>
      </w:r>
    </w:p>
    <w:p w14:paraId="552A61E0" w14:textId="77777777" w:rsidR="00695AE2" w:rsidRDefault="00695AE2" w:rsidP="00695AE2">
      <w:pPr>
        <w:spacing w:line="240" w:lineRule="auto"/>
        <w:jc w:val="both"/>
        <w:rPr>
          <w:rFonts w:eastAsia="Calibri"/>
        </w:rPr>
      </w:pPr>
      <w:r w:rsidRPr="00503014">
        <w:rPr>
          <w:rFonts w:cs="Arial"/>
          <w:bCs/>
          <w:szCs w:val="20"/>
        </w:rPr>
        <w:t xml:space="preserve">V začetku oktobra 2024 je delovna skupina pripravila obsežna izhodišča za pripravo Zakona o spremembah in dopolnitvah Zakona o državnem odvetništvu (v nadaljevanju: predlog novele ZDOdv-A) z opredeljenimi bistvenimi vzroki za potrebne spremembe, cilji in ključnimi vsebinami. </w:t>
      </w:r>
      <w:r w:rsidRPr="00503014">
        <w:rPr>
          <w:rFonts w:eastAsia="Calibri"/>
        </w:rPr>
        <w:t xml:space="preserve">V zvezi s tem je Državno odvetništvo RS pripravilo številne strokovne podlage, ki utemeljujejo predlagane spremembe, med drugim t. i. SWOT analizo izvajanja pristojnosti Državnega odvetništva RS v statusnih oblikah funkcionarja ali javnega uslužbenca, analizo vrednotenja dela državnih odvetnikov z vidika kriterijev novega ZSTSPJS in posledično primerljivost državnih odvetnikov z državnimi tožilci tudi v smislu vrednotenja dela. Državno odvetništvo RS je poleg tega z namenom ocene javnofinančnih učinkov (ne)sprejema novele ZDOdv pripravilo tudi oceno učinkovitosti delovanja Državnega odvetništva RS, ki prikazuje ogromen prihranek države iz naslova stroškov zastopanja v primerjavi s ceno primerljivih storitev na trgu (za leto 2023 cca 21 milijonov </w:t>
      </w:r>
      <w:r>
        <w:rPr>
          <w:rFonts w:eastAsia="Calibri"/>
        </w:rPr>
        <w:t>evrov</w:t>
      </w:r>
      <w:r w:rsidRPr="00503014">
        <w:rPr>
          <w:rFonts w:eastAsia="Calibri"/>
        </w:rPr>
        <w:t>). Izhodišča z vsemi prilogami, katerih končno verzijo je izdelalo Ministrstvo za pravosodje, je Ministrstvo za pravosodje posredovalo koaliciji, ki zadržkov praktično ni izrazila.</w:t>
      </w:r>
      <w:r>
        <w:rPr>
          <w:rFonts w:eastAsia="Calibri"/>
        </w:rPr>
        <w:t xml:space="preserve"> </w:t>
      </w:r>
    </w:p>
    <w:p w14:paraId="55F9A72A" w14:textId="77777777" w:rsidR="00695AE2" w:rsidRDefault="00695AE2" w:rsidP="00695AE2">
      <w:pPr>
        <w:spacing w:line="240" w:lineRule="auto"/>
        <w:jc w:val="both"/>
        <w:rPr>
          <w:rFonts w:eastAsia="Calibri"/>
        </w:rPr>
      </w:pPr>
    </w:p>
    <w:p w14:paraId="658ED976" w14:textId="77777777" w:rsidR="00695AE2" w:rsidRPr="00503014" w:rsidRDefault="00695AE2" w:rsidP="00695AE2">
      <w:pPr>
        <w:spacing w:line="240" w:lineRule="auto"/>
        <w:jc w:val="both"/>
      </w:pPr>
      <w:r w:rsidRPr="00503014">
        <w:rPr>
          <w:rFonts w:cs="Arial"/>
          <w:szCs w:val="20"/>
        </w:rPr>
        <w:t>Na podlagi navedenih izhodišč, ki so predstavljala podlago oziroma usmeritev za delo delovne skupine, je d</w:t>
      </w:r>
      <w:r w:rsidRPr="00503014">
        <w:rPr>
          <w:bCs/>
          <w:color w:val="000000" w:themeColor="text1"/>
        </w:rPr>
        <w:t xml:space="preserve">elovna skupina pričela s finalizacijo zakonskega besedila po posameznih vsebinskih sklopih, obravnavane vsebine pa so, poleg spremembe statusa, med drugim zajemale </w:t>
      </w:r>
      <w:r w:rsidRPr="00503014">
        <w:t>uvrstitev Državnega odvetništva RS med pravosodne organe; krepitev svetovalne funkcije Državnega odvetništva z izdajo priporočil; okrepitev ustavno pravne vloge Državnega odvetništva RS s podelitvijo pristojnosti glede vlaganja zahteve za začetek postopka za oceno ustavnosti in zakonitosti predpisov in splošnih aktov izdanih za izvrševanje javnih pooblastil (</w:t>
      </w:r>
      <w:r w:rsidRPr="00503014">
        <w:rPr>
          <w:rFonts w:eastAsia="Calibri"/>
        </w:rPr>
        <w:t>Državno odvetništvo RS bi kot vlagatelj zahteve lahko pripomoglo k učinkovitemu, hitremu in kakovostnemu izvrševanju pristojnosti ustavnega sodišča ter tako prispevalo k boljšemu delovanju demokratičnega sistema, k večji pravni varnosti in enakosti)</w:t>
      </w:r>
      <w:r w:rsidRPr="00503014">
        <w:rPr>
          <w:vertAlign w:val="superscript"/>
        </w:rPr>
        <w:footnoteReference w:id="11"/>
      </w:r>
      <w:r w:rsidRPr="00503014">
        <w:t xml:space="preserve">; okrepitev vloge </w:t>
      </w:r>
      <w:r w:rsidRPr="00503014">
        <w:lastRenderedPageBreak/>
        <w:t>Državnega odvetništva RS na področju javnih financ s podajanjem mnenja o pravni skladnosti zaradi prevzemanja finančnih obveznosti (določba usklajena tudi z Ministrstvom za finance); operacionalizacijo zastopanja funkcionarjev v državnih organih, zoper katere se vodijo odškodninski postopki zaradi opravljanja javne funkcije (določba usklajena tudi z Ministrstvom za javno upravo); za opravljanje enostavnejših pravnih nalog se je predvidelo novo delovno mesto državno odvetniškega pomočnika; zaradi povečanja učinkovitosti, izmenjave izkušenj in dobrih praks se je predvidelo sodelovanje s primerljivimi organi v drugih državah in sodelovanje v združenju takšnih organov; okrepila bi se samostojnost Državnega odvetništva RS (spremenjen 16. člen ZDOdv) in dodala ureditev za primer očitno neutemeljenega izvrševanja procesnih pravic (predlagan nov 16. a člen); podelila bi se pristojnost svetovanja na področju osnutkov zakonskih besedil in drugih predpisov; predvidela bi se možnost zahtevanja odzivnega poročila glede pravnega svetovanja, pravnih mnenj  in priporočil; idr.</w:t>
      </w:r>
    </w:p>
    <w:p w14:paraId="34397097" w14:textId="77777777" w:rsidR="00695AE2" w:rsidRPr="00503014" w:rsidRDefault="00695AE2" w:rsidP="00695AE2">
      <w:pPr>
        <w:spacing w:line="240" w:lineRule="atLeast"/>
        <w:jc w:val="both"/>
        <w:rPr>
          <w:bCs/>
          <w:color w:val="000000" w:themeColor="text1"/>
        </w:rPr>
      </w:pPr>
    </w:p>
    <w:p w14:paraId="1AA119D7" w14:textId="77777777" w:rsidR="00695AE2" w:rsidRPr="00503014" w:rsidRDefault="00695AE2" w:rsidP="00695AE2">
      <w:pPr>
        <w:spacing w:line="240" w:lineRule="atLeast"/>
        <w:jc w:val="both"/>
        <w:rPr>
          <w:bCs/>
          <w:color w:val="000000" w:themeColor="text1"/>
        </w:rPr>
      </w:pPr>
      <w:r w:rsidRPr="00503014">
        <w:rPr>
          <w:rFonts w:cs="Arial"/>
          <w:szCs w:val="20"/>
        </w:rPr>
        <w:t xml:space="preserve">Do konca leta 2025 je delovna skupina predlagano besedilo sprememb zakona v pretežnem delu že uskladila, v nekaterih delih je besedilo še neusklajeno, nekatere določbe pa na delovni skupini še niso bile obravnavane. </w:t>
      </w:r>
      <w:r w:rsidRPr="00503014">
        <w:rPr>
          <w:bCs/>
          <w:color w:val="000000" w:themeColor="text1"/>
        </w:rPr>
        <w:t>Dinamika aktivnosti delovne skupine za pripravo novele ZDOdv se je prilagajala obveznostim Ministrstva za pravosodje pri pripravi za ministrstvo prioritetnega sodniškega trojčka, zaradi česar je delo v letu 2025 napredovalo zelo počasi. Sveženj sodniške zakonodaje je bil sprejet kasneje, kot je bilo načrtovano, in sicer šele decembra 2025, zaradi pomanjkanja časa pa je sprejem sprememb ZDOdv, kot jih predvidevajo izhodišča, zastal.</w:t>
      </w:r>
    </w:p>
    <w:p w14:paraId="3168FD6F" w14:textId="77777777" w:rsidR="00695AE2" w:rsidRPr="00503014" w:rsidRDefault="00695AE2" w:rsidP="00695AE2">
      <w:pPr>
        <w:spacing w:line="240" w:lineRule="atLeast"/>
        <w:jc w:val="both"/>
        <w:rPr>
          <w:bCs/>
          <w:color w:val="000000" w:themeColor="text1"/>
        </w:rPr>
      </w:pPr>
    </w:p>
    <w:p w14:paraId="23CF6B3C" w14:textId="77777777" w:rsidR="00695AE2" w:rsidRPr="00503014" w:rsidRDefault="00695AE2" w:rsidP="00695AE2">
      <w:pPr>
        <w:spacing w:line="240" w:lineRule="auto"/>
        <w:jc w:val="both"/>
        <w:rPr>
          <w:bCs/>
        </w:rPr>
      </w:pPr>
      <w:r w:rsidRPr="00503014">
        <w:rPr>
          <w:bCs/>
        </w:rPr>
        <w:t xml:space="preserve">V času priprave tega poročila o delu je med deležniki delovne skupine v usklajevanju delovni osnutek poročila o delu delovne skupine </w:t>
      </w:r>
      <w:r w:rsidRPr="00503014">
        <w:rPr>
          <w:rFonts w:eastAsia="Times New Roman"/>
          <w:bCs/>
        </w:rPr>
        <w:t>za namen proučitve in priprave zakonodajnega gradiva za učinkovitejše izvajanje nalog državnega odvetništva</w:t>
      </w:r>
      <w:r w:rsidRPr="00503014">
        <w:rPr>
          <w:bCs/>
        </w:rPr>
        <w:t xml:space="preserve">.  </w:t>
      </w:r>
    </w:p>
    <w:p w14:paraId="6751A374" w14:textId="77777777" w:rsidR="00695AE2" w:rsidRPr="00503014" w:rsidRDefault="00695AE2" w:rsidP="00695AE2">
      <w:pPr>
        <w:spacing w:line="240" w:lineRule="auto"/>
        <w:jc w:val="both"/>
      </w:pPr>
    </w:p>
    <w:p w14:paraId="41F87DFF" w14:textId="77777777" w:rsidR="00695AE2" w:rsidRPr="00503014" w:rsidRDefault="00695AE2" w:rsidP="00695AE2">
      <w:pPr>
        <w:spacing w:line="240" w:lineRule="auto"/>
        <w:jc w:val="both"/>
      </w:pPr>
      <w:r w:rsidRPr="00503014">
        <w:t>Aktivnosti delovne skupine, ki so po mnenju Državnega odvetništva RS na tem področju potrebne v prihodnje:</w:t>
      </w:r>
    </w:p>
    <w:p w14:paraId="750665D7" w14:textId="77777777" w:rsidR="00695AE2" w:rsidRPr="00503014" w:rsidRDefault="00695AE2" w:rsidP="00695AE2">
      <w:pPr>
        <w:spacing w:line="240" w:lineRule="auto"/>
        <w:jc w:val="both"/>
      </w:pPr>
    </w:p>
    <w:p w14:paraId="117DF0E1" w14:textId="77777777" w:rsidR="00695AE2" w:rsidRPr="00503014" w:rsidRDefault="00695AE2" w:rsidP="00695AE2">
      <w:pPr>
        <w:numPr>
          <w:ilvl w:val="0"/>
          <w:numId w:val="79"/>
        </w:numPr>
        <w:spacing w:line="240" w:lineRule="auto"/>
        <w:contextualSpacing/>
        <w:jc w:val="both"/>
      </w:pPr>
      <w:r w:rsidRPr="00503014">
        <w:t>Uskladitev besedila členov, ki jih delovna skupina še ni podrobno obravnavala</w:t>
      </w:r>
      <w:r>
        <w:t>;</w:t>
      </w:r>
    </w:p>
    <w:p w14:paraId="278EA050" w14:textId="77777777" w:rsidR="00695AE2" w:rsidRPr="00503014" w:rsidRDefault="00695AE2" w:rsidP="00695AE2">
      <w:pPr>
        <w:numPr>
          <w:ilvl w:val="0"/>
          <w:numId w:val="79"/>
        </w:numPr>
        <w:spacing w:line="240" w:lineRule="auto"/>
        <w:contextualSpacing/>
        <w:jc w:val="both"/>
      </w:pPr>
      <w:r w:rsidRPr="00503014">
        <w:lastRenderedPageBreak/>
        <w:t>Na podlagi usklajenega besedila preveriti, ali so potrebne kakršnekoli modifikacije z vidika ostalih predpisov</w:t>
      </w:r>
      <w:r>
        <w:t>;</w:t>
      </w:r>
    </w:p>
    <w:p w14:paraId="25A8D5DC" w14:textId="77777777" w:rsidR="00695AE2" w:rsidRPr="00503014" w:rsidRDefault="00695AE2" w:rsidP="00695AE2">
      <w:pPr>
        <w:numPr>
          <w:ilvl w:val="0"/>
          <w:numId w:val="79"/>
        </w:numPr>
        <w:spacing w:line="240" w:lineRule="auto"/>
        <w:contextualSpacing/>
        <w:jc w:val="both"/>
      </w:pPr>
      <w:r w:rsidRPr="00503014">
        <w:t>Izdelava ocene finančnih posledic</w:t>
      </w:r>
      <w:r>
        <w:t>;</w:t>
      </w:r>
    </w:p>
    <w:p w14:paraId="5921269F" w14:textId="77777777" w:rsidR="00695AE2" w:rsidRPr="00503014" w:rsidRDefault="00695AE2" w:rsidP="00695AE2">
      <w:pPr>
        <w:numPr>
          <w:ilvl w:val="0"/>
          <w:numId w:val="79"/>
        </w:numPr>
        <w:spacing w:line="240" w:lineRule="auto"/>
        <w:contextualSpacing/>
        <w:jc w:val="both"/>
      </w:pPr>
      <w:r w:rsidRPr="00503014">
        <w:t>Vključitev primerjalno pravnega prikaza ureditve (podatke je Državno odvetništvo RS sicer že pripravilo)</w:t>
      </w:r>
      <w:r>
        <w:t>;</w:t>
      </w:r>
    </w:p>
    <w:p w14:paraId="67D38976" w14:textId="77777777" w:rsidR="00695AE2" w:rsidRDefault="00695AE2" w:rsidP="00695AE2">
      <w:pPr>
        <w:numPr>
          <w:ilvl w:val="0"/>
          <w:numId w:val="79"/>
        </w:numPr>
        <w:spacing w:line="240" w:lineRule="auto"/>
        <w:contextualSpacing/>
        <w:jc w:val="both"/>
      </w:pPr>
      <w:r w:rsidRPr="00503014">
        <w:t>Revizija obrazložitve členov glede na končno verzijo besedila členov</w:t>
      </w:r>
      <w:r>
        <w:t>;</w:t>
      </w:r>
    </w:p>
    <w:p w14:paraId="394D5CB1" w14:textId="77777777" w:rsidR="00695AE2" w:rsidRPr="00503014" w:rsidRDefault="00695AE2" w:rsidP="00695AE2">
      <w:pPr>
        <w:numPr>
          <w:ilvl w:val="0"/>
          <w:numId w:val="79"/>
        </w:numPr>
        <w:spacing w:line="240" w:lineRule="auto"/>
        <w:contextualSpacing/>
        <w:jc w:val="both"/>
      </w:pPr>
      <w:r w:rsidRPr="00503014">
        <w:t>Izdelava končnega poročila in predložitev poročila ministrici oziroma ministru za pravosodje</w:t>
      </w:r>
      <w:r>
        <w:t>.</w:t>
      </w:r>
      <w:r w:rsidRPr="00503014">
        <w:rPr>
          <w:rFonts w:cs="Arial"/>
          <w:szCs w:val="20"/>
        </w:rPr>
        <w:t xml:space="preserve"> </w:t>
      </w:r>
    </w:p>
    <w:p w14:paraId="67E9D08F" w14:textId="77777777" w:rsidR="00695AE2" w:rsidRPr="00503014" w:rsidRDefault="00695AE2" w:rsidP="00695AE2">
      <w:pPr>
        <w:spacing w:line="240" w:lineRule="auto"/>
        <w:jc w:val="both"/>
      </w:pPr>
      <w:bookmarkStart w:id="257" w:name="_Hlk210651444"/>
    </w:p>
    <w:p w14:paraId="0FF2EB1F" w14:textId="77777777" w:rsidR="00695AE2" w:rsidRPr="00503014" w:rsidRDefault="00695AE2" w:rsidP="00695AE2">
      <w:pPr>
        <w:pStyle w:val="Naslov4"/>
      </w:pPr>
      <w:bookmarkStart w:id="258" w:name="_Toc223093799"/>
      <w:r w:rsidRPr="00503014">
        <w:t>Sklepna misel glede potrebe po spremembi ZDOdv</w:t>
      </w:r>
      <w:bookmarkEnd w:id="258"/>
      <w:r w:rsidRPr="00503014">
        <w:t xml:space="preserve">  </w:t>
      </w:r>
    </w:p>
    <w:p w14:paraId="7532D0B0" w14:textId="77777777" w:rsidR="00695AE2" w:rsidRPr="00503014" w:rsidRDefault="00695AE2" w:rsidP="00695AE2">
      <w:pPr>
        <w:pStyle w:val="Jasna"/>
      </w:pPr>
    </w:p>
    <w:p w14:paraId="397CD444" w14:textId="77777777" w:rsidR="00695AE2" w:rsidRPr="00503014" w:rsidRDefault="00695AE2" w:rsidP="00695AE2">
      <w:pPr>
        <w:spacing w:line="240" w:lineRule="auto"/>
        <w:ind w:right="54"/>
        <w:jc w:val="both"/>
        <w:rPr>
          <w:rFonts w:eastAsia="Calibri"/>
        </w:rPr>
      </w:pPr>
      <w:r w:rsidRPr="00503014">
        <w:rPr>
          <w:rFonts w:eastAsia="Calibri"/>
        </w:rPr>
        <w:t xml:space="preserve">Državno odvetništvo RS ocenjuje, da bi spremembe ZDOdv omogočile učinkovitejše opravljanje pristojnosti, tudi oblastnih, ki jih za državo opravlja izključno Državno odvetništvo RS in pri katerih varuje javni interes, premoženjske in druge interese države, ugled države ter krepi delovanje pravne države, vse to ob visokih javnofinančnih prihrankih, ki jih zagotavlja izvrševanje teh pristojnosti v okviru državnega organa z relativno maloštevilnim kadrom in več desetletnimi bogatimi izkušnjami na področju varovanja interesov države. </w:t>
      </w:r>
      <w:bookmarkStart w:id="259" w:name="_Hlk189662970"/>
      <w:bookmarkEnd w:id="257"/>
      <w:r w:rsidRPr="00503014">
        <w:rPr>
          <w:rFonts w:eastAsia="Calibri"/>
        </w:rPr>
        <w:t>Sprememba ZDOdv bi lahko poleg tega pripomogla k zmanjšanju ali izravnavi neupravičenih razlik med zaposlenimi, ki opravljajo enako delo, in ki so posledica večletne dvotirnosti statusov državnih odvetnikov, ki jo je povzročil ZDOdv.</w:t>
      </w:r>
    </w:p>
    <w:p w14:paraId="04E816F0" w14:textId="77777777" w:rsidR="00695AE2" w:rsidRPr="00503014" w:rsidRDefault="00695AE2" w:rsidP="00695AE2">
      <w:pPr>
        <w:spacing w:line="240" w:lineRule="auto"/>
        <w:ind w:right="54"/>
        <w:jc w:val="both"/>
        <w:rPr>
          <w:rFonts w:eastAsia="Calibri"/>
        </w:rPr>
      </w:pPr>
    </w:p>
    <w:p w14:paraId="56C4ADAF" w14:textId="77777777" w:rsidR="00695AE2" w:rsidRPr="00503014" w:rsidRDefault="00695AE2" w:rsidP="00695AE2">
      <w:pPr>
        <w:spacing w:line="240" w:lineRule="auto"/>
        <w:ind w:right="54"/>
        <w:jc w:val="both"/>
        <w:rPr>
          <w:rFonts w:eastAsia="Calibri"/>
        </w:rPr>
      </w:pPr>
      <w:r w:rsidRPr="00503014">
        <w:rPr>
          <w:rFonts w:eastAsia="Calibri"/>
        </w:rPr>
        <w:t xml:space="preserve">Glede na navedeno si bo Državno odvetništvo RS zagotovo še nadalje prizadevalo za izboljšanje institucionalnega okvira svojega delovanja. </w:t>
      </w:r>
    </w:p>
    <w:p w14:paraId="5247EAC4" w14:textId="77777777" w:rsidR="00695AE2" w:rsidRPr="00503014" w:rsidRDefault="00695AE2" w:rsidP="00695AE2">
      <w:pPr>
        <w:tabs>
          <w:tab w:val="left" w:pos="1440"/>
        </w:tabs>
        <w:spacing w:line="240" w:lineRule="auto"/>
        <w:jc w:val="both"/>
        <w:rPr>
          <w:rFonts w:eastAsia="Calibri"/>
          <w:sz w:val="32"/>
          <w:szCs w:val="32"/>
        </w:rPr>
      </w:pPr>
      <w:bookmarkStart w:id="260" w:name="_Hlk94709733"/>
      <w:bookmarkEnd w:id="259"/>
    </w:p>
    <w:p w14:paraId="2C063307" w14:textId="77777777" w:rsidR="00695AE2" w:rsidRPr="00503014" w:rsidRDefault="00695AE2" w:rsidP="00695AE2">
      <w:pPr>
        <w:pStyle w:val="Naslov2"/>
        <w:ind w:left="0" w:firstLine="0"/>
      </w:pPr>
      <w:bookmarkStart w:id="261" w:name="_Toc168844805"/>
      <w:bookmarkStart w:id="262" w:name="_Toc191561810"/>
      <w:bookmarkStart w:id="263" w:name="_Toc223093800"/>
      <w:r w:rsidRPr="00503014">
        <w:t>Delo pri strokovnem nadzoru in ugotovitve ter sistemski in organizacijski ukrepi za odpravo ugotovljenih nepravilnosti</w:t>
      </w:r>
      <w:bookmarkEnd w:id="261"/>
      <w:bookmarkEnd w:id="262"/>
      <w:bookmarkEnd w:id="263"/>
      <w:r w:rsidRPr="00503014">
        <w:t xml:space="preserve"> </w:t>
      </w:r>
    </w:p>
    <w:p w14:paraId="04E05482" w14:textId="77777777" w:rsidR="00695AE2" w:rsidRPr="00462126" w:rsidRDefault="00695AE2" w:rsidP="00695AE2">
      <w:pPr>
        <w:pStyle w:val="Jasna"/>
        <w:rPr>
          <w:sz w:val="32"/>
          <w:szCs w:val="32"/>
        </w:rPr>
      </w:pPr>
    </w:p>
    <w:p w14:paraId="2D16C536" w14:textId="77777777" w:rsidR="00695AE2" w:rsidRPr="00503014" w:rsidRDefault="00695AE2" w:rsidP="00695AE2">
      <w:pPr>
        <w:pStyle w:val="Naslov3"/>
      </w:pPr>
      <w:bookmarkStart w:id="264" w:name="_Toc168844806"/>
      <w:bookmarkStart w:id="265" w:name="_Toc191561811"/>
      <w:bookmarkStart w:id="266" w:name="_Toc223093801"/>
      <w:r w:rsidRPr="00503014">
        <w:t>Ureditev nadzora nad delom Državnega odvetništva RS</w:t>
      </w:r>
      <w:bookmarkEnd w:id="264"/>
      <w:bookmarkEnd w:id="265"/>
      <w:bookmarkEnd w:id="266"/>
    </w:p>
    <w:p w14:paraId="5D98751E" w14:textId="77777777" w:rsidR="00695AE2" w:rsidRPr="00503014" w:rsidRDefault="00695AE2" w:rsidP="00695AE2">
      <w:pPr>
        <w:spacing w:line="240" w:lineRule="auto"/>
        <w:jc w:val="both"/>
        <w:rPr>
          <w:rFonts w:eastAsia="Calibri"/>
          <w:sz w:val="28"/>
          <w:szCs w:val="28"/>
        </w:rPr>
      </w:pPr>
    </w:p>
    <w:p w14:paraId="3CD1EB32" w14:textId="77777777" w:rsidR="00695AE2" w:rsidRPr="00503014" w:rsidRDefault="00695AE2" w:rsidP="00695AE2">
      <w:pPr>
        <w:spacing w:line="240" w:lineRule="auto"/>
        <w:jc w:val="both"/>
        <w:rPr>
          <w:rFonts w:eastAsia="Calibri"/>
        </w:rPr>
      </w:pPr>
      <w:r w:rsidRPr="00503014">
        <w:rPr>
          <w:rFonts w:eastAsia="Calibri"/>
        </w:rPr>
        <w:t xml:space="preserve">Področje nadzora nad delom Državnega odvetništva RS je urejeno v VI. poglavju ZDOdv z naslovom »Nadzor nad delom državnega odvetništva« (91. do 93. člen ZDOdv). </w:t>
      </w:r>
    </w:p>
    <w:p w14:paraId="5C38BB33" w14:textId="77777777" w:rsidR="00695AE2" w:rsidRPr="00503014" w:rsidRDefault="00695AE2" w:rsidP="00695AE2">
      <w:pPr>
        <w:spacing w:line="240" w:lineRule="auto"/>
        <w:jc w:val="both"/>
        <w:rPr>
          <w:rFonts w:eastAsia="Calibri"/>
        </w:rPr>
      </w:pPr>
    </w:p>
    <w:p w14:paraId="07726BCC" w14:textId="77777777" w:rsidR="00695AE2" w:rsidRPr="00503014" w:rsidRDefault="00695AE2" w:rsidP="00695AE2">
      <w:pPr>
        <w:spacing w:line="240" w:lineRule="auto"/>
        <w:jc w:val="both"/>
        <w:rPr>
          <w:rFonts w:eastAsia="Calibri"/>
        </w:rPr>
      </w:pPr>
      <w:r w:rsidRPr="00503014">
        <w:rPr>
          <w:rFonts w:eastAsia="Calibri"/>
        </w:rPr>
        <w:t xml:space="preserve">ZDOdv ureja mehanizem za nadzor nad delom državnega odvetništva, ki se izvaja v obliki splošnega, delnega ali posamičnega pregleda dela državnih odvetnikov in drugih uslužbencev Državnega odvetništva RS s pregledovanjem spisov, vpisnikov in druge dokumentacije. </w:t>
      </w:r>
    </w:p>
    <w:p w14:paraId="4B9E2389" w14:textId="77777777" w:rsidR="00695AE2" w:rsidRPr="00503014" w:rsidRDefault="00695AE2" w:rsidP="00695AE2">
      <w:pPr>
        <w:spacing w:line="240" w:lineRule="auto"/>
        <w:jc w:val="both"/>
        <w:rPr>
          <w:rFonts w:eastAsia="Calibri"/>
        </w:rPr>
      </w:pPr>
    </w:p>
    <w:p w14:paraId="0CC621FA" w14:textId="77777777" w:rsidR="00695AE2" w:rsidRPr="00503014" w:rsidRDefault="00695AE2" w:rsidP="00695AE2">
      <w:pPr>
        <w:spacing w:line="240" w:lineRule="auto"/>
        <w:jc w:val="both"/>
      </w:pPr>
      <w:r w:rsidRPr="00503014">
        <w:t xml:space="preserve">V 92. členu ZDOdv določa vrste pregledov, definicija posamezne vrste pregleda pa določa tudi obseg opravljanja nadzora. </w:t>
      </w:r>
    </w:p>
    <w:p w14:paraId="28123A2E" w14:textId="77777777" w:rsidR="00695AE2" w:rsidRPr="00503014" w:rsidRDefault="00695AE2" w:rsidP="00695AE2">
      <w:pPr>
        <w:spacing w:line="240" w:lineRule="auto"/>
        <w:jc w:val="both"/>
      </w:pPr>
    </w:p>
    <w:p w14:paraId="5E4EBFB1" w14:textId="77777777" w:rsidR="00695AE2" w:rsidRPr="00503014" w:rsidRDefault="00695AE2" w:rsidP="00695AE2">
      <w:pPr>
        <w:spacing w:line="240" w:lineRule="auto"/>
        <w:jc w:val="both"/>
      </w:pPr>
      <w:r w:rsidRPr="00503014">
        <w:rPr>
          <w:rFonts w:eastAsia="Calibri"/>
        </w:rPr>
        <w:t xml:space="preserve">S splošnim pregledom dela se opravlja nadzor nad delom oddelkov na sedežu ali nad delom zunanjih oddelkov državnega odvetništva, </w:t>
      </w:r>
      <w:r w:rsidRPr="00503014">
        <w:t xml:space="preserve">kar pomeni, da je v tem primeru nadzor najobsežnejši, torej nad delom celotnega oddelka. Z delnim pregledom se opravlja nadzor dela v posameznih vrstah zadev, kar pomeni, da je obseg omejen na posamezno vrsto zadev. S posamičnim pregledom se opravlja nadzor dela v posamezni zadevi – obseg nadzora je torej le posamezna zadeva. </w:t>
      </w:r>
    </w:p>
    <w:p w14:paraId="0E1CBFFF" w14:textId="77777777" w:rsidR="00695AE2" w:rsidRPr="00503014" w:rsidRDefault="00695AE2" w:rsidP="00695AE2">
      <w:pPr>
        <w:spacing w:line="240" w:lineRule="auto"/>
        <w:jc w:val="both"/>
        <w:rPr>
          <w:rFonts w:eastAsia="Calibri"/>
        </w:rPr>
      </w:pPr>
    </w:p>
    <w:p w14:paraId="7FFE532E" w14:textId="77777777" w:rsidR="00695AE2" w:rsidRPr="00503014" w:rsidRDefault="00695AE2" w:rsidP="00695AE2">
      <w:pPr>
        <w:spacing w:line="240" w:lineRule="auto"/>
        <w:jc w:val="both"/>
        <w:rPr>
          <w:rFonts w:eastAsia="Calibri"/>
        </w:rPr>
      </w:pPr>
      <w:r w:rsidRPr="00503014">
        <w:rPr>
          <w:rFonts w:eastAsia="Calibri"/>
        </w:rPr>
        <w:lastRenderedPageBreak/>
        <w:t xml:space="preserve">Nadzor se uvede z odredbo o nadzoru generalnega državnega odvetnika, in sicer jo ta lahko izda na lastno pobudo, mora pa jo izdati na zahtevo ministra. Z odredbo o nadzoru se določijo vrsta, obseg in način opravljanja nadzora. </w:t>
      </w:r>
    </w:p>
    <w:p w14:paraId="5AC9F8BB" w14:textId="77777777" w:rsidR="00695AE2" w:rsidRPr="00503014" w:rsidRDefault="00695AE2" w:rsidP="00695AE2">
      <w:pPr>
        <w:spacing w:line="240" w:lineRule="auto"/>
        <w:jc w:val="both"/>
      </w:pPr>
    </w:p>
    <w:p w14:paraId="115802DD" w14:textId="77777777" w:rsidR="00695AE2" w:rsidRPr="00503014" w:rsidRDefault="00695AE2" w:rsidP="00695AE2">
      <w:pPr>
        <w:spacing w:line="240" w:lineRule="auto"/>
        <w:jc w:val="both"/>
      </w:pPr>
      <w:r w:rsidRPr="00503014">
        <w:t xml:space="preserve">Način opravljanja nadzora se nanaša zgolj na potek, uresničevanje izvedbe pregleda poslovanja in dela, torej na tehnično izvedbo nadzora, ne pa na njegovo vsebino. </w:t>
      </w:r>
    </w:p>
    <w:p w14:paraId="7872A575" w14:textId="77777777" w:rsidR="00695AE2" w:rsidRPr="00503014" w:rsidRDefault="00695AE2" w:rsidP="00695AE2">
      <w:pPr>
        <w:spacing w:line="240" w:lineRule="auto"/>
        <w:jc w:val="both"/>
      </w:pPr>
    </w:p>
    <w:p w14:paraId="61427D27" w14:textId="77777777" w:rsidR="00695AE2" w:rsidRPr="00503014" w:rsidRDefault="00695AE2" w:rsidP="00695AE2">
      <w:pPr>
        <w:spacing w:line="240" w:lineRule="auto"/>
        <w:jc w:val="both"/>
        <w:rPr>
          <w:rFonts w:eastAsia="Calibri"/>
        </w:rPr>
      </w:pPr>
      <w:r w:rsidRPr="00503014">
        <w:rPr>
          <w:rFonts w:eastAsia="Calibri"/>
        </w:rPr>
        <w:t xml:space="preserve">V okviru nadzora se pregledujejo ter ocenjujejo zakonitost in pravočasnost dela, smotrnost uporabe procesnih pooblastil in skladnost strokovnih odločitev z izdanimi splošnimi navodili. </w:t>
      </w:r>
    </w:p>
    <w:p w14:paraId="4EC8208D" w14:textId="77777777" w:rsidR="00695AE2" w:rsidRPr="00503014" w:rsidRDefault="00695AE2" w:rsidP="00695AE2">
      <w:pPr>
        <w:spacing w:line="240" w:lineRule="auto"/>
        <w:jc w:val="both"/>
        <w:rPr>
          <w:rFonts w:eastAsia="Times New Roman"/>
        </w:rPr>
      </w:pPr>
    </w:p>
    <w:p w14:paraId="6E95A3D3" w14:textId="77777777" w:rsidR="00695AE2" w:rsidRPr="00503014" w:rsidRDefault="00695AE2" w:rsidP="00695AE2">
      <w:pPr>
        <w:spacing w:line="240" w:lineRule="auto"/>
        <w:jc w:val="both"/>
        <w:rPr>
          <w:rFonts w:eastAsia="Times New Roman"/>
        </w:rPr>
      </w:pPr>
      <w:r w:rsidRPr="00503014">
        <w:rPr>
          <w:rFonts w:eastAsia="Times New Roman"/>
        </w:rPr>
        <w:t xml:space="preserve">Splošni pregled dela vsakega posameznega oddelka na sedežu in vsakega posameznega zunanjega oddelka se opravi najmanj enkrat na tri leta. </w:t>
      </w:r>
      <w:r w:rsidRPr="00503014">
        <w:rPr>
          <w:rFonts w:eastAsia="Times New Roman"/>
          <w:lang w:eastAsia="sl-SI"/>
        </w:rPr>
        <w:t>Če se pri nadzoru ugotovijo pomanjkljivosti ali večji obseg nepravilnosti, je v končnem poročilu o opravljenem nadzoru treba predlagati ustrezne ukrepe in roke za njihovo izvedbo. Po preteku rokov se opravi kontrolni pregled izvedbe ukrepov in preveri njihov učinek. Končno poročilo o opravljenem nadzoru se pošlje tudi Ministrstvu za pravosodje.</w:t>
      </w:r>
      <w:r w:rsidRPr="00503014">
        <w:rPr>
          <w:rFonts w:eastAsia="Times New Roman"/>
        </w:rPr>
        <w:t xml:space="preserve"> </w:t>
      </w:r>
    </w:p>
    <w:p w14:paraId="7DBAD75A" w14:textId="77777777" w:rsidR="00695AE2" w:rsidRPr="00503014" w:rsidRDefault="00695AE2" w:rsidP="00695AE2">
      <w:pPr>
        <w:spacing w:line="240" w:lineRule="auto"/>
        <w:jc w:val="both"/>
        <w:rPr>
          <w:rFonts w:eastAsia="Calibri"/>
        </w:rPr>
      </w:pPr>
    </w:p>
    <w:p w14:paraId="03E481B9" w14:textId="77777777" w:rsidR="00695AE2" w:rsidRPr="00503014" w:rsidRDefault="00695AE2" w:rsidP="00695AE2">
      <w:pPr>
        <w:spacing w:line="240" w:lineRule="auto"/>
        <w:jc w:val="both"/>
        <w:rPr>
          <w:rFonts w:eastAsia="Calibri"/>
        </w:rPr>
      </w:pPr>
      <w:r w:rsidRPr="00503014">
        <w:rPr>
          <w:rFonts w:eastAsia="Calibri"/>
        </w:rPr>
        <w:t>Na podlagi ugotovitev nadzorov o pomanjkljivostih in napakah pri delu državnih odvetnikov CIP in Državno odvetništvo RS izvajata ustrezne izobraževalne oblike.</w:t>
      </w:r>
    </w:p>
    <w:p w14:paraId="70514A94" w14:textId="77777777" w:rsidR="00695AE2" w:rsidRPr="00462126" w:rsidRDefault="00695AE2" w:rsidP="00695AE2">
      <w:pPr>
        <w:pStyle w:val="Jasna"/>
        <w:rPr>
          <w:sz w:val="28"/>
          <w:szCs w:val="28"/>
        </w:rPr>
      </w:pPr>
    </w:p>
    <w:p w14:paraId="79A70EB1" w14:textId="77777777" w:rsidR="00695AE2" w:rsidRPr="00503014" w:rsidRDefault="00695AE2" w:rsidP="00695AE2">
      <w:pPr>
        <w:pStyle w:val="Naslov3"/>
        <w:ind w:left="0" w:firstLine="0"/>
      </w:pPr>
      <w:bookmarkStart w:id="267" w:name="_Toc223093802"/>
      <w:bookmarkStart w:id="268" w:name="_Toc168844807"/>
      <w:bookmarkStart w:id="269" w:name="_Toc191561812"/>
      <w:r w:rsidRPr="00503014">
        <w:t>Načrt nadzorov nad delom in poslovanjem Državnega odvetništva RS za obdobje 2026 – 2027</w:t>
      </w:r>
      <w:bookmarkEnd w:id="267"/>
    </w:p>
    <w:p w14:paraId="18EB911E" w14:textId="77777777" w:rsidR="00695AE2" w:rsidRPr="00503014" w:rsidRDefault="00695AE2" w:rsidP="00695AE2">
      <w:pPr>
        <w:spacing w:line="240" w:lineRule="auto"/>
        <w:contextualSpacing/>
        <w:jc w:val="both"/>
        <w:rPr>
          <w:rFonts w:cstheme="minorHAnsi"/>
        </w:rPr>
      </w:pPr>
    </w:p>
    <w:p w14:paraId="202AE645" w14:textId="77777777" w:rsidR="00695AE2" w:rsidRPr="00503014" w:rsidRDefault="00695AE2" w:rsidP="00695AE2">
      <w:pPr>
        <w:pStyle w:val="Naslov4"/>
      </w:pPr>
      <w:bookmarkStart w:id="270" w:name="_Toc223093803"/>
      <w:r w:rsidRPr="00503014">
        <w:t>Splošno</w:t>
      </w:r>
      <w:bookmarkEnd w:id="270"/>
    </w:p>
    <w:p w14:paraId="28D0ABA7" w14:textId="77777777" w:rsidR="00695AE2" w:rsidRPr="00503014" w:rsidRDefault="00695AE2" w:rsidP="00695AE2">
      <w:pPr>
        <w:spacing w:line="240" w:lineRule="auto"/>
        <w:contextualSpacing/>
        <w:jc w:val="both"/>
        <w:rPr>
          <w:rFonts w:cstheme="minorHAnsi"/>
        </w:rPr>
      </w:pPr>
    </w:p>
    <w:p w14:paraId="6855DD30" w14:textId="77777777" w:rsidR="00695AE2" w:rsidRPr="00503014" w:rsidRDefault="00695AE2" w:rsidP="00695AE2">
      <w:pPr>
        <w:spacing w:line="240" w:lineRule="auto"/>
        <w:contextualSpacing/>
        <w:jc w:val="both"/>
        <w:rPr>
          <w:rFonts w:cstheme="minorHAnsi"/>
        </w:rPr>
      </w:pPr>
      <w:r w:rsidRPr="00503014">
        <w:rPr>
          <w:rFonts w:cstheme="minorHAnsi"/>
        </w:rPr>
        <w:t xml:space="preserve">Skladno z določbo drugega odstavka 92. člena ZDOdv se splošni pregledi dela posameznih oddelkov na sedežu in posameznih zunanjih oddelkov Državnega odvetništva RS izvedejo najmanj enkrat na tri leta. </w:t>
      </w:r>
    </w:p>
    <w:p w14:paraId="41136B21" w14:textId="77777777" w:rsidR="00695AE2" w:rsidRPr="00503014" w:rsidRDefault="00695AE2" w:rsidP="00695AE2">
      <w:pPr>
        <w:spacing w:line="240" w:lineRule="auto"/>
        <w:jc w:val="both"/>
      </w:pPr>
    </w:p>
    <w:p w14:paraId="2101B206" w14:textId="77777777" w:rsidR="00695AE2" w:rsidRPr="00503014" w:rsidRDefault="00695AE2" w:rsidP="00695AE2">
      <w:pPr>
        <w:spacing w:line="240" w:lineRule="auto"/>
        <w:jc w:val="both"/>
      </w:pPr>
      <w:r w:rsidRPr="00503014">
        <w:t xml:space="preserve">Generalna državna odvetnica je v mesecu juliju 2025 izdala Načrt nadzorov nad delom in poslovanjem Državnega odvetništva RS, ki upoštevaje zgoraj citirano določbo določa dinamiko uvedbe in izvedbe splošnih pregledov dela in poslovanja vseh oddelkov Državnega odvetništva RS. </w:t>
      </w:r>
    </w:p>
    <w:p w14:paraId="59174C45" w14:textId="77777777" w:rsidR="00695AE2" w:rsidRPr="00503014" w:rsidRDefault="00695AE2" w:rsidP="00695AE2">
      <w:pPr>
        <w:spacing w:line="240" w:lineRule="auto"/>
        <w:jc w:val="both"/>
      </w:pPr>
    </w:p>
    <w:p w14:paraId="6DD5E6D4" w14:textId="77777777" w:rsidR="00695AE2" w:rsidRPr="00503014" w:rsidRDefault="00695AE2" w:rsidP="00695AE2">
      <w:pPr>
        <w:spacing w:line="240" w:lineRule="auto"/>
        <w:jc w:val="both"/>
        <w:rPr>
          <w:rFonts w:cstheme="minorHAnsi"/>
        </w:rPr>
      </w:pPr>
      <w:r w:rsidRPr="00503014">
        <w:t xml:space="preserve">Nadzori nad delom in poslovanjem vseh oddelkov Državnega odvetništva RS se bodo tako izvedli v obdobju od meseca oktobra 2025 do meseca januarja 2027. </w:t>
      </w:r>
    </w:p>
    <w:p w14:paraId="42054535" w14:textId="77777777" w:rsidR="00695AE2" w:rsidRPr="00503014" w:rsidRDefault="00695AE2" w:rsidP="00695AE2">
      <w:pPr>
        <w:spacing w:line="240" w:lineRule="auto"/>
        <w:ind w:left="57"/>
        <w:jc w:val="both"/>
        <w:rPr>
          <w:rFonts w:cstheme="minorHAnsi"/>
        </w:rPr>
      </w:pPr>
    </w:p>
    <w:p w14:paraId="5F3CD533" w14:textId="77777777" w:rsidR="00695AE2" w:rsidRPr="00503014" w:rsidRDefault="00695AE2" w:rsidP="00695AE2">
      <w:pPr>
        <w:spacing w:line="240" w:lineRule="auto"/>
        <w:ind w:left="57"/>
        <w:jc w:val="both"/>
        <w:rPr>
          <w:rFonts w:cstheme="minorHAnsi"/>
        </w:rPr>
      </w:pPr>
      <w:r w:rsidRPr="00503014">
        <w:rPr>
          <w:rFonts w:cstheme="minorHAnsi"/>
        </w:rPr>
        <w:t xml:space="preserve">Delni pregledi dela višjih državnih odvetnikov, državnih odvetnikov in kandidatov za državnega odvetnika z izvedbo nadzora nad delom v posameznih vrstah zadev in posamični pregledi dela višjih državnih odvetnikov, državnih odvetnikov in kandidatov za državnega odvetnika z nadzorom dela v posamezni zadevi, se bodo z odredbo generalne državne odvetnice uvedli po potrebi, in sicer glede na pobudo oziroma glede na ugotovitve same generalne državne odvetnice ali upoštevaje zahtevo ministra za pravosodje. </w:t>
      </w:r>
    </w:p>
    <w:p w14:paraId="3BCBE24A" w14:textId="77777777" w:rsidR="00695AE2" w:rsidRPr="00503014" w:rsidRDefault="00695AE2" w:rsidP="00695AE2">
      <w:pPr>
        <w:spacing w:line="240" w:lineRule="auto"/>
        <w:jc w:val="both"/>
        <w:rPr>
          <w:rFonts w:cstheme="minorHAnsi"/>
        </w:rPr>
      </w:pPr>
    </w:p>
    <w:p w14:paraId="17B505C8" w14:textId="77777777" w:rsidR="00695AE2" w:rsidRPr="00503014" w:rsidRDefault="00695AE2" w:rsidP="00695AE2">
      <w:pPr>
        <w:spacing w:line="240" w:lineRule="auto"/>
        <w:jc w:val="both"/>
        <w:rPr>
          <w:rFonts w:eastAsia="Calibri"/>
        </w:rPr>
      </w:pPr>
      <w:r w:rsidRPr="00503014">
        <w:rPr>
          <w:rFonts w:eastAsia="Calibri"/>
        </w:rPr>
        <w:t xml:space="preserve">V okviru nadzora nad delom pregledujejo ter ocenjujejo zakonitost in pravočasnost dela, smotrnost uporabe procesnih pooblastil in skladnost strokovnih odločitev z izdanimi splošnimi navodili. </w:t>
      </w:r>
    </w:p>
    <w:p w14:paraId="4AC44058" w14:textId="77777777" w:rsidR="00695AE2" w:rsidRPr="00503014" w:rsidRDefault="00695AE2" w:rsidP="00695AE2">
      <w:pPr>
        <w:spacing w:line="240" w:lineRule="auto"/>
        <w:jc w:val="both"/>
      </w:pPr>
      <w:r w:rsidRPr="00503014">
        <w:lastRenderedPageBreak/>
        <w:t>V odredbi, s katero bo odrejen delni ali posamični nadzor, se po potrebi, če</w:t>
      </w:r>
      <w:r>
        <w:t xml:space="preserve"> </w:t>
      </w:r>
      <w:r w:rsidRPr="00503014">
        <w:t xml:space="preserve">se bo nadzor nanašal na točno določeno problematiko oziroma delovno področje, lahko tudi izrecno navede, katera navodila, sklepi kolegija državnega odvetništva ali sestankov oddelka ter stališča in priporočila delovnih skupin naj se še posebej upoštevajo pri izvedbi nadzora.  </w:t>
      </w:r>
    </w:p>
    <w:p w14:paraId="65E54BD4" w14:textId="77777777" w:rsidR="00695AE2" w:rsidRPr="00503014" w:rsidRDefault="00695AE2" w:rsidP="00695AE2">
      <w:pPr>
        <w:spacing w:line="240" w:lineRule="auto"/>
        <w:ind w:left="57"/>
        <w:jc w:val="both"/>
        <w:rPr>
          <w:rFonts w:cstheme="minorHAnsi"/>
        </w:rPr>
      </w:pPr>
    </w:p>
    <w:p w14:paraId="289AF862" w14:textId="77777777" w:rsidR="00695AE2" w:rsidRPr="00503014" w:rsidRDefault="00695AE2" w:rsidP="00695AE2">
      <w:pPr>
        <w:spacing w:line="240" w:lineRule="auto"/>
        <w:ind w:left="57"/>
        <w:jc w:val="both"/>
        <w:rPr>
          <w:rFonts w:cstheme="minorHAnsi"/>
        </w:rPr>
      </w:pPr>
      <w:r w:rsidRPr="00503014">
        <w:rPr>
          <w:rFonts w:cstheme="minorHAnsi"/>
        </w:rPr>
        <w:t xml:space="preserve">Poslovanje državnega odvetništva nadzoruje generalni državni odvetnik, v oddelku pa tudi vodja oddelka. Načrt nadzorov predvideva, da se na podlagi odredbe generalne državne odvetnice hkrati z uvedenim splošnim pregledom dela posameznega oddelka na sedežu ali posameznega zunanjega oddelka Državnega odvetništva RS uvede tudi splošni pregled poslovanja tega oddelka. Po potrebi se lahko izvajajo tudi dodatni splošni, delni ali posamični pregledi poslovanja. </w:t>
      </w:r>
    </w:p>
    <w:p w14:paraId="5C377E73" w14:textId="77777777" w:rsidR="00695AE2" w:rsidRPr="00503014" w:rsidRDefault="00695AE2" w:rsidP="00695AE2">
      <w:pPr>
        <w:spacing w:line="240" w:lineRule="auto"/>
        <w:ind w:left="57"/>
        <w:jc w:val="both"/>
        <w:rPr>
          <w:rFonts w:cstheme="minorHAnsi"/>
        </w:rPr>
      </w:pPr>
    </w:p>
    <w:p w14:paraId="57FADA1E" w14:textId="77777777" w:rsidR="00695AE2" w:rsidRPr="00503014" w:rsidRDefault="00695AE2" w:rsidP="00695AE2">
      <w:pPr>
        <w:spacing w:line="240" w:lineRule="auto"/>
        <w:ind w:left="57"/>
        <w:jc w:val="both"/>
        <w:rPr>
          <w:rFonts w:cstheme="minorHAnsi"/>
        </w:rPr>
      </w:pPr>
      <w:r w:rsidRPr="00503014">
        <w:rPr>
          <w:rFonts w:cstheme="minorHAnsi"/>
        </w:rPr>
        <w:t xml:space="preserve">Namen nadzora nad poslovanjem je pregled in ocena poslovanja, kakor je opredeljeno v ZDOdv, in v podzakonskih aktih, ki urejajo poslovanje Državnega odvetništva. </w:t>
      </w:r>
      <w:bookmarkStart w:id="271" w:name="_Hlk211346996"/>
      <w:r w:rsidRPr="00503014">
        <w:rPr>
          <w:rFonts w:cstheme="minorHAnsi"/>
          <w:lang w:eastAsia="sl-SI"/>
        </w:rPr>
        <w:t>Pri nadzoru nad poslovanjem gre tako za nadzor nad zadevami s področja uprave državnega odvetništva, splošnim poslovanjem organa</w:t>
      </w:r>
      <w:r w:rsidRPr="00503014">
        <w:rPr>
          <w:rFonts w:cstheme="minorHAnsi"/>
        </w:rPr>
        <w:t xml:space="preserve">, </w:t>
      </w:r>
      <w:r w:rsidRPr="00503014">
        <w:rPr>
          <w:rFonts w:cstheme="minorHAnsi"/>
          <w:lang w:eastAsia="sl-SI"/>
        </w:rPr>
        <w:t xml:space="preserve">spremembami letnega razporeda dela, </w:t>
      </w:r>
      <w:r w:rsidRPr="00503014">
        <w:rPr>
          <w:rFonts w:cstheme="minorHAnsi"/>
        </w:rPr>
        <w:t xml:space="preserve">pregleda nad dostopom in sistemom zavarovanja osebnih podatkov, </w:t>
      </w:r>
      <w:r w:rsidRPr="00503014">
        <w:rPr>
          <w:rFonts w:cstheme="minorHAnsi"/>
          <w:lang w:eastAsia="sl-SI"/>
        </w:rPr>
        <w:t>pristojnostjo in organiziranjem dela kolegija državnega odvetništva</w:t>
      </w:r>
      <w:r w:rsidRPr="00503014">
        <w:rPr>
          <w:rFonts w:cstheme="minorHAnsi"/>
        </w:rPr>
        <w:t xml:space="preserve"> ter izvajanjem navodil in sklepov kolegija državnega odvetništva, </w:t>
      </w:r>
      <w:r w:rsidRPr="00503014">
        <w:rPr>
          <w:rFonts w:cstheme="minorHAnsi"/>
          <w:lang w:eastAsia="sl-SI"/>
        </w:rPr>
        <w:t>upoštevanjem pravil o obveščanju javnosti</w:t>
      </w:r>
      <w:r w:rsidRPr="00503014">
        <w:rPr>
          <w:rFonts w:cstheme="minorHAnsi"/>
        </w:rPr>
        <w:t xml:space="preserve"> ter </w:t>
      </w:r>
      <w:r w:rsidRPr="00503014">
        <w:rPr>
          <w:rFonts w:cstheme="minorHAnsi"/>
          <w:lang w:eastAsia="sl-SI"/>
        </w:rPr>
        <w:t xml:space="preserve">upoštevanjem pravil o </w:t>
      </w:r>
      <w:r w:rsidRPr="00503014">
        <w:rPr>
          <w:rFonts w:cstheme="minorHAnsi"/>
        </w:rPr>
        <w:t xml:space="preserve">obveščanju v zadevah pred mednarodnimi sodišči in mednarodnimi arbitražami ter o pomembnejših zadevah pred sodišči v Republiki Sloveniji in </w:t>
      </w:r>
      <w:r w:rsidRPr="00503014">
        <w:rPr>
          <w:rFonts w:cstheme="minorHAnsi"/>
          <w:lang w:eastAsia="sl-SI"/>
        </w:rPr>
        <w:t>tujimi sodišči</w:t>
      </w:r>
      <w:r w:rsidRPr="00503014">
        <w:rPr>
          <w:rFonts w:cstheme="minorHAnsi"/>
        </w:rPr>
        <w:t xml:space="preserve">, pripravo programa reševanja povečanega števila nerešenih zadev, vrstnim redom obravnavanja zadev in ukrepi za zagotavljanje varnosti ipd. </w:t>
      </w:r>
    </w:p>
    <w:bookmarkEnd w:id="271"/>
    <w:p w14:paraId="4D8E90A8" w14:textId="77777777" w:rsidR="00695AE2" w:rsidRPr="00503014" w:rsidRDefault="00695AE2" w:rsidP="00695AE2">
      <w:pPr>
        <w:spacing w:line="240" w:lineRule="auto"/>
        <w:jc w:val="both"/>
        <w:rPr>
          <w:rFonts w:cstheme="minorHAnsi"/>
        </w:rPr>
      </w:pPr>
    </w:p>
    <w:p w14:paraId="71505C1D" w14:textId="77777777" w:rsidR="00695AE2" w:rsidRPr="00503014" w:rsidRDefault="00695AE2" w:rsidP="00695AE2">
      <w:pPr>
        <w:pStyle w:val="Naslov4"/>
      </w:pPr>
      <w:bookmarkStart w:id="272" w:name="_Toc223093804"/>
      <w:r w:rsidRPr="00503014">
        <w:t>Imenovanje nadzornih komisij</w:t>
      </w:r>
      <w:bookmarkEnd w:id="272"/>
    </w:p>
    <w:p w14:paraId="32EAB1A2" w14:textId="77777777" w:rsidR="00695AE2" w:rsidRPr="00503014" w:rsidRDefault="00695AE2" w:rsidP="00695AE2">
      <w:pPr>
        <w:spacing w:line="240" w:lineRule="auto"/>
        <w:contextualSpacing/>
        <w:jc w:val="both"/>
        <w:rPr>
          <w:rFonts w:cstheme="minorHAnsi"/>
          <w:b/>
          <w:bCs/>
          <w:color w:val="007466"/>
        </w:rPr>
      </w:pPr>
    </w:p>
    <w:p w14:paraId="70AD594F" w14:textId="77777777" w:rsidR="00695AE2" w:rsidRPr="00503014" w:rsidRDefault="00695AE2" w:rsidP="00695AE2">
      <w:pPr>
        <w:spacing w:line="240" w:lineRule="auto"/>
        <w:ind w:left="57"/>
        <w:jc w:val="both"/>
        <w:rPr>
          <w:rFonts w:cstheme="minorHAnsi"/>
        </w:rPr>
      </w:pPr>
      <w:r w:rsidRPr="00503014">
        <w:rPr>
          <w:rFonts w:cstheme="minorHAnsi"/>
        </w:rPr>
        <w:t>Za izvedbo nadzora je v odredbi o uvedbi nadzora imenovana nadzorna komisija.</w:t>
      </w:r>
    </w:p>
    <w:p w14:paraId="45481426" w14:textId="77777777" w:rsidR="00695AE2" w:rsidRPr="00503014" w:rsidRDefault="00695AE2" w:rsidP="00695AE2">
      <w:pPr>
        <w:spacing w:line="240" w:lineRule="auto"/>
        <w:jc w:val="both"/>
        <w:rPr>
          <w:rFonts w:cstheme="minorHAnsi"/>
        </w:rPr>
      </w:pPr>
    </w:p>
    <w:p w14:paraId="7939D7BC" w14:textId="77777777" w:rsidR="00695AE2" w:rsidRPr="00503014" w:rsidRDefault="00695AE2" w:rsidP="00695AE2">
      <w:pPr>
        <w:spacing w:line="240" w:lineRule="auto"/>
        <w:jc w:val="both"/>
        <w:rPr>
          <w:rFonts w:cstheme="minorHAnsi"/>
        </w:rPr>
      </w:pPr>
      <w:r w:rsidRPr="00503014">
        <w:rPr>
          <w:rFonts w:cstheme="minorHAnsi"/>
          <w:bCs/>
        </w:rPr>
        <w:t xml:space="preserve">Da bi bila izvedba nadzorov nad delom in poslovanjem čim bolj poenotena, je  generalna državna odvetnica </w:t>
      </w:r>
      <w:r w:rsidRPr="00503014">
        <w:rPr>
          <w:rFonts w:cstheme="minorHAnsi"/>
        </w:rPr>
        <w:t xml:space="preserve">v mesecu oktobru 2025 s posebno odredbo določila seznam stalnih članov nadzornih komisij, na katerega je vključenih 13 višjih državnih odvetnikov in državnih odvetnikov; kot potencialni člani nadzorne komisije za izvedbo pregleda dela kandidata za državnega odvetnika pa so na stalno listo članov vključeni tudi 3 kandidati za državnega odvetnika. </w:t>
      </w:r>
    </w:p>
    <w:p w14:paraId="3B1630A6" w14:textId="77777777" w:rsidR="00695AE2" w:rsidRPr="00503014" w:rsidRDefault="00695AE2" w:rsidP="00695AE2">
      <w:pPr>
        <w:spacing w:line="240" w:lineRule="auto"/>
        <w:jc w:val="both"/>
        <w:rPr>
          <w:rFonts w:cstheme="minorHAnsi"/>
        </w:rPr>
      </w:pPr>
    </w:p>
    <w:p w14:paraId="5D5512C4" w14:textId="77777777" w:rsidR="00695AE2" w:rsidRPr="00503014" w:rsidRDefault="00695AE2" w:rsidP="00695AE2">
      <w:pPr>
        <w:spacing w:line="240" w:lineRule="auto"/>
        <w:jc w:val="both"/>
        <w:rPr>
          <w:rFonts w:cstheme="minorHAnsi"/>
        </w:rPr>
      </w:pPr>
      <w:r w:rsidRPr="00503014">
        <w:rPr>
          <w:rFonts w:cstheme="minorHAnsi"/>
        </w:rPr>
        <w:t xml:space="preserve">V odredbi o uvedbi nadzora nad delom se med drugim določi tudi komisija, ki bo izvedla pregled dela višjih državnih odvetnikov, državnih odvetnikov, kandidatov za državne odvetnike in drugih javnih uslužbencev državnega odvetništva. V nadzorno komisijo za izvedbo splošnega pregleda dela posameznih oddelkov državnega odvetništva se tako z vsakokratno odredbo praviloma imenujejo višji državni odvetniki in državni odvetniki, ki so vključeni v prej omenjeno listo stalnih članov, v posamezno nadzorno komisijo pa se lahko po potrebi imenujejo tudi drugi višji državni odvetniki in državni odvetniki. </w:t>
      </w:r>
    </w:p>
    <w:p w14:paraId="23BDC777" w14:textId="77777777" w:rsidR="00695AE2" w:rsidRPr="00503014" w:rsidRDefault="00695AE2" w:rsidP="00695AE2">
      <w:pPr>
        <w:spacing w:line="240" w:lineRule="auto"/>
        <w:jc w:val="both"/>
        <w:rPr>
          <w:rFonts w:cstheme="minorHAnsi"/>
        </w:rPr>
      </w:pPr>
    </w:p>
    <w:p w14:paraId="4299E70A" w14:textId="77777777" w:rsidR="00695AE2" w:rsidRPr="00503014" w:rsidRDefault="00695AE2" w:rsidP="00695AE2">
      <w:pPr>
        <w:spacing w:line="240" w:lineRule="auto"/>
        <w:jc w:val="both"/>
        <w:rPr>
          <w:rFonts w:cstheme="minorHAnsi"/>
        </w:rPr>
      </w:pPr>
      <w:r w:rsidRPr="00503014">
        <w:rPr>
          <w:rFonts w:cstheme="minorHAnsi"/>
        </w:rPr>
        <w:t xml:space="preserve">Prav tako so bili z navedeno odredbo generalne državne odvetnice imenovani stalni člani, ki bodo v okviru nadzornih komisij izvajali splošne preglede poslovanja uradov zunanjih oddelkov in pisarn na sedežu, in sicer je bilo imenovanih 7 javnih uslužbencev. V odredbi se ob uvedbi nadzora nad poslovanjem za izvedbo nadzora tako določi tudi eden ali več uslužbencev </w:t>
      </w:r>
      <w:r w:rsidRPr="00503014">
        <w:rPr>
          <w:rFonts w:cstheme="minorHAnsi"/>
        </w:rPr>
        <w:lastRenderedPageBreak/>
        <w:t xml:space="preserve">državnega odvetništva, sestavni del odredbe pa je tudi pisno pooblastilo generalne državne odvetnice uslužbencu državnega odvetništva za pregledovanje spisov, vpisnikov in druge dokumentacije. V posamezno nadzorno komisijo so lahko po potrebi imenovani tudi drugi javni uslužbenci, ki niso vključeni v seznam stalnih članov. </w:t>
      </w:r>
      <w:r w:rsidRPr="00503014">
        <w:t>Ob izvajanju nadzora nad delom lahko izvajajo (delni) nadzor nad poslovanjem tudi člani nadzorne komisije, ki so bili z odredbo določeni za izvedbo nadzora nad delom višjih državnih odvetnikov, državnih odvetnikov, kandidatov za državne odvetnike in drugih javnih uslužbencev državnega odvetništva.</w:t>
      </w:r>
    </w:p>
    <w:p w14:paraId="25413710" w14:textId="77777777" w:rsidR="00695AE2" w:rsidRPr="00503014" w:rsidRDefault="00695AE2" w:rsidP="00695AE2">
      <w:pPr>
        <w:spacing w:line="240" w:lineRule="auto"/>
        <w:jc w:val="both"/>
        <w:rPr>
          <w:rFonts w:cstheme="minorHAnsi"/>
        </w:rPr>
      </w:pPr>
    </w:p>
    <w:p w14:paraId="51EA1EC7" w14:textId="77777777" w:rsidR="00695AE2" w:rsidRPr="00503014" w:rsidRDefault="00695AE2" w:rsidP="00695AE2">
      <w:pPr>
        <w:spacing w:line="240" w:lineRule="auto"/>
        <w:jc w:val="both"/>
        <w:rPr>
          <w:rFonts w:cstheme="minorHAnsi"/>
        </w:rPr>
      </w:pPr>
      <w:r w:rsidRPr="00503014">
        <w:rPr>
          <w:rFonts w:cstheme="minorHAnsi"/>
        </w:rPr>
        <w:t xml:space="preserve">Odredba generalne državne odvetnice še določa, da se za izvedbo delnega ali posamičnega nadzora nad delom kandidata za državnega odvetnika v posamezno nadzorno komisijo lahko imenujejo tudi kandidati za državnega odvetnika.  </w:t>
      </w:r>
    </w:p>
    <w:p w14:paraId="1DAB9A74" w14:textId="77777777" w:rsidR="00695AE2" w:rsidRPr="00503014" w:rsidRDefault="00695AE2" w:rsidP="00695AE2">
      <w:pPr>
        <w:spacing w:line="240" w:lineRule="auto"/>
        <w:jc w:val="both"/>
        <w:rPr>
          <w:rFonts w:cstheme="minorHAnsi"/>
        </w:rPr>
      </w:pPr>
    </w:p>
    <w:p w14:paraId="5B5105AB" w14:textId="77777777" w:rsidR="00695AE2" w:rsidRPr="00503014" w:rsidRDefault="00695AE2" w:rsidP="00695AE2">
      <w:pPr>
        <w:spacing w:line="240" w:lineRule="auto"/>
        <w:jc w:val="both"/>
      </w:pPr>
      <w:r w:rsidRPr="00503014">
        <w:t xml:space="preserve">Imenovanim članom nadzorne komisije se sodelovanje pri izvedbi nadzora upošteva kot delovna obremenitev in se jim iz tega razloga v obdobju izvajanja nadzora prizna pravica do ukrepov pri regulaciji njihovih rednih delovnih obveznosti, kot na primer določitev začasnega nadomeščanja za obdobje do pet dni pri obravnavi zadev, katerih nosilci so, oziroma določitev nadomeščanja pri izvedbi posameznih procesnih aktivnosti v zadevah (na primer prevzem zastopanja na naroku), zmanjšan pripad zadev ali za določeno časovno obdobje celo ustavitev pripada novih zadev in podobno. Člani nadzornih komisij, ki niso vodje oddelka, se za vsak posamezen nadzor o konkretnem načinu izvedbe možnih ukrepov uskladijo z vodjo oddelka, na katerega so razporejeni, in o doseženem dogovoru obvestijo urad generalne državne odvetnice zaradi izdaje morebitne odredbe. Člani nadzornih komisij, ki so vodje oddelka, lahko na podlagi predmetnih priporočil sami določijo, kako naj se v okviru dela oddelka upošteva njihovo članstvo v nadzorni komisiji in o izvedenih ukrepih seznanijo urad generalne državne odvetnice. </w:t>
      </w:r>
    </w:p>
    <w:p w14:paraId="4E534D6F" w14:textId="77777777" w:rsidR="00695AE2" w:rsidRPr="00503014" w:rsidRDefault="00695AE2" w:rsidP="00695AE2">
      <w:pPr>
        <w:spacing w:line="240" w:lineRule="auto"/>
        <w:ind w:left="57"/>
        <w:jc w:val="both"/>
        <w:rPr>
          <w:sz w:val="28"/>
          <w:szCs w:val="28"/>
        </w:rPr>
      </w:pPr>
    </w:p>
    <w:p w14:paraId="6CCE6CC5" w14:textId="77777777" w:rsidR="00695AE2" w:rsidRPr="00503014" w:rsidRDefault="00695AE2" w:rsidP="00695AE2">
      <w:pPr>
        <w:pStyle w:val="Naslov3"/>
        <w:ind w:left="0" w:firstLine="0"/>
      </w:pPr>
      <w:bookmarkStart w:id="273" w:name="_Toc223093805"/>
      <w:r w:rsidRPr="00503014">
        <w:t>Priporočila za izvajanje nadzorov s pregledom dela in poslovanja Državnega odvetništva RS</w:t>
      </w:r>
      <w:bookmarkEnd w:id="273"/>
    </w:p>
    <w:p w14:paraId="462FAC6A" w14:textId="77777777" w:rsidR="00695AE2" w:rsidRPr="00503014" w:rsidRDefault="00695AE2" w:rsidP="00695AE2">
      <w:pPr>
        <w:spacing w:line="240" w:lineRule="auto"/>
        <w:jc w:val="both"/>
        <w:rPr>
          <w:b/>
          <w:bCs/>
        </w:rPr>
      </w:pPr>
      <w:bookmarkStart w:id="274" w:name="_Hlk210983957"/>
    </w:p>
    <w:p w14:paraId="2DF6393F" w14:textId="77777777" w:rsidR="00695AE2" w:rsidRPr="00503014" w:rsidRDefault="00695AE2" w:rsidP="00695AE2">
      <w:pPr>
        <w:pStyle w:val="Naslov4"/>
      </w:pPr>
      <w:bookmarkStart w:id="275" w:name="_Toc223093806"/>
      <w:r w:rsidRPr="00503014">
        <w:t>Razlogi za sprejem</w:t>
      </w:r>
      <w:bookmarkEnd w:id="275"/>
    </w:p>
    <w:p w14:paraId="59FEFE73" w14:textId="77777777" w:rsidR="00695AE2" w:rsidRPr="00503014" w:rsidRDefault="00695AE2" w:rsidP="00695AE2">
      <w:pPr>
        <w:spacing w:line="240" w:lineRule="auto"/>
        <w:jc w:val="both"/>
      </w:pPr>
    </w:p>
    <w:p w14:paraId="26747671" w14:textId="77777777" w:rsidR="00695AE2" w:rsidRPr="00503014" w:rsidRDefault="00695AE2" w:rsidP="00695AE2">
      <w:pPr>
        <w:spacing w:line="240" w:lineRule="auto"/>
        <w:jc w:val="both"/>
      </w:pPr>
      <w:r w:rsidRPr="00503014">
        <w:t>Nadzor nad delom Državnega odvetništva RS</w:t>
      </w:r>
      <w:r w:rsidRPr="00503014">
        <w:rPr>
          <w:rFonts w:eastAsia="Courier New"/>
        </w:rPr>
        <w:t xml:space="preserve"> ureja</w:t>
      </w:r>
      <w:r w:rsidRPr="00503014">
        <w:t xml:space="preserve"> VI. poglavje Zakona o državnem odvetništvu. ZDOdv ne v VI. poglavju in ne nikjer drugje ne vsebuje morebitne določbe, da se področje nadzora nad delom Državnega odvetništva RS ureja z morebitnim podzakonskim predpisom. Pravilnik o poslovanju državnega odvetništva kot podzakonski predpis, izdan na podlagi ZDOdv, na to področje ne posega oziroma o njem nima določb. Svojo vsebino določa v 1. členu in v njem ni področja nadzora.</w:t>
      </w:r>
    </w:p>
    <w:p w14:paraId="5CF09FC5" w14:textId="77777777" w:rsidR="00695AE2" w:rsidRPr="00503014" w:rsidRDefault="00695AE2" w:rsidP="00695AE2">
      <w:pPr>
        <w:spacing w:line="240" w:lineRule="auto"/>
        <w:jc w:val="both"/>
      </w:pPr>
    </w:p>
    <w:p w14:paraId="162E36CA" w14:textId="77777777" w:rsidR="00695AE2" w:rsidRPr="00503014" w:rsidRDefault="00695AE2" w:rsidP="00695AE2">
      <w:pPr>
        <w:spacing w:line="240" w:lineRule="auto"/>
        <w:jc w:val="both"/>
      </w:pPr>
      <w:r w:rsidRPr="00503014">
        <w:t xml:space="preserve">Generalni državni odvetnik je glede na določbo 50. člena ZDOdv kot predstojnik organa odgovoren za organizacijo in usklajevanje dela državnih odvetnikov ter za zakonito, kakovostno in učinkovito delo Državnega odvetništva RS. </w:t>
      </w:r>
    </w:p>
    <w:p w14:paraId="05F89E48" w14:textId="77777777" w:rsidR="00695AE2" w:rsidRPr="00503014" w:rsidRDefault="00695AE2" w:rsidP="00695AE2">
      <w:pPr>
        <w:spacing w:line="240" w:lineRule="auto"/>
        <w:jc w:val="both"/>
      </w:pPr>
    </w:p>
    <w:p w14:paraId="2DDCDACB" w14:textId="77777777" w:rsidR="00695AE2" w:rsidRPr="00503014" w:rsidRDefault="00695AE2" w:rsidP="00695AE2">
      <w:pPr>
        <w:spacing w:line="240" w:lineRule="auto"/>
        <w:jc w:val="both"/>
        <w:rPr>
          <w:rFonts w:cstheme="minorHAnsi"/>
        </w:rPr>
      </w:pPr>
      <w:r w:rsidRPr="00503014">
        <w:t xml:space="preserve">Od uveljavitve ZDOdv dalje je bilo na Državnem odvetništvu RS izvedenih že preko 30 nadzorov nad poslovanjem in delom posameznih oddelkov na sedežu ali zunanjih oddelkov Državnega odvetništva RS. Na podlagi analize poročil, pripravljenih v vseh do zdaj izvedenih nadzorih, je bilo ugotovljeno, da so bili pristopi posameznih komisij, ki so opravljale preglede poslovanja in dela po posameznih oddelkih, zelo različni, tako glede obsega in natančnosti pregleda kot </w:t>
      </w:r>
      <w:r w:rsidRPr="00503014">
        <w:lastRenderedPageBreak/>
        <w:t xml:space="preserve">tudi glede same vsebine pregleda poslovanja in dela. Zaradi zagotavljanja enotne uporabe predpisov in enotnega opravljanja nalog, med katere sodi tudi izvajanje nadzorov, je generalna državna odvetnica na podlagi določbe 50. člena ZDOdv v mesecu novembru 2025 odločila priporočila, ki </w:t>
      </w:r>
      <w:r w:rsidRPr="00503014">
        <w:rPr>
          <w:rFonts w:cstheme="minorHAnsi"/>
        </w:rPr>
        <w:t xml:space="preserve">predstavljajo smernice za izvedbo nadzorov in </w:t>
      </w:r>
      <w:r w:rsidRPr="00503014">
        <w:t xml:space="preserve">katerih namen je poenotiti delo nadzornih komisij, ki bodo skladno z Načrtom nadzorov nad delom Državnega odvetništva RS v obdobju od konca leta 2025 do začetka leta 2027 izvedle preglede poslovanja in dela posameznih oddelkov na sedežu ali zunanjih oddelkov Državnega odvetništva RS. </w:t>
      </w:r>
      <w:r w:rsidRPr="00503014">
        <w:rPr>
          <w:rFonts w:cstheme="minorHAnsi"/>
          <w:bCs/>
        </w:rPr>
        <w:t>N</w:t>
      </w:r>
      <w:r w:rsidRPr="00503014">
        <w:rPr>
          <w:rFonts w:cstheme="minorHAnsi"/>
        </w:rPr>
        <w:t>a podlagi ugotovitev tako izvedenih nadzorov je namreč lažje določiti potrebne sistemske in organizacijske ukrepe.</w:t>
      </w:r>
    </w:p>
    <w:p w14:paraId="0CC25ECA" w14:textId="77777777" w:rsidR="00695AE2" w:rsidRPr="00503014" w:rsidRDefault="00695AE2" w:rsidP="00695AE2">
      <w:pPr>
        <w:spacing w:line="240" w:lineRule="auto"/>
        <w:jc w:val="both"/>
      </w:pPr>
    </w:p>
    <w:p w14:paraId="17BB11F9" w14:textId="77777777" w:rsidR="00695AE2" w:rsidRPr="00503014" w:rsidRDefault="00695AE2" w:rsidP="00695AE2">
      <w:pPr>
        <w:pStyle w:val="Naslov4"/>
      </w:pPr>
      <w:bookmarkStart w:id="276" w:name="_Toc223093807"/>
      <w:r w:rsidRPr="00503014">
        <w:t>Način izvedbe nadzorov</w:t>
      </w:r>
      <w:bookmarkEnd w:id="276"/>
    </w:p>
    <w:p w14:paraId="7EAD45D6" w14:textId="77777777" w:rsidR="00695AE2" w:rsidRPr="00503014" w:rsidRDefault="00695AE2" w:rsidP="00695AE2">
      <w:pPr>
        <w:spacing w:line="240" w:lineRule="auto"/>
        <w:jc w:val="both"/>
      </w:pPr>
    </w:p>
    <w:p w14:paraId="585D0E6A" w14:textId="77777777" w:rsidR="00695AE2" w:rsidRPr="00503014" w:rsidRDefault="00695AE2" w:rsidP="00695AE2">
      <w:pPr>
        <w:spacing w:line="240" w:lineRule="auto"/>
        <w:jc w:val="both"/>
      </w:pPr>
      <w:r w:rsidRPr="00503014">
        <w:t>Z odredbo imenovana nadzorna komisija se pred izvedbo nadzora nad poslovanjem in delom posameznega oddelka na sedežu ali zunanjega oddelka seznani s Poročilom o nadzoru ter Končnim poročilom o nadzoru, ki sta bila izdelana ob zadnjem pregledu poslovanja in dela oddelka, v primeru, da je bil zoper ugotovitve nadzora vložen ugovor, pa tudi z odločitvijo o ugovoru.</w:t>
      </w:r>
    </w:p>
    <w:p w14:paraId="04FED31A" w14:textId="77777777" w:rsidR="00695AE2" w:rsidRPr="00503014" w:rsidRDefault="00695AE2" w:rsidP="00695AE2">
      <w:pPr>
        <w:spacing w:line="240" w:lineRule="auto"/>
        <w:ind w:left="360"/>
        <w:jc w:val="both"/>
      </w:pPr>
    </w:p>
    <w:p w14:paraId="3EF530B6" w14:textId="77777777" w:rsidR="00695AE2" w:rsidRPr="00503014" w:rsidRDefault="00695AE2" w:rsidP="00695AE2">
      <w:pPr>
        <w:spacing w:line="240" w:lineRule="auto"/>
        <w:jc w:val="both"/>
      </w:pPr>
      <w:r w:rsidRPr="00503014">
        <w:t>Priporoča se, da nadzorna komisija v okviru aktualnega pregleda poslovanja in dela oddelka preveri izvajanje v okviru zadnjega predhodnega nadzora podanih pomembnejših priporočil, predlogov ali ukrepov, in sicer tistih, za katere oceni, da so pomembnejši iz vidika zagotavljanja enotnosti poslovanja in dviga kakovosti delovnih procesov oziroma kvalitete izvajanja nalog in pristojnosti Državnega odvetništva RS. Nadzorna komisija lahko v ta namen opravi razgovor z vodjo oddelka in/ali vodjo urada oziroma pisarne ali pa izvajanje relevantnih priporočil, predlogov ali ukrepov preveri na drug način (na primer z vpogledom v konkretne izbrane spise, glede katerih so bila v poročilu o nadzoru podana priporočila, predlogi ali ukrepi).</w:t>
      </w:r>
    </w:p>
    <w:p w14:paraId="5F5A8CA8" w14:textId="77777777" w:rsidR="00695AE2" w:rsidRPr="00503014" w:rsidRDefault="00695AE2" w:rsidP="00695AE2">
      <w:pPr>
        <w:spacing w:line="240" w:lineRule="auto"/>
        <w:jc w:val="both"/>
      </w:pPr>
    </w:p>
    <w:p w14:paraId="2FD3015E" w14:textId="77777777" w:rsidR="00695AE2" w:rsidRPr="00503014" w:rsidRDefault="00695AE2" w:rsidP="00695AE2">
      <w:pPr>
        <w:spacing w:line="240" w:lineRule="auto"/>
        <w:ind w:left="57"/>
        <w:jc w:val="both"/>
      </w:pPr>
      <w:r w:rsidRPr="00503014">
        <w:t xml:space="preserve">Nadzor nad poslovanjem in delom na oddelku se izvaja s pregledovanjem (elektronskih in / ali fizičnih) spisov, vpisnikov in druge dokumentacije, opravi pa se tudi pogovor z vodjo oddelka ter vodjo urada oziroma pisarne, ki sta pri izvedbi pregleda prisotni oziroma pri njem po potrebi tudi sodelujeta.  </w:t>
      </w:r>
    </w:p>
    <w:p w14:paraId="4CE8420C" w14:textId="77777777" w:rsidR="00695AE2" w:rsidRPr="00503014" w:rsidRDefault="00695AE2" w:rsidP="00695AE2">
      <w:pPr>
        <w:spacing w:line="240" w:lineRule="auto"/>
        <w:ind w:left="57"/>
        <w:jc w:val="both"/>
        <w:rPr>
          <w:highlight w:val="green"/>
        </w:rPr>
      </w:pPr>
    </w:p>
    <w:p w14:paraId="053AAA78" w14:textId="77777777" w:rsidR="00695AE2" w:rsidRPr="00503014" w:rsidRDefault="00695AE2" w:rsidP="00695AE2">
      <w:pPr>
        <w:spacing w:line="240" w:lineRule="auto"/>
        <w:ind w:left="57"/>
        <w:jc w:val="both"/>
      </w:pPr>
      <w:r w:rsidRPr="00503014">
        <w:t xml:space="preserve">Nadzorna komisija lahko zaradi razjasnitve okoliščin v zvezi s posamezno pregledovano zadevo, pridobitve dodatnih pojasnil ali odprave morebitnih nejasnosti, opravi razgovor  z nosilcem zadeve ali vodjo oddelka.   </w:t>
      </w:r>
    </w:p>
    <w:p w14:paraId="36AA647C" w14:textId="77777777" w:rsidR="00695AE2" w:rsidRPr="00503014" w:rsidRDefault="00695AE2" w:rsidP="00695AE2">
      <w:pPr>
        <w:spacing w:line="240" w:lineRule="auto"/>
        <w:ind w:left="57"/>
        <w:jc w:val="both"/>
      </w:pPr>
    </w:p>
    <w:p w14:paraId="41DDA6F0" w14:textId="77777777" w:rsidR="00695AE2" w:rsidRPr="00503014" w:rsidRDefault="00695AE2" w:rsidP="00695AE2">
      <w:pPr>
        <w:spacing w:line="240" w:lineRule="auto"/>
        <w:jc w:val="both"/>
      </w:pPr>
      <w:r w:rsidRPr="00503014">
        <w:t xml:space="preserve">Nadzorna komisija v okviru splošnega pregleda nad poslovanjem in delom oddelka opravi pregled zadev na vseh področjih dela oddelka. Člani nadzorne komisije se sami dogovorijo o tem, kako si bodo med seboj razdelili področja pregleda, pri tem </w:t>
      </w:r>
      <w:r>
        <w:t xml:space="preserve">pa </w:t>
      </w:r>
      <w:r w:rsidRPr="00503014">
        <w:t xml:space="preserve">v čim večji meri  upoštevajo obseg svojih delovnih izkušenj oziroma poznavanje posameznega delovnega področja. </w:t>
      </w:r>
    </w:p>
    <w:p w14:paraId="6F5A205F" w14:textId="77777777" w:rsidR="00695AE2" w:rsidRPr="00503014" w:rsidRDefault="00695AE2" w:rsidP="00695AE2">
      <w:pPr>
        <w:spacing w:line="240" w:lineRule="auto"/>
        <w:jc w:val="both"/>
      </w:pPr>
    </w:p>
    <w:p w14:paraId="6F98DEE2" w14:textId="77777777" w:rsidR="00695AE2" w:rsidRPr="00503014" w:rsidRDefault="00695AE2" w:rsidP="00695AE2">
      <w:pPr>
        <w:spacing w:line="240" w:lineRule="auto"/>
        <w:jc w:val="both"/>
      </w:pPr>
      <w:bookmarkStart w:id="277" w:name="_Hlk213241724"/>
      <w:r w:rsidRPr="00503014">
        <w:t xml:space="preserve">Nadzorni komisiji vodja Službe za evidence državnega odvetništva iz IS Feniks pred začetkom izvedbe nadzora pripravi izpis odprtih zadev po stanju na dan uvedbe nadzora po vseh relevantnih vpisnikih, nato pa nadzorna komisija iz seznamov odprtih zadev naključno izbere spise, ki jih bo vključila v pregled poslovanja in dela, pri čemer skrbi, da so v pregled zajete zadeve, ki so se odprle v različnih časovnih obdobjih, čim bolj raznolike zadeve (da je v okviru </w:t>
      </w:r>
      <w:r w:rsidRPr="00503014">
        <w:lastRenderedPageBreak/>
        <w:t>posameznega vpisnika v pregled vključenih čim več različnih temeljev) ter da so v pregled čim bolj enakomerno zajete zadeve vseh nosilcev na oddelku. Da bi se zadostilo navedenim kriterijem pri izbiri zadev, lahko  predsednik nadzorne komisije poda še natančnejša navodila o tem, na kakšen način oziroma v kakšni obliki naj se pripravijo izpisi iz IS Feniks.</w:t>
      </w:r>
    </w:p>
    <w:p w14:paraId="56AB8667" w14:textId="77777777" w:rsidR="00695AE2" w:rsidRPr="00503014" w:rsidRDefault="00695AE2" w:rsidP="00695AE2">
      <w:pPr>
        <w:spacing w:line="240" w:lineRule="auto"/>
        <w:jc w:val="both"/>
      </w:pPr>
    </w:p>
    <w:p w14:paraId="0D4FF277" w14:textId="77777777" w:rsidR="00695AE2" w:rsidRPr="00503014" w:rsidRDefault="00695AE2" w:rsidP="00695AE2">
      <w:pPr>
        <w:spacing w:line="240" w:lineRule="auto"/>
        <w:jc w:val="both"/>
      </w:pPr>
      <w:r w:rsidRPr="00503014">
        <w:t xml:space="preserve">Nadzorna komisija se lahko odloči, da v pregled vključi tudi že zaključene zadeve, in sicer praviloma tiste, ki so se zaključile v obdobju zadnjih šest mesecev pred uvedbo nadzora, lahko pa se posamezna nadzorna komisija odloči tudi, da bo v pregled vključila zadeve, zaključene izven tega obdobja. </w:t>
      </w:r>
    </w:p>
    <w:p w14:paraId="4F1578ED" w14:textId="77777777" w:rsidR="00695AE2" w:rsidRPr="00503014" w:rsidRDefault="00695AE2" w:rsidP="00695AE2">
      <w:pPr>
        <w:spacing w:line="240" w:lineRule="auto"/>
        <w:jc w:val="both"/>
      </w:pPr>
    </w:p>
    <w:p w14:paraId="05CCF0B2" w14:textId="77777777" w:rsidR="00695AE2" w:rsidRPr="00503014" w:rsidRDefault="00695AE2" w:rsidP="00695AE2">
      <w:pPr>
        <w:pStyle w:val="Naslov4"/>
      </w:pPr>
      <w:bookmarkStart w:id="278" w:name="_Toc223093808"/>
      <w:r w:rsidRPr="00503014">
        <w:t>Nadzor nad delom</w:t>
      </w:r>
      <w:bookmarkEnd w:id="278"/>
    </w:p>
    <w:p w14:paraId="223A92EA" w14:textId="77777777" w:rsidR="00695AE2" w:rsidRPr="00503014" w:rsidRDefault="00695AE2" w:rsidP="00695AE2">
      <w:pPr>
        <w:pStyle w:val="Jasna"/>
      </w:pPr>
    </w:p>
    <w:p w14:paraId="3C22E1F7" w14:textId="77777777" w:rsidR="00695AE2" w:rsidRPr="00503014" w:rsidRDefault="00695AE2" w:rsidP="00695AE2">
      <w:pPr>
        <w:pStyle w:val="Naslov5"/>
        <w:rPr>
          <w:rFonts w:eastAsia="Courier New"/>
        </w:rPr>
      </w:pPr>
      <w:bookmarkStart w:id="279" w:name="_Toc223093809"/>
      <w:r w:rsidRPr="00503014">
        <w:rPr>
          <w:rFonts w:eastAsia="Courier New"/>
        </w:rPr>
        <w:t>Splošno</w:t>
      </w:r>
      <w:bookmarkEnd w:id="279"/>
    </w:p>
    <w:p w14:paraId="21439B19" w14:textId="77777777" w:rsidR="00695AE2" w:rsidRPr="00462126" w:rsidRDefault="00695AE2" w:rsidP="00695AE2">
      <w:pPr>
        <w:pStyle w:val="Jasna"/>
      </w:pPr>
    </w:p>
    <w:p w14:paraId="39A1C3CE" w14:textId="77777777" w:rsidR="00695AE2" w:rsidRPr="00503014" w:rsidRDefault="00695AE2" w:rsidP="00695AE2">
      <w:pPr>
        <w:spacing w:line="240" w:lineRule="auto"/>
        <w:ind w:right="-5"/>
        <w:jc w:val="both"/>
        <w:rPr>
          <w:rFonts w:eastAsia="Courier New"/>
        </w:rPr>
      </w:pPr>
      <w:r w:rsidRPr="00503014">
        <w:rPr>
          <w:rFonts w:eastAsia="Courier New"/>
        </w:rPr>
        <w:t xml:space="preserve">V okviru nadzora nad delom višjih državnih odvetnikov, državnih odvetnikov in kandidatov za državne odvetnike se skladno z določbo četrtega odstavka 91. člena ZDOdv pregledujejo in ocenjujejo zakonitost in pravočasnost dela, smotrnost uporabe procesnih pooblastil in skladnost strokovnih odločitev z izdanimi splošnimi navodili. </w:t>
      </w:r>
    </w:p>
    <w:p w14:paraId="0DE198BF" w14:textId="77777777" w:rsidR="00695AE2" w:rsidRPr="00503014" w:rsidRDefault="00695AE2" w:rsidP="00695AE2">
      <w:pPr>
        <w:spacing w:line="240" w:lineRule="auto"/>
        <w:ind w:left="-5" w:right="-5" w:firstLine="5"/>
        <w:jc w:val="both"/>
      </w:pPr>
    </w:p>
    <w:p w14:paraId="22AD81E0" w14:textId="77777777" w:rsidR="00695AE2" w:rsidRPr="00503014" w:rsidRDefault="00695AE2" w:rsidP="00695AE2">
      <w:pPr>
        <w:spacing w:line="240" w:lineRule="auto"/>
        <w:ind w:left="-6" w:right="-6" w:firstLine="6"/>
        <w:jc w:val="both"/>
      </w:pPr>
      <w:r w:rsidRPr="00503014">
        <w:t xml:space="preserve">Ne glede na to, da določba 91. člena ZDOdv tega izrecno ne predvideva, lahko generalna državna odvetnica v odredbi o uvedbi nadzora določi, da naj se v okviru nadzora nad delom ugotavlja tudi, ali delo višjih državnih odvetnikov in kandidatov za državne odvetnike poteka </w:t>
      </w:r>
      <w:r w:rsidRPr="00503014">
        <w:rPr>
          <w:rFonts w:eastAsia="Courier New"/>
        </w:rPr>
        <w:t xml:space="preserve">skladno s stališči in priporočili delovnih skupin, sklepi kolegija generalnega državnega odvetnika in sklepi, sprejetimi na delovnih sestankih oddelkov, lahko pa odredi tudi preverjanje </w:t>
      </w:r>
      <w:r w:rsidRPr="00503014">
        <w:t xml:space="preserve">spoštovanja odredb generalnega državnega odvetnika, skozi katere se določba 50. člena ZDOdv implementira v prakso oziroma dejansko delovanje Državnega odvetništva RS. Generalni državni odvetnik je namreč skladno z določbo 50. člena ZDOdv funkcionar, ki vodi in predstavlja državno odvetništvo, organizira in usklajuje delo državnih odvetnikov ter odgovarja za zakonitost, kakovost in učinkovitost dela državnega odvetništva. Izvedba nadzora je eden od načinov, da lahko generalni državni odvetnik preveri, ali delo državnih odvetnikov dejansko poteka usklajeno. Skladno s 40. členom ZDOdv je kolegij državnega odvetništva posvetovalno telo, ki sprejema zlasti stališča o vprašanjih, pomembnih za enotno uporabo zakonov in enotno izvrševanje pristojnosti državnega odvetništva. 14. člen Pravilnika o poslovanju državnega odvetništva pa določa, da se zaradi usklajevanja dela in učinkovitega opravljanja zadev z delovnega področja državnega odvetništva, sprejemanja pravnih stališč do posameznih pravnih vprašanj, usklajevanja dela posameznih oddelkov, izboljšanja metod dela, strokovnega izpopolnjevanja in drugih vprašanj, ki so pomembna za delo državnega odvetništva, sklicuje kolegij državnega odvetništva ter sestanke enega, več ali vseh oddelkov ali drugih organizacijskih enot in imenuje stalne ali občasne delovne skupine. Predpisi, ki urejajo poslovanje in delo Državnega odvetništva RS, torej poenotenemu delu in usklajenemu ravnanju dajejo velik pomen, zato je, ne glede na to, da zakonske določbe o nadzoru tega izrecno ne vsebujejo, edino logično, da ima generalni državni odvetnik, upoštevaje svoje pristojnosti in odgovornost, možnost preverjanja in ugotavljanja usklajenega delovanja višjih državnih odvetnikov, državnih odvetnikov in kandidatov za državne odvetnike, za zagotovitev katerega so bila izdana stališča in priporočila delovnih skupin, sklepi kolegija generalnega državnega odvetnika in sklepi, sprejeti na delovnih sestankih oddelkov. Odredba, ki uvaja tudi nadzor nad upoštevanjem stališč in priporočil delovnih skupin, sklepov kolegija generalnega </w:t>
      </w:r>
      <w:r w:rsidRPr="00503014">
        <w:lastRenderedPageBreak/>
        <w:t xml:space="preserve">državnega odvetnika in sklepov, sprejetih na delovnih sestankih oddelkov, samo zato, ker takšne njene vsebine </w:t>
      </w:r>
      <w:r w:rsidRPr="00503014">
        <w:rPr>
          <w:rFonts w:eastAsia="Courier New"/>
        </w:rPr>
        <w:t xml:space="preserve">četrti odstavek 91. člena ZDOdv ni predvidel, </w:t>
      </w:r>
      <w:r w:rsidRPr="00503014">
        <w:t xml:space="preserve">ni nezakonita, saj njeno zakonito podlago predstavlja 50. člen ZDOdv, je pa od vprašanja pristojnosti generalnega državnega odvetnika za uvedbo nadzora tudi  omenjene vsebine (poleg vsebine, ki jo izrecno določa četrti odstavek 91. člena ZDOdv) vsekakor treba ločiti vprašanje, kakšne so za višje državne odvetnike in državne odvetnike (sploh) lahko posledice neupoštevanja </w:t>
      </w:r>
      <w:r w:rsidRPr="00503014">
        <w:rPr>
          <w:rFonts w:eastAsia="Courier New"/>
        </w:rPr>
        <w:t>stališč in priporočil delovnih skupin, sklepov kolegija generalnega državnega odvetnika in sklepov, sprejetih na delovnih sestankih oddelkov</w:t>
      </w:r>
      <w:r w:rsidRPr="00503014">
        <w:t xml:space="preserve">, če le-ti nimajo narave splošnega navodila. Med drugim je disciplinska kršitev glede na 4. točko drugega odstavka 80. člena ZDOdv lahko le ravnanje državnega odvetnika v nasprotju s splošnimi navodili generalnega državnega odvetnika; tretji odstavek 79. člena ZDOdv pa določa, da v okviru disciplinskega postopka ni dovoljeno posegati v samostojnost državnega odvetnika pri izvrševanju pristojnosti državnega odvetništva. Navedene zakonske določbe so tako tudi garant ureditve, kot izhaja iz prvega odstavka 16. člena ZDOdv, ki je umeščen v 1. oddelek II. poglavja z naslovom »Zastopanje pred sodišči in upravnimi organi v Republiki Sloveniji«, ki določa, da državni odvetnik (ne pa torej tudi kandidat za državnega odvetnika) samostojno opravlja naloge pravnega zastopanja v posamezni zadevi, to samostojnost pa lahko relativizira zgolj zakonska določba, pa še to zgolj določba ZDOdv (in noben drug podzakonski predpis ali akt). </w:t>
      </w:r>
    </w:p>
    <w:p w14:paraId="755C2179" w14:textId="77777777" w:rsidR="00695AE2" w:rsidRPr="00503014" w:rsidRDefault="00695AE2" w:rsidP="00695AE2">
      <w:pPr>
        <w:spacing w:line="240" w:lineRule="auto"/>
        <w:ind w:left="-6" w:right="-6" w:firstLine="6"/>
        <w:jc w:val="both"/>
      </w:pPr>
    </w:p>
    <w:p w14:paraId="6A7D1A83" w14:textId="77777777" w:rsidR="00695AE2" w:rsidRPr="00503014" w:rsidRDefault="00695AE2" w:rsidP="00695AE2">
      <w:pPr>
        <w:pStyle w:val="Naslov5"/>
        <w:rPr>
          <w:rFonts w:eastAsia="Calibri"/>
        </w:rPr>
      </w:pPr>
      <w:bookmarkStart w:id="280" w:name="_Toc223093810"/>
      <w:r w:rsidRPr="00503014">
        <w:rPr>
          <w:rFonts w:eastAsia="Calibri"/>
        </w:rPr>
        <w:t>Zakonitost in pravočasnost dela</w:t>
      </w:r>
      <w:bookmarkEnd w:id="280"/>
      <w:r w:rsidRPr="00503014">
        <w:rPr>
          <w:rFonts w:eastAsia="Calibri"/>
        </w:rPr>
        <w:t xml:space="preserve"> </w:t>
      </w:r>
    </w:p>
    <w:p w14:paraId="5C6F01A8" w14:textId="77777777" w:rsidR="00695AE2" w:rsidRPr="00503014" w:rsidRDefault="00695AE2" w:rsidP="00695AE2">
      <w:pPr>
        <w:spacing w:line="240" w:lineRule="auto"/>
        <w:jc w:val="both"/>
        <w:rPr>
          <w:rFonts w:eastAsia="Calibri"/>
        </w:rPr>
      </w:pPr>
    </w:p>
    <w:p w14:paraId="299F83B7" w14:textId="77777777" w:rsidR="00695AE2" w:rsidRPr="00503014" w:rsidRDefault="00695AE2" w:rsidP="00695AE2">
      <w:pPr>
        <w:spacing w:line="240" w:lineRule="auto"/>
        <w:ind w:right="-5"/>
        <w:jc w:val="both"/>
      </w:pPr>
      <w:r w:rsidRPr="00503014">
        <w:t>Višji državni odvetniki, državni odvetniki in kandidati za državne odvetnike morajo pri izvrševanju pristojnosti Državnega odvetništva ravnati zakonito.</w:t>
      </w:r>
    </w:p>
    <w:p w14:paraId="678CDCB8" w14:textId="77777777" w:rsidR="00695AE2" w:rsidRPr="00503014" w:rsidRDefault="00695AE2" w:rsidP="00695AE2">
      <w:pPr>
        <w:spacing w:line="240" w:lineRule="auto"/>
        <w:ind w:right="-5"/>
        <w:jc w:val="both"/>
        <w:rPr>
          <w:rFonts w:eastAsia="Calibri"/>
        </w:rPr>
      </w:pPr>
    </w:p>
    <w:p w14:paraId="21FC657F" w14:textId="77777777" w:rsidR="00695AE2" w:rsidRPr="00503014" w:rsidRDefault="00695AE2" w:rsidP="00695AE2">
      <w:pPr>
        <w:spacing w:line="240" w:lineRule="auto"/>
        <w:jc w:val="both"/>
      </w:pPr>
      <w:r w:rsidRPr="00503014">
        <w:t>V okvir zakonitosti dela po določbi 3. člena ZDOdv, ki določa načela delovanja Državnega odvetništva RS, spada tudi upoštevanje interesov zastopane stranke, načelo medsebojnega zaupanja, ščitenje premoženjskih in drugih pravic in interesov Republike Slovenije in s tem krepitev delovanja pravne države, z namenom razbremenitve dela sodišč pa tudi zavzemanje za mirno reševanje sporov v predhodnem postopku.</w:t>
      </w:r>
    </w:p>
    <w:p w14:paraId="6ACE8D21" w14:textId="77777777" w:rsidR="00695AE2" w:rsidRPr="00503014" w:rsidRDefault="00695AE2" w:rsidP="00695AE2">
      <w:pPr>
        <w:spacing w:line="240" w:lineRule="auto"/>
        <w:jc w:val="both"/>
      </w:pPr>
    </w:p>
    <w:p w14:paraId="11091C95" w14:textId="77777777" w:rsidR="00695AE2" w:rsidRPr="00503014" w:rsidRDefault="00695AE2" w:rsidP="00695AE2">
      <w:pPr>
        <w:spacing w:line="240" w:lineRule="auto"/>
        <w:jc w:val="both"/>
      </w:pPr>
      <w:r w:rsidRPr="00503014">
        <w:t xml:space="preserve">Nadzorne komisije so zato pozorne, ali iz vsebine spisa izhajajo kakršnikoli indici, da nosilec spisa v konkretni zadevi ne bi ščitil premoženjskih in drugih pravic in interesov Republike Slovenije. Nosilec spisa mora upoštevati tudi interese zastopanega subjekta, v skladu z načelom medsebojnega zaupanja, ter v tem okviru tudi njegovo opredelitev do zahtevka oziroma informacije, ki jih je podal v zvezi s tem. V okviru nadzora nad delom se tako ugotovi tudi, ali je sodelovanje </w:t>
      </w:r>
      <w:r w:rsidRPr="00503014">
        <w:rPr>
          <w:rFonts w:eastAsia="Calibri"/>
        </w:rPr>
        <w:t>v</w:t>
      </w:r>
      <w:r w:rsidRPr="00503014">
        <w:t>išjega državnega odvetnika, državnega odvetnika in kandidata za državnega odvetnika z zastopanim subjektom potekalo skladno z določili ZDOdv. Na to področje zakon sega v svojih 16. in 17. členu.</w:t>
      </w:r>
    </w:p>
    <w:p w14:paraId="259A41B1" w14:textId="77777777" w:rsidR="00695AE2" w:rsidRPr="00503014" w:rsidRDefault="00695AE2" w:rsidP="00695AE2">
      <w:pPr>
        <w:spacing w:line="240" w:lineRule="auto"/>
        <w:jc w:val="both"/>
      </w:pPr>
    </w:p>
    <w:p w14:paraId="29D6FAAB" w14:textId="77777777" w:rsidR="00695AE2" w:rsidRPr="00503014" w:rsidRDefault="00695AE2" w:rsidP="00695AE2">
      <w:pPr>
        <w:spacing w:line="240" w:lineRule="auto"/>
        <w:jc w:val="both"/>
      </w:pPr>
      <w:r w:rsidRPr="00503014">
        <w:t xml:space="preserve">16. člen ZDOdv poleg že izpostavljene samostojnosti državnega odvetnika ureja tudi pridobitev informacij v zadevi ter potrebnost obstoja soglasja državnega odvetnika in zastopanega subjekta glede začetka postopka ali vključitve v postopek, pripoznanja zahtevka, odpovedi zahtevku, poravnave, umika tožbe ali drugega začetnega procesnega akta ter vložitve, odpovedi ali umika pravnega sredstva, prav tako pa tudi nadaljnji postopek v primeru, da državni odvetnik in zastopani subjekt soglasja o naštetih procesnih aktih ne dosežeta. </w:t>
      </w:r>
    </w:p>
    <w:p w14:paraId="375B4405" w14:textId="77777777" w:rsidR="00695AE2" w:rsidRPr="00503014" w:rsidRDefault="00695AE2" w:rsidP="00695AE2">
      <w:pPr>
        <w:spacing w:line="240" w:lineRule="auto"/>
        <w:jc w:val="both"/>
      </w:pPr>
    </w:p>
    <w:p w14:paraId="434D3BBF" w14:textId="77777777" w:rsidR="00695AE2" w:rsidRPr="00503014" w:rsidRDefault="00695AE2" w:rsidP="00695AE2">
      <w:pPr>
        <w:spacing w:line="240" w:lineRule="auto"/>
        <w:jc w:val="both"/>
      </w:pPr>
      <w:r w:rsidRPr="00503014">
        <w:lastRenderedPageBreak/>
        <w:t xml:space="preserve">17. člen ZDOdv določa, da Državno odvetništvo RS zastopanim subjektom redno in na njihovo zahtevo poroča o zadevah, v katerih jih zastopa, torej v zadevah, ki se že obravnavajo pred sodišči (člen je umeščen  v 1. oddelek II. poglavja z naslovom »Zastopanje pred sodišči in upravnimi organi v Republiki Sloveniji«). Če pa gre za predhodni postopek poskusa mirne rešitve spora (5. oddelek II. poglavja), pa zakon sodelovanje med državnim odvetnikom in zastopanim subjektom izrecno ureja le v delu, ki se nanaša na doseganje soglasja o sklenitvi sporazuma v predhodnem postopku (prvi odstavek 32., drugi odstavek 33. ter 34. člen ZDOdv). Ker pa Državno odvetništvo RS sámo nima informacij o potencialnem sporu med predlagatelji prehodnih postopkov in državnimi organi, to seveda predpostavlja sodelovanje državnega odvetnika in zastopanega subjekta v predhodnih postopkih poskusa mirne rešitve spornega razmerja na enako ali vsaj bistveno podoben način kot v zadevah zastopanja pred sodišči in upravnimi organi v Republiki Sloveniji. </w:t>
      </w:r>
    </w:p>
    <w:p w14:paraId="04F9F69E" w14:textId="77777777" w:rsidR="00695AE2" w:rsidRPr="00503014" w:rsidRDefault="00695AE2" w:rsidP="00695AE2">
      <w:pPr>
        <w:spacing w:line="240" w:lineRule="auto"/>
        <w:jc w:val="both"/>
      </w:pPr>
    </w:p>
    <w:p w14:paraId="0476B1EA" w14:textId="77777777" w:rsidR="00695AE2" w:rsidRPr="00503014" w:rsidRDefault="00695AE2" w:rsidP="00695AE2">
      <w:pPr>
        <w:spacing w:line="240" w:lineRule="auto"/>
        <w:jc w:val="both"/>
      </w:pPr>
      <w:r w:rsidRPr="00503014">
        <w:t>Ker po določbi drugega odstavka 2. člena ZDOdv Državno odvetništvo RS opravlja strokovne naloge na področju varstva premoženjskih in drugih pravic in interesov države prek pravnega zastopanja pred sodišči in upravnimi organi v Republiki Sloveniji, pred tujimi sodišči in tujimi arbitražami ter mednarodnimi sodišči in mednarodnim arbitražami, po tretjem odstavku 2. člena pa opravlja tudi naloge pravnega svetovanja, mirnega reševanja sporov v predhodnem postopku in druge naloge, določene s tem ali drugimi zakoni, naj ob upoštevanju četrtega oddelka II. poglavja (pravno svetovanje in oblikovanje pravnih mnenj) in njegovega 24. člena, ki določa, da Državno odvetništvo RS državi in državnim organom svetuje v premoženjskopravnih zadevah, nadzorna komisija nadzor opravi tudi v tem pogledu.</w:t>
      </w:r>
    </w:p>
    <w:p w14:paraId="58941F6B" w14:textId="77777777" w:rsidR="00695AE2" w:rsidRPr="00503014" w:rsidRDefault="00695AE2" w:rsidP="00695AE2">
      <w:pPr>
        <w:spacing w:line="240" w:lineRule="auto"/>
        <w:jc w:val="both"/>
      </w:pPr>
    </w:p>
    <w:p w14:paraId="45863BAA" w14:textId="77777777" w:rsidR="00695AE2" w:rsidRPr="00503014" w:rsidRDefault="00695AE2" w:rsidP="00695AE2">
      <w:pPr>
        <w:spacing w:line="240" w:lineRule="auto"/>
        <w:jc w:val="both"/>
      </w:pPr>
      <w:r w:rsidRPr="00503014">
        <w:t xml:space="preserve">Prav tako je nadzorna komisija pozorna, ali se je nosilec spisa dejansko zavzemal za mirno reševanje sporov v predhodnem postopku z namenom razbremenitve dela sodišč in je v ta namen postopek izvedel tudi vsebinsko. </w:t>
      </w:r>
    </w:p>
    <w:p w14:paraId="49ABC2E5" w14:textId="77777777" w:rsidR="00695AE2" w:rsidRPr="00503014" w:rsidRDefault="00695AE2" w:rsidP="00695AE2">
      <w:pPr>
        <w:spacing w:line="240" w:lineRule="auto"/>
        <w:jc w:val="both"/>
      </w:pPr>
    </w:p>
    <w:p w14:paraId="5D60B8BC" w14:textId="77777777" w:rsidR="00695AE2" w:rsidRPr="00503014" w:rsidRDefault="00695AE2" w:rsidP="00695AE2">
      <w:pPr>
        <w:spacing w:line="240" w:lineRule="auto"/>
        <w:jc w:val="both"/>
      </w:pPr>
      <w:r w:rsidRPr="00503014">
        <w:t xml:space="preserve">Nadzorna komisija je pozorna tudi, ali so bile spoštovane določbe 28.–30. člena ZDOdv o načelu vestnosti in poštenja, zaupnosti podatkov ter dopustnosti dokazov v drugem postopku s strani nosilca spisa. </w:t>
      </w:r>
    </w:p>
    <w:p w14:paraId="629BF390" w14:textId="77777777" w:rsidR="00695AE2" w:rsidRPr="00503014" w:rsidRDefault="00695AE2" w:rsidP="00695AE2">
      <w:pPr>
        <w:spacing w:line="240" w:lineRule="auto"/>
        <w:ind w:right="-5"/>
        <w:jc w:val="both"/>
        <w:rPr>
          <w:rFonts w:eastAsia="Calibri"/>
        </w:rPr>
      </w:pPr>
    </w:p>
    <w:p w14:paraId="13DBD167" w14:textId="77777777" w:rsidR="00695AE2" w:rsidRPr="00503014" w:rsidRDefault="00695AE2" w:rsidP="00695AE2">
      <w:pPr>
        <w:spacing w:line="240" w:lineRule="auto"/>
        <w:ind w:right="-5"/>
        <w:jc w:val="both"/>
      </w:pPr>
      <w:r w:rsidRPr="00503014">
        <w:rPr>
          <w:rFonts w:eastAsia="Calibri"/>
        </w:rPr>
        <w:t xml:space="preserve">Pri zakonitem ravnanju pa seveda ni podlaga le ZDOdv, glede katerega sicer lahko nadzorna komisija ugotavlja tudi druge sklope zakonitosti ravnanja in ne samo zgoraj predlaganih, temveč je potrebno poznavanje vseh predpisov, to je Ustave RS, zakonov in podzakonskih predpisov ter mednarodno ratificiranih dokumentov. </w:t>
      </w:r>
    </w:p>
    <w:p w14:paraId="72FD1A15" w14:textId="77777777" w:rsidR="00695AE2" w:rsidRPr="00503014" w:rsidRDefault="00695AE2" w:rsidP="00695AE2">
      <w:pPr>
        <w:spacing w:line="240" w:lineRule="auto"/>
        <w:jc w:val="both"/>
        <w:rPr>
          <w:rFonts w:eastAsia="Calibri"/>
        </w:rPr>
      </w:pPr>
    </w:p>
    <w:p w14:paraId="72DE8446" w14:textId="77777777" w:rsidR="00695AE2" w:rsidRPr="00503014" w:rsidRDefault="00695AE2" w:rsidP="00695AE2">
      <w:pPr>
        <w:spacing w:line="240" w:lineRule="auto"/>
        <w:jc w:val="both"/>
        <w:rPr>
          <w:rFonts w:eastAsia="Calibri"/>
        </w:rPr>
      </w:pPr>
      <w:r w:rsidRPr="00503014">
        <w:rPr>
          <w:rFonts w:eastAsia="Calibri"/>
        </w:rPr>
        <w:t xml:space="preserve">Glede pravočasnosti pri delu gre za spoštovanje rokov, zato se med drugim preverja tudi, ali  </w:t>
      </w:r>
      <w:r w:rsidRPr="00503014">
        <w:t>so bili spoštovani roki, ki jih določa ZDOdv v zvezi s predhodnim postopkom poskusa mirne rešitve spora,</w:t>
      </w:r>
      <w:r w:rsidRPr="00503014">
        <w:rPr>
          <w:rFonts w:eastAsia="Calibri"/>
        </w:rPr>
        <w:t xml:space="preserve"> ter ali so bila dejanja, glede katerih so predpisani prekluzivni roki in jih je nosilec spisa, upoštevaje tudi tretji, četrti, peti in šesti odstavek 16. člena ZDOdv, moral opraviti, opravljena pravočasno. Prav tako nadzorna komisija ugotavlja, ali delo na zadevah poteka tekoče. </w:t>
      </w:r>
    </w:p>
    <w:p w14:paraId="5D8559F4" w14:textId="77777777" w:rsidR="00695AE2" w:rsidRPr="00503014" w:rsidRDefault="00695AE2" w:rsidP="00695AE2">
      <w:pPr>
        <w:spacing w:line="240" w:lineRule="auto"/>
        <w:jc w:val="both"/>
        <w:rPr>
          <w:rFonts w:eastAsia="Calibri"/>
        </w:rPr>
      </w:pPr>
    </w:p>
    <w:p w14:paraId="5FD8CE77" w14:textId="77777777" w:rsidR="00695AE2" w:rsidRPr="00503014" w:rsidRDefault="00695AE2" w:rsidP="00695AE2">
      <w:pPr>
        <w:pStyle w:val="Naslov5"/>
        <w:rPr>
          <w:rFonts w:eastAsia="Calibri"/>
        </w:rPr>
      </w:pPr>
      <w:bookmarkStart w:id="281" w:name="_Toc223093811"/>
      <w:r w:rsidRPr="00503014">
        <w:rPr>
          <w:rFonts w:eastAsia="Calibri"/>
        </w:rPr>
        <w:t>Smotrnost uporabe procesnih pooblastil</w:t>
      </w:r>
      <w:bookmarkEnd w:id="281"/>
    </w:p>
    <w:p w14:paraId="1B75897E" w14:textId="77777777" w:rsidR="00695AE2" w:rsidRPr="00503014" w:rsidRDefault="00695AE2" w:rsidP="00695AE2">
      <w:pPr>
        <w:spacing w:line="240" w:lineRule="auto"/>
        <w:jc w:val="both"/>
        <w:rPr>
          <w:rFonts w:eastAsia="Calibri"/>
        </w:rPr>
      </w:pPr>
    </w:p>
    <w:p w14:paraId="07286D96" w14:textId="77777777" w:rsidR="00695AE2" w:rsidRPr="00503014" w:rsidRDefault="00695AE2" w:rsidP="00695AE2">
      <w:pPr>
        <w:spacing w:line="240" w:lineRule="auto"/>
        <w:jc w:val="both"/>
      </w:pPr>
      <w:r w:rsidRPr="00503014">
        <w:lastRenderedPageBreak/>
        <w:t xml:space="preserve">Pregled in ocena smotrnosti uporabe procesnih pooblastil pride v poštev v primerih, ko je tip postopka že sodni postopek. </w:t>
      </w:r>
      <w:r w:rsidRPr="00503014">
        <w:rPr>
          <w:rFonts w:eastAsia="Calibri"/>
        </w:rPr>
        <w:t>Ta vidik je v veliki meri odvisen od strokovnosti posameznika in njegovega poznavanja procesnih zakonov</w:t>
      </w:r>
      <w:r w:rsidRPr="00503014">
        <w:t xml:space="preserve">. </w:t>
      </w:r>
    </w:p>
    <w:p w14:paraId="3500B98F" w14:textId="77777777" w:rsidR="00695AE2" w:rsidRPr="00503014" w:rsidRDefault="00695AE2" w:rsidP="00695AE2">
      <w:pPr>
        <w:spacing w:line="240" w:lineRule="auto"/>
        <w:jc w:val="both"/>
      </w:pPr>
    </w:p>
    <w:p w14:paraId="77DB60E9" w14:textId="77777777" w:rsidR="00695AE2" w:rsidRPr="00503014" w:rsidRDefault="00695AE2" w:rsidP="00695AE2">
      <w:pPr>
        <w:spacing w:line="240" w:lineRule="auto"/>
        <w:jc w:val="both"/>
      </w:pPr>
      <w:r w:rsidRPr="00503014">
        <w:t xml:space="preserve">Če gre v posamezni pregledani zadevi za predhodni postopek poskusa mirne rešitve spora, ta kriterij ni relevanten oziroma je potrebna njegova smiselna implementacija. </w:t>
      </w:r>
    </w:p>
    <w:p w14:paraId="3621D32A" w14:textId="77777777" w:rsidR="00695AE2" w:rsidRPr="00503014" w:rsidRDefault="00695AE2" w:rsidP="00695AE2">
      <w:pPr>
        <w:spacing w:line="240" w:lineRule="auto"/>
        <w:jc w:val="both"/>
      </w:pPr>
    </w:p>
    <w:p w14:paraId="4AAECA4C" w14:textId="77777777" w:rsidR="00695AE2" w:rsidRPr="00503014" w:rsidRDefault="00695AE2" w:rsidP="00695AE2">
      <w:pPr>
        <w:pStyle w:val="Naslov5"/>
      </w:pPr>
      <w:bookmarkStart w:id="282" w:name="_Toc223093812"/>
      <w:r w:rsidRPr="00503014">
        <w:rPr>
          <w:rFonts w:eastAsia="Calibri"/>
        </w:rPr>
        <w:t>Skladnost strokovnih odločitev z izdanimi splošnimi navodili</w:t>
      </w:r>
      <w:bookmarkEnd w:id="282"/>
    </w:p>
    <w:p w14:paraId="2E93AFDC" w14:textId="77777777" w:rsidR="00695AE2" w:rsidRPr="00503014" w:rsidRDefault="00695AE2" w:rsidP="00695AE2">
      <w:pPr>
        <w:spacing w:line="240" w:lineRule="auto"/>
        <w:jc w:val="both"/>
      </w:pPr>
    </w:p>
    <w:p w14:paraId="72CE5420" w14:textId="77777777" w:rsidR="00695AE2" w:rsidRPr="00503014" w:rsidRDefault="00695AE2" w:rsidP="00695AE2">
      <w:pPr>
        <w:spacing w:line="240" w:lineRule="auto"/>
        <w:jc w:val="both"/>
      </w:pPr>
      <w:r w:rsidRPr="00503014">
        <w:t xml:space="preserve">Nadzorna komisija ugotovi, ali se na konkretno pregledovano zadevo nanaša kakšno splošno navodilo generalnega državnega odvetnika, izdano po tretjem odstavku 50. člena ZDOdv, in če ugotovi, da se, izvede tudi oceno skladnosti strokovnih odločitev z izdanimi splošnimi navodili. Navedena vsebina je posebej aktualna v primeru delnih ali posamičnih nadzorov. </w:t>
      </w:r>
    </w:p>
    <w:p w14:paraId="707E3B38" w14:textId="77777777" w:rsidR="00695AE2" w:rsidRPr="00503014" w:rsidRDefault="00695AE2" w:rsidP="00695AE2">
      <w:pPr>
        <w:spacing w:line="240" w:lineRule="auto"/>
        <w:jc w:val="both"/>
        <w:rPr>
          <w:bCs/>
        </w:rPr>
      </w:pPr>
    </w:p>
    <w:p w14:paraId="35B2CD41" w14:textId="77777777" w:rsidR="00695AE2" w:rsidRPr="00503014" w:rsidRDefault="00695AE2" w:rsidP="00695AE2">
      <w:pPr>
        <w:spacing w:line="240" w:lineRule="auto"/>
        <w:jc w:val="both"/>
        <w:rPr>
          <w:rFonts w:eastAsia="Calibri"/>
        </w:rPr>
      </w:pPr>
      <w:r w:rsidRPr="00503014">
        <w:rPr>
          <w:rFonts w:eastAsia="Calibri"/>
        </w:rPr>
        <w:t xml:space="preserve">Stališča in priporočila posameznih delovnih skupin in sklepi kolegija državnega odvetništva so objavljena na intranetu in so tako dostopna vsem pravnikom, ki naj bi jih pri svojem delu tudi upoštevali, kar se sicer, kot je bilo pojasnjeno že zgoraj, lahko preverja tudi v okviru nadzora nad delom. </w:t>
      </w:r>
    </w:p>
    <w:p w14:paraId="2778FE79" w14:textId="77777777" w:rsidR="00695AE2" w:rsidRPr="00503014" w:rsidRDefault="00695AE2" w:rsidP="00695AE2">
      <w:pPr>
        <w:spacing w:line="240" w:lineRule="auto"/>
        <w:jc w:val="both"/>
      </w:pPr>
    </w:p>
    <w:p w14:paraId="67C722D9" w14:textId="77777777" w:rsidR="00695AE2" w:rsidRPr="00503014" w:rsidRDefault="00695AE2" w:rsidP="00695AE2">
      <w:pPr>
        <w:pStyle w:val="Naslov5"/>
      </w:pPr>
      <w:bookmarkStart w:id="283" w:name="_Toc223093813"/>
      <w:r w:rsidRPr="00503014">
        <w:rPr>
          <w:rFonts w:eastAsia="Calibri"/>
        </w:rPr>
        <w:t>Sklepno načelno mnenje nadzorne komisije</w:t>
      </w:r>
      <w:bookmarkEnd w:id="283"/>
    </w:p>
    <w:p w14:paraId="5D90D631" w14:textId="77777777" w:rsidR="00695AE2" w:rsidRPr="00503014" w:rsidRDefault="00695AE2" w:rsidP="00695AE2">
      <w:pPr>
        <w:spacing w:line="240" w:lineRule="auto"/>
        <w:jc w:val="both"/>
      </w:pPr>
    </w:p>
    <w:p w14:paraId="1875FD34" w14:textId="77777777" w:rsidR="00695AE2" w:rsidRPr="00503014" w:rsidRDefault="00695AE2" w:rsidP="00695AE2">
      <w:pPr>
        <w:spacing w:line="240" w:lineRule="auto"/>
        <w:jc w:val="both"/>
      </w:pPr>
      <w:r w:rsidRPr="00503014">
        <w:t>Nadzorna komisija po pregledu posamezne zadeve, upoštevaje  temeljna načela delovanja Državnega odvetništva iz 3. člena ZDOdv, in sicer:</w:t>
      </w:r>
    </w:p>
    <w:p w14:paraId="017F80D9" w14:textId="77777777" w:rsidR="00695AE2" w:rsidRPr="00503014" w:rsidRDefault="00695AE2" w:rsidP="00695AE2">
      <w:pPr>
        <w:spacing w:line="240" w:lineRule="auto"/>
        <w:ind w:left="720"/>
        <w:contextualSpacing/>
        <w:jc w:val="both"/>
      </w:pPr>
    </w:p>
    <w:p w14:paraId="137EA6DA" w14:textId="77777777" w:rsidR="00695AE2" w:rsidRPr="00503014" w:rsidRDefault="00695AE2" w:rsidP="00695AE2">
      <w:pPr>
        <w:numPr>
          <w:ilvl w:val="0"/>
          <w:numId w:val="72"/>
        </w:numPr>
        <w:spacing w:line="240" w:lineRule="auto"/>
        <w:contextualSpacing/>
        <w:jc w:val="both"/>
      </w:pPr>
      <w:r w:rsidRPr="00503014">
        <w:t xml:space="preserve">ali je nosilec pri vodenju zadeve zasledoval cilje in poslanstvo Državnega odvetništva;  </w:t>
      </w:r>
    </w:p>
    <w:p w14:paraId="7CD3BE80" w14:textId="77777777" w:rsidR="00695AE2" w:rsidRPr="00503014" w:rsidRDefault="00695AE2" w:rsidP="00695AE2">
      <w:pPr>
        <w:numPr>
          <w:ilvl w:val="0"/>
          <w:numId w:val="72"/>
        </w:numPr>
        <w:spacing w:line="240" w:lineRule="auto"/>
        <w:contextualSpacing/>
        <w:jc w:val="both"/>
      </w:pPr>
      <w:r w:rsidRPr="00503014">
        <w:t xml:space="preserve">ali si je nosilec pri obravnavanju zadeve prizadeval za zaščito premoženjskih in drugih interesov Republike Slovenije; </w:t>
      </w:r>
    </w:p>
    <w:p w14:paraId="624040E0" w14:textId="77777777" w:rsidR="00695AE2" w:rsidRPr="00503014" w:rsidRDefault="00695AE2" w:rsidP="00695AE2">
      <w:pPr>
        <w:numPr>
          <w:ilvl w:val="0"/>
          <w:numId w:val="72"/>
        </w:numPr>
        <w:spacing w:line="240" w:lineRule="auto"/>
        <w:contextualSpacing/>
        <w:jc w:val="both"/>
      </w:pPr>
      <w:r w:rsidRPr="00503014">
        <w:t>ali je nosilec pri obravnavanju zadeve upošteval interese zastopanega subjekta in uresničeval načelo medsebojnega zaupanja;</w:t>
      </w:r>
    </w:p>
    <w:p w14:paraId="5605CA15" w14:textId="77777777" w:rsidR="00695AE2" w:rsidRPr="00503014" w:rsidRDefault="00695AE2" w:rsidP="00695AE2">
      <w:pPr>
        <w:numPr>
          <w:ilvl w:val="0"/>
          <w:numId w:val="72"/>
        </w:numPr>
        <w:spacing w:line="240" w:lineRule="auto"/>
        <w:contextualSpacing/>
        <w:jc w:val="both"/>
        <w:rPr>
          <w:rFonts w:eastAsia="Calibri"/>
        </w:rPr>
      </w:pPr>
      <w:r w:rsidRPr="00503014">
        <w:rPr>
          <w:rFonts w:eastAsia="Calibri"/>
        </w:rPr>
        <w:t>ali je iz spisa razvidno prizadevanje nosilca, da bi se spor rešil čim hitreje;</w:t>
      </w:r>
    </w:p>
    <w:p w14:paraId="3726795F" w14:textId="77777777" w:rsidR="00695AE2" w:rsidRPr="00503014" w:rsidRDefault="00695AE2" w:rsidP="00695AE2">
      <w:pPr>
        <w:numPr>
          <w:ilvl w:val="0"/>
          <w:numId w:val="72"/>
        </w:numPr>
        <w:spacing w:line="240" w:lineRule="auto"/>
        <w:contextualSpacing/>
        <w:jc w:val="both"/>
        <w:rPr>
          <w:rFonts w:eastAsia="Calibri"/>
        </w:rPr>
      </w:pPr>
      <w:r w:rsidRPr="00503014">
        <w:rPr>
          <w:rFonts w:eastAsia="Calibri"/>
        </w:rPr>
        <w:t>ali je iz spisa razvidno prizadevanje nosilca zadeve, da bi se spor rešil po mirni poti (če bi bilo to mogoče oziroma smiselno)</w:t>
      </w:r>
    </w:p>
    <w:p w14:paraId="5A0B0102" w14:textId="77777777" w:rsidR="00695AE2" w:rsidRPr="00503014" w:rsidRDefault="00695AE2" w:rsidP="00695AE2">
      <w:pPr>
        <w:spacing w:line="240" w:lineRule="auto"/>
        <w:ind w:left="360"/>
        <w:contextualSpacing/>
        <w:jc w:val="both"/>
      </w:pPr>
    </w:p>
    <w:p w14:paraId="73329F36" w14:textId="77777777" w:rsidR="00695AE2" w:rsidRPr="00503014" w:rsidRDefault="00695AE2" w:rsidP="00695AE2">
      <w:pPr>
        <w:spacing w:line="240" w:lineRule="auto"/>
        <w:jc w:val="both"/>
      </w:pPr>
      <w:bookmarkStart w:id="284" w:name="_Hlk212558986"/>
      <w:r w:rsidRPr="00503014">
        <w:t>poda sklepno načelno mnenje o obravnavanju zadeve. Če nadzorna komisija v posamezni pregledovani zadevi, upoštevaje zgoraj navedene predpostavke, oceni, da nosilec zadeve ne zasleduje uresničevanje načel delovanja Državnega odvetništva, lahko še pred izdelavo poročila o nadzoru pridobi pojasnila nosilca zadeve.</w:t>
      </w:r>
    </w:p>
    <w:bookmarkEnd w:id="284"/>
    <w:p w14:paraId="7812D3A0" w14:textId="77777777" w:rsidR="00695AE2" w:rsidRPr="00503014" w:rsidRDefault="00695AE2" w:rsidP="00695AE2">
      <w:pPr>
        <w:spacing w:line="240" w:lineRule="auto"/>
        <w:ind w:left="720"/>
        <w:contextualSpacing/>
        <w:jc w:val="both"/>
      </w:pPr>
    </w:p>
    <w:p w14:paraId="054D8874" w14:textId="77777777" w:rsidR="00695AE2" w:rsidRPr="00503014" w:rsidRDefault="00695AE2" w:rsidP="00695AE2">
      <w:pPr>
        <w:spacing w:line="240" w:lineRule="auto"/>
        <w:jc w:val="both"/>
      </w:pPr>
      <w:r w:rsidRPr="00503014">
        <w:t>Če mnenja ni mogoče podati ali ga zaradi posebnosti v zvezi s posameznim kriterijem ni mogoče podati celovito, nadzorna komisija to na kratko pojasni; prav tako na kratko pojasni razloge, zakaj je podala oceno, da se 3. člen ZDOdv pri obravnavi posamezne konkretne zadeve ne izvaja.</w:t>
      </w:r>
    </w:p>
    <w:bookmarkEnd w:id="277"/>
    <w:p w14:paraId="0A789034" w14:textId="77777777" w:rsidR="00695AE2" w:rsidRPr="00503014" w:rsidRDefault="00695AE2" w:rsidP="00695AE2">
      <w:pPr>
        <w:spacing w:line="240" w:lineRule="auto"/>
        <w:ind w:left="57"/>
        <w:jc w:val="both"/>
      </w:pPr>
    </w:p>
    <w:p w14:paraId="4E40C7FF" w14:textId="77777777" w:rsidR="00695AE2" w:rsidRPr="00503014" w:rsidRDefault="00695AE2" w:rsidP="00695AE2">
      <w:pPr>
        <w:spacing w:line="240" w:lineRule="auto"/>
        <w:ind w:left="57"/>
        <w:jc w:val="both"/>
      </w:pPr>
      <w:r w:rsidRPr="00503014">
        <w:t xml:space="preserve">Po določbi 93. člena ZDOdv je, če se pri nadzoru ugotovijo pomanjkljivosti ali večji obseg nepravilnosti, v končnem poročilu o  nadzoru treba predlagati ustrezne ukrepe in določiti rok za njihovo odpravo.  Po preteku roka se opravi kontrolni pregled izvršitve ukrepov in preveri njihov učinek. </w:t>
      </w:r>
    </w:p>
    <w:p w14:paraId="4FD2D1F9" w14:textId="77777777" w:rsidR="00695AE2" w:rsidRPr="00503014" w:rsidRDefault="00695AE2" w:rsidP="00695AE2">
      <w:pPr>
        <w:pStyle w:val="Naslov4"/>
      </w:pPr>
      <w:bookmarkStart w:id="285" w:name="_Toc223093814"/>
      <w:r w:rsidRPr="00503014">
        <w:lastRenderedPageBreak/>
        <w:t>Nadzor nad poslovanjem</w:t>
      </w:r>
      <w:bookmarkEnd w:id="285"/>
      <w:r w:rsidRPr="00503014">
        <w:t xml:space="preserve"> </w:t>
      </w:r>
    </w:p>
    <w:p w14:paraId="65CE1233" w14:textId="77777777" w:rsidR="00695AE2" w:rsidRPr="00503014" w:rsidRDefault="00695AE2" w:rsidP="00695AE2">
      <w:pPr>
        <w:pStyle w:val="Jasna"/>
      </w:pPr>
    </w:p>
    <w:p w14:paraId="2D9D1914" w14:textId="77777777" w:rsidR="00695AE2" w:rsidRPr="00503014" w:rsidRDefault="00695AE2" w:rsidP="00695AE2">
      <w:pPr>
        <w:pStyle w:val="Naslov5"/>
      </w:pPr>
      <w:bookmarkStart w:id="286" w:name="_Toc223093815"/>
      <w:r w:rsidRPr="00503014">
        <w:t>Namen izvajanja nadzora nad poslovanjem</w:t>
      </w:r>
      <w:bookmarkEnd w:id="286"/>
    </w:p>
    <w:p w14:paraId="7ED7D2FA" w14:textId="77777777" w:rsidR="00695AE2" w:rsidRPr="00503014" w:rsidRDefault="00695AE2" w:rsidP="00695AE2">
      <w:pPr>
        <w:spacing w:line="240" w:lineRule="auto"/>
        <w:jc w:val="both"/>
      </w:pPr>
    </w:p>
    <w:p w14:paraId="38C5C24C" w14:textId="77777777" w:rsidR="00695AE2" w:rsidRPr="00503014" w:rsidRDefault="00695AE2" w:rsidP="00695AE2">
      <w:pPr>
        <w:spacing w:line="240" w:lineRule="auto"/>
        <w:jc w:val="both"/>
      </w:pPr>
      <w:r w:rsidRPr="00503014">
        <w:t xml:space="preserve">Namen izvajanja nadzora nad poslovanjem je pregled in ocena poslovanja, kakor je opredeljeno v ZDOdv in v podzakonskih aktih, ki urejajo poslovanje državnega odvetništva. </w:t>
      </w:r>
    </w:p>
    <w:p w14:paraId="15BBB2A8" w14:textId="77777777" w:rsidR="00695AE2" w:rsidRPr="00503014" w:rsidRDefault="00695AE2" w:rsidP="00695AE2">
      <w:pPr>
        <w:spacing w:line="240" w:lineRule="auto"/>
        <w:jc w:val="both"/>
      </w:pPr>
    </w:p>
    <w:p w14:paraId="5CC190B9" w14:textId="77777777" w:rsidR="00695AE2" w:rsidRPr="00503014" w:rsidRDefault="00695AE2" w:rsidP="00695AE2">
      <w:pPr>
        <w:spacing w:line="240" w:lineRule="auto"/>
        <w:jc w:val="both"/>
      </w:pPr>
      <w:r w:rsidRPr="00503014">
        <w:t>Nadzor nad poslovanjem državnega odvetništva se izvaja zlasti v obliki pregleda:</w:t>
      </w:r>
    </w:p>
    <w:p w14:paraId="08DA042B" w14:textId="77777777" w:rsidR="00695AE2" w:rsidRPr="00503014" w:rsidRDefault="00695AE2" w:rsidP="00695AE2">
      <w:pPr>
        <w:numPr>
          <w:ilvl w:val="0"/>
          <w:numId w:val="48"/>
        </w:numPr>
        <w:spacing w:line="240" w:lineRule="auto"/>
        <w:contextualSpacing/>
        <w:jc w:val="both"/>
      </w:pPr>
      <w:r w:rsidRPr="00503014">
        <w:t>nad poslovanjem državnega odvetništva;</w:t>
      </w:r>
    </w:p>
    <w:p w14:paraId="2EDE9BDF" w14:textId="77777777" w:rsidR="00695AE2" w:rsidRPr="00503014" w:rsidRDefault="00695AE2" w:rsidP="00695AE2">
      <w:pPr>
        <w:numPr>
          <w:ilvl w:val="0"/>
          <w:numId w:val="48"/>
        </w:numPr>
        <w:spacing w:line="240" w:lineRule="auto"/>
        <w:contextualSpacing/>
        <w:jc w:val="both"/>
      </w:pPr>
      <w:r w:rsidRPr="00503014">
        <w:t>nad načinom dostopa in sistemom zavarovanja osebnih podatkov (predvsem, ali se</w:t>
      </w:r>
    </w:p>
    <w:p w14:paraId="2D0E80F8" w14:textId="77777777" w:rsidR="00695AE2" w:rsidRPr="00503014" w:rsidRDefault="00695AE2" w:rsidP="00695AE2">
      <w:pPr>
        <w:spacing w:line="240" w:lineRule="auto"/>
        <w:jc w:val="both"/>
      </w:pPr>
      <w:r w:rsidRPr="00503014">
        <w:t xml:space="preserve">v zvezi z varovanjem osebnih in občutljivih podatkov izvaja šesti odstavek 140. člena Pravilnika o poslovanju državnega odvetništva – pravilo »čiste mize«); </w:t>
      </w:r>
    </w:p>
    <w:p w14:paraId="20768476" w14:textId="77777777" w:rsidR="00695AE2" w:rsidRPr="00503014" w:rsidRDefault="00695AE2" w:rsidP="00695AE2">
      <w:pPr>
        <w:numPr>
          <w:ilvl w:val="0"/>
          <w:numId w:val="48"/>
        </w:numPr>
        <w:spacing w:line="240" w:lineRule="auto"/>
        <w:contextualSpacing/>
        <w:jc w:val="both"/>
      </w:pPr>
      <w:r w:rsidRPr="00503014">
        <w:t>nad ravnanjem s tajnimi podatki;</w:t>
      </w:r>
    </w:p>
    <w:p w14:paraId="7DC45896" w14:textId="77777777" w:rsidR="00695AE2" w:rsidRPr="00503014" w:rsidRDefault="00695AE2" w:rsidP="00695AE2">
      <w:pPr>
        <w:numPr>
          <w:ilvl w:val="0"/>
          <w:numId w:val="48"/>
        </w:numPr>
        <w:spacing w:line="240" w:lineRule="auto"/>
        <w:contextualSpacing/>
        <w:jc w:val="both"/>
      </w:pPr>
      <w:r w:rsidRPr="00503014">
        <w:t xml:space="preserve">nad ukrepi za zagotavljanje varnosti; </w:t>
      </w:r>
    </w:p>
    <w:p w14:paraId="70877BC2" w14:textId="77777777" w:rsidR="00695AE2" w:rsidRPr="00503014" w:rsidRDefault="00695AE2" w:rsidP="00695AE2">
      <w:pPr>
        <w:numPr>
          <w:ilvl w:val="0"/>
          <w:numId w:val="48"/>
        </w:numPr>
        <w:spacing w:line="240" w:lineRule="auto"/>
        <w:contextualSpacing/>
        <w:jc w:val="both"/>
      </w:pPr>
      <w:r w:rsidRPr="00503014">
        <w:t xml:space="preserve">nad izvajanjem navodil in sklepov kolegija državnega odvetništva; </w:t>
      </w:r>
    </w:p>
    <w:p w14:paraId="18A3B8B1" w14:textId="77777777" w:rsidR="00695AE2" w:rsidRPr="00503014" w:rsidRDefault="00695AE2" w:rsidP="00695AE2">
      <w:pPr>
        <w:numPr>
          <w:ilvl w:val="0"/>
          <w:numId w:val="48"/>
        </w:numPr>
        <w:spacing w:line="240" w:lineRule="auto"/>
        <w:contextualSpacing/>
        <w:jc w:val="both"/>
      </w:pPr>
      <w:r w:rsidRPr="00503014">
        <w:t>nad vodenjem pomembnih zadev (ali se na oddelku obravnavajo zadeve, ki so označene kot pomembne; ali so pomembne zadeve pravilno označene – na ovitku spisa in v vpisniku ter kako poteka obveščanje v pomembnih zadevah; 60. člen Pravilnika o poslovanju državnega odvetništva in Navodilo za postopanje v primeru pomembnih zadev št. DODV-1-A01-195/2019 z dne 1. 7. 2019);</w:t>
      </w:r>
    </w:p>
    <w:p w14:paraId="5BF1117A" w14:textId="77777777" w:rsidR="00695AE2" w:rsidRPr="00503014" w:rsidRDefault="00695AE2" w:rsidP="00695AE2">
      <w:pPr>
        <w:numPr>
          <w:ilvl w:val="0"/>
          <w:numId w:val="48"/>
        </w:numPr>
        <w:spacing w:line="240" w:lineRule="auto"/>
        <w:contextualSpacing/>
        <w:jc w:val="both"/>
      </w:pPr>
      <w:r w:rsidRPr="00503014">
        <w:rPr>
          <w:lang w:eastAsia="sl-SI"/>
        </w:rPr>
        <w:t>nad upoštevanjem pravil o obveščanju javnosti</w:t>
      </w:r>
      <w:r w:rsidRPr="00503014">
        <w:t xml:space="preserve"> (8. in 9. člen Pravilnika o poslovanju državnega odvetništva) ter </w:t>
      </w:r>
      <w:r w:rsidRPr="00503014">
        <w:rPr>
          <w:lang w:eastAsia="sl-SI"/>
        </w:rPr>
        <w:t xml:space="preserve">upoštevanjem pravil o </w:t>
      </w:r>
      <w:r w:rsidRPr="00503014">
        <w:t xml:space="preserve">obveščanju v zadevah pred mednarodnimi sodišči in mednarodnimi arbitražami ter o pomembnejših zadevah pred sodišči v Republiki Sloveniji in </w:t>
      </w:r>
      <w:r w:rsidRPr="00503014">
        <w:rPr>
          <w:lang w:eastAsia="sl-SI"/>
        </w:rPr>
        <w:t>tujimi sodišči.</w:t>
      </w:r>
    </w:p>
    <w:p w14:paraId="4A38517B" w14:textId="77777777" w:rsidR="00695AE2" w:rsidRPr="00503014" w:rsidRDefault="00695AE2" w:rsidP="00695AE2">
      <w:pPr>
        <w:spacing w:line="240" w:lineRule="auto"/>
        <w:ind w:left="1080"/>
        <w:contextualSpacing/>
        <w:jc w:val="both"/>
      </w:pPr>
    </w:p>
    <w:p w14:paraId="6D9AC58E" w14:textId="77777777" w:rsidR="00695AE2" w:rsidRPr="00503014" w:rsidRDefault="00695AE2" w:rsidP="00695AE2">
      <w:pPr>
        <w:pStyle w:val="Naslov5"/>
      </w:pPr>
      <w:bookmarkStart w:id="287" w:name="_Toc223093816"/>
      <w:r w:rsidRPr="00503014">
        <w:t>Vsebina nadzora nad poslovanjem</w:t>
      </w:r>
      <w:bookmarkEnd w:id="287"/>
    </w:p>
    <w:p w14:paraId="6599CBAC" w14:textId="77777777" w:rsidR="00695AE2" w:rsidRPr="00503014" w:rsidRDefault="00695AE2" w:rsidP="00695AE2">
      <w:pPr>
        <w:spacing w:line="240" w:lineRule="auto"/>
        <w:jc w:val="both"/>
      </w:pPr>
    </w:p>
    <w:p w14:paraId="582785AF" w14:textId="77777777" w:rsidR="00695AE2" w:rsidRPr="00503014" w:rsidRDefault="00695AE2" w:rsidP="00695AE2">
      <w:pPr>
        <w:spacing w:line="240" w:lineRule="auto"/>
        <w:jc w:val="both"/>
      </w:pPr>
      <w:r w:rsidRPr="00503014">
        <w:t>Splošni pregled poslovanja zajema predvsem ugotavljanje:</w:t>
      </w:r>
    </w:p>
    <w:p w14:paraId="7F40829B" w14:textId="77777777" w:rsidR="00695AE2" w:rsidRPr="00503014" w:rsidRDefault="00695AE2" w:rsidP="00695AE2">
      <w:pPr>
        <w:spacing w:line="240" w:lineRule="auto"/>
        <w:jc w:val="both"/>
      </w:pPr>
    </w:p>
    <w:p w14:paraId="68DF740F" w14:textId="77777777" w:rsidR="00695AE2" w:rsidRPr="00503014" w:rsidRDefault="00695AE2" w:rsidP="00695AE2">
      <w:pPr>
        <w:numPr>
          <w:ilvl w:val="0"/>
          <w:numId w:val="60"/>
        </w:numPr>
        <w:spacing w:line="240" w:lineRule="auto"/>
        <w:contextualSpacing/>
        <w:jc w:val="both"/>
      </w:pPr>
      <w:r w:rsidRPr="00503014">
        <w:t>Kako poteka organizacija dela zaposlenih v pisarni oziroma uradu:</w:t>
      </w:r>
    </w:p>
    <w:p w14:paraId="5F74581C" w14:textId="77777777" w:rsidR="00695AE2" w:rsidRPr="00503014" w:rsidRDefault="00695AE2" w:rsidP="00695AE2">
      <w:pPr>
        <w:numPr>
          <w:ilvl w:val="0"/>
          <w:numId w:val="49"/>
        </w:numPr>
        <w:spacing w:line="240" w:lineRule="auto"/>
        <w:contextualSpacing/>
        <w:jc w:val="both"/>
      </w:pPr>
      <w:r w:rsidRPr="00503014">
        <w:t xml:space="preserve">ali pri organizaciji dela v uradu oziroma pisarni sodeluje tudi vodja oddelka; </w:t>
      </w:r>
    </w:p>
    <w:p w14:paraId="0D652342" w14:textId="77777777" w:rsidR="00695AE2" w:rsidRPr="00503014" w:rsidRDefault="00695AE2" w:rsidP="00695AE2">
      <w:pPr>
        <w:numPr>
          <w:ilvl w:val="0"/>
          <w:numId w:val="49"/>
        </w:numPr>
        <w:spacing w:line="240" w:lineRule="auto"/>
        <w:contextualSpacing/>
        <w:jc w:val="both"/>
      </w:pPr>
      <w:r w:rsidRPr="00503014">
        <w:t>ali so zaposleni v administraciji usposobljeni za delo na vseh vpisnikih;</w:t>
      </w:r>
    </w:p>
    <w:p w14:paraId="7C0662D4" w14:textId="77777777" w:rsidR="00695AE2" w:rsidRPr="00503014" w:rsidRDefault="00695AE2" w:rsidP="00695AE2">
      <w:pPr>
        <w:numPr>
          <w:ilvl w:val="0"/>
          <w:numId w:val="49"/>
        </w:numPr>
        <w:spacing w:line="240" w:lineRule="auto"/>
        <w:contextualSpacing/>
        <w:jc w:val="both"/>
      </w:pPr>
      <w:r w:rsidRPr="00503014">
        <w:t>kako je vsakodnevno organizirano delo v uradu oziroma pisarni (v smislu, ali vsi delajo vsa opravila ali pa so specializirani glede na posamezne vpisnike, nosilce ali ločenosti na delo v vpisniku in strojepisje);</w:t>
      </w:r>
    </w:p>
    <w:p w14:paraId="1C0A66A3" w14:textId="77777777" w:rsidR="00695AE2" w:rsidRPr="00503014" w:rsidRDefault="00695AE2" w:rsidP="00695AE2">
      <w:pPr>
        <w:numPr>
          <w:ilvl w:val="0"/>
          <w:numId w:val="49"/>
        </w:numPr>
        <w:spacing w:line="240" w:lineRule="auto"/>
        <w:contextualSpacing/>
        <w:jc w:val="both"/>
      </w:pPr>
      <w:r w:rsidRPr="00503014">
        <w:t xml:space="preserve">ali je obremenjenost zaposlenih v uradu oziroma pisarni enakomerna; kako se to spremlja; </w:t>
      </w:r>
    </w:p>
    <w:p w14:paraId="56104C5C" w14:textId="77777777" w:rsidR="00695AE2" w:rsidRPr="00503014" w:rsidRDefault="00695AE2" w:rsidP="00695AE2">
      <w:pPr>
        <w:numPr>
          <w:ilvl w:val="0"/>
          <w:numId w:val="49"/>
        </w:numPr>
        <w:spacing w:line="240" w:lineRule="auto"/>
        <w:contextualSpacing/>
        <w:jc w:val="both"/>
      </w:pPr>
      <w:r w:rsidRPr="00503014">
        <w:t>ali zaposleni sodelujejo, kako je organizirano nadomeščanje zaposlenih v uradu oziroma pisarni;</w:t>
      </w:r>
    </w:p>
    <w:p w14:paraId="4A4E5AC2" w14:textId="77777777" w:rsidR="00695AE2" w:rsidRPr="00503014" w:rsidRDefault="00695AE2" w:rsidP="00695AE2">
      <w:pPr>
        <w:numPr>
          <w:ilvl w:val="0"/>
          <w:numId w:val="49"/>
        </w:numPr>
        <w:spacing w:line="240" w:lineRule="auto"/>
        <w:contextualSpacing/>
        <w:jc w:val="both"/>
      </w:pPr>
      <w:r w:rsidRPr="00503014">
        <w:t>ali delo v uradu oziroma pisarni poteka tekoče, pravočasno (zaostanki po mizah, tekoče vpisovanje pošte, tekoče zaključevanje spisov ipd.);</w:t>
      </w:r>
    </w:p>
    <w:p w14:paraId="3AFCAF8D" w14:textId="77777777" w:rsidR="00695AE2" w:rsidRPr="00503014" w:rsidRDefault="00695AE2" w:rsidP="00695AE2">
      <w:pPr>
        <w:numPr>
          <w:ilvl w:val="0"/>
          <w:numId w:val="49"/>
        </w:numPr>
        <w:spacing w:line="240" w:lineRule="auto"/>
        <w:contextualSpacing/>
        <w:jc w:val="both"/>
      </w:pPr>
      <w:r w:rsidRPr="00503014">
        <w:t>ali imajo v uradu / pisarni / oddelku kakšne posebne interne dogovore glede poslovanja z zadevami;</w:t>
      </w:r>
    </w:p>
    <w:p w14:paraId="0AE77D5B" w14:textId="77777777" w:rsidR="00695AE2" w:rsidRPr="00503014" w:rsidRDefault="00695AE2" w:rsidP="00695AE2">
      <w:pPr>
        <w:numPr>
          <w:ilvl w:val="0"/>
          <w:numId w:val="49"/>
        </w:numPr>
        <w:spacing w:line="240" w:lineRule="auto"/>
        <w:contextualSpacing/>
        <w:jc w:val="both"/>
      </w:pPr>
      <w:r w:rsidRPr="00503014">
        <w:t>ali se na oddelku vodijo kakšne vzporedne fizične, ročne evidence ali elektronske evidence mimo sistema IS Feniks;</w:t>
      </w:r>
    </w:p>
    <w:p w14:paraId="6DC0CA52" w14:textId="77777777" w:rsidR="00695AE2" w:rsidRPr="00503014" w:rsidRDefault="00695AE2" w:rsidP="00695AE2">
      <w:pPr>
        <w:numPr>
          <w:ilvl w:val="0"/>
          <w:numId w:val="49"/>
        </w:numPr>
        <w:spacing w:line="240" w:lineRule="auto"/>
        <w:contextualSpacing/>
        <w:jc w:val="both"/>
      </w:pPr>
      <w:r w:rsidRPr="00503014">
        <w:t>ali na oddelku obstajajo morebitni interni dogovori, ki naj prispevajo k bolj učinkovitemu poslovanju;</w:t>
      </w:r>
    </w:p>
    <w:p w14:paraId="181EA9D2" w14:textId="77777777" w:rsidR="00695AE2" w:rsidRPr="00503014" w:rsidRDefault="00695AE2" w:rsidP="00695AE2">
      <w:pPr>
        <w:numPr>
          <w:ilvl w:val="0"/>
          <w:numId w:val="49"/>
        </w:numPr>
        <w:spacing w:line="240" w:lineRule="auto"/>
        <w:contextualSpacing/>
        <w:jc w:val="both"/>
      </w:pPr>
      <w:r w:rsidRPr="00503014">
        <w:lastRenderedPageBreak/>
        <w:t>ali so poslovni prostori primerno urejeni ipd.</w:t>
      </w:r>
    </w:p>
    <w:p w14:paraId="6B65A4D8" w14:textId="77777777" w:rsidR="00695AE2" w:rsidRPr="00503014" w:rsidRDefault="00695AE2" w:rsidP="00695AE2">
      <w:pPr>
        <w:spacing w:line="240" w:lineRule="auto"/>
        <w:jc w:val="both"/>
      </w:pPr>
    </w:p>
    <w:p w14:paraId="3571DE37" w14:textId="77777777" w:rsidR="00695AE2" w:rsidRPr="00503014" w:rsidRDefault="00695AE2" w:rsidP="00695AE2">
      <w:pPr>
        <w:numPr>
          <w:ilvl w:val="0"/>
          <w:numId w:val="60"/>
        </w:numPr>
        <w:spacing w:line="240" w:lineRule="auto"/>
        <w:contextualSpacing/>
        <w:jc w:val="both"/>
      </w:pPr>
      <w:r w:rsidRPr="00503014">
        <w:t xml:space="preserve">Pravilnost ravnanja s pošto: </w:t>
      </w:r>
    </w:p>
    <w:p w14:paraId="6C66C59C" w14:textId="77777777" w:rsidR="00695AE2" w:rsidRPr="00503014" w:rsidRDefault="00695AE2" w:rsidP="00695AE2">
      <w:pPr>
        <w:numPr>
          <w:ilvl w:val="0"/>
          <w:numId w:val="50"/>
        </w:numPr>
        <w:spacing w:line="240" w:lineRule="auto"/>
        <w:contextualSpacing/>
        <w:jc w:val="both"/>
      </w:pPr>
      <w:r w:rsidRPr="00503014">
        <w:t>pravilnost ravnanja z vhodno pošto in evidentiranje vhodne pošte, prejete preko različnih vhodnih kanalov (uporaba 84. – 98. člena Pravilnika o poslovanju državnega odvetništva);</w:t>
      </w:r>
    </w:p>
    <w:p w14:paraId="3DB7E583" w14:textId="77777777" w:rsidR="00695AE2" w:rsidRPr="00503014" w:rsidRDefault="00695AE2" w:rsidP="00695AE2">
      <w:pPr>
        <w:numPr>
          <w:ilvl w:val="0"/>
          <w:numId w:val="50"/>
        </w:numPr>
        <w:spacing w:line="240" w:lineRule="auto"/>
        <w:contextualSpacing/>
        <w:jc w:val="both"/>
        <w:rPr>
          <w:lang w:eastAsia="sl-SI"/>
        </w:rPr>
      </w:pPr>
      <w:r w:rsidRPr="00503014">
        <w:t xml:space="preserve">pravilnost evidentiranja lastnih dokumentov (uporaba 99. člena Pravilnika o poslovanju državnega odvetništva); </w:t>
      </w:r>
    </w:p>
    <w:p w14:paraId="52ECA589" w14:textId="77777777" w:rsidR="00695AE2" w:rsidRPr="00503014" w:rsidRDefault="00695AE2" w:rsidP="00695AE2">
      <w:pPr>
        <w:numPr>
          <w:ilvl w:val="0"/>
          <w:numId w:val="50"/>
        </w:numPr>
        <w:spacing w:line="240" w:lineRule="auto"/>
        <w:contextualSpacing/>
        <w:jc w:val="both"/>
      </w:pPr>
      <w:r w:rsidRPr="00503014">
        <w:t>pravilnost ravnanja z izhodno pošto in evidentiranje izhodne pošte, odpravljene preko različnih izhodnih kanalov (99. – 105. člen Pravilnika o poslovanju državnega odvetništva);</w:t>
      </w:r>
    </w:p>
    <w:p w14:paraId="5B975588" w14:textId="77777777" w:rsidR="00695AE2" w:rsidRPr="00503014" w:rsidRDefault="00695AE2" w:rsidP="00695AE2">
      <w:pPr>
        <w:widowControl w:val="0"/>
        <w:numPr>
          <w:ilvl w:val="0"/>
          <w:numId w:val="50"/>
        </w:numPr>
        <w:spacing w:line="240" w:lineRule="auto"/>
        <w:jc w:val="both"/>
      </w:pPr>
      <w:r w:rsidRPr="00503014">
        <w:t>ali se upošteva, da se skladno z drugim odstavkom 100. člena Pravilnika o poslovanju državnega odvetništva odredi vročitev z vročilnico vselej, ko z vročitvijo dokumenta začne teči rok za opravo procesnega dejanja, in se povratnica se pripne k dokumentu, na katerega se nanaša;</w:t>
      </w:r>
    </w:p>
    <w:p w14:paraId="57B9174D" w14:textId="77777777" w:rsidR="00695AE2" w:rsidRPr="00503014" w:rsidRDefault="00695AE2" w:rsidP="00695AE2">
      <w:pPr>
        <w:numPr>
          <w:ilvl w:val="0"/>
          <w:numId w:val="50"/>
        </w:numPr>
        <w:spacing w:line="240" w:lineRule="auto"/>
        <w:contextualSpacing/>
        <w:jc w:val="both"/>
      </w:pPr>
      <w:r w:rsidRPr="00503014">
        <w:t>redno praznjenje čakalnih vrst vhodne in izhodne pošte ter njeno tekoče vpisovanje;</w:t>
      </w:r>
    </w:p>
    <w:p w14:paraId="72BFB717" w14:textId="77777777" w:rsidR="00695AE2" w:rsidRPr="00503014" w:rsidRDefault="00695AE2" w:rsidP="00695AE2">
      <w:pPr>
        <w:numPr>
          <w:ilvl w:val="0"/>
          <w:numId w:val="50"/>
        </w:numPr>
        <w:spacing w:line="240" w:lineRule="auto"/>
        <w:contextualSpacing/>
        <w:jc w:val="both"/>
      </w:pPr>
      <w:r w:rsidRPr="00503014">
        <w:t>lahko se preveri, kakšna je bila v določenem obdobju (na primer v zadnjih treh mesecih pred nadzorom) dnevna količina vhodne in izhodne pošte.</w:t>
      </w:r>
    </w:p>
    <w:p w14:paraId="3FDFF08E" w14:textId="77777777" w:rsidR="00695AE2" w:rsidRPr="00503014" w:rsidRDefault="00695AE2" w:rsidP="00695AE2">
      <w:pPr>
        <w:spacing w:line="240" w:lineRule="auto"/>
        <w:jc w:val="both"/>
      </w:pPr>
    </w:p>
    <w:p w14:paraId="0D1C5387" w14:textId="77777777" w:rsidR="00695AE2" w:rsidRPr="00503014" w:rsidRDefault="00695AE2" w:rsidP="00695AE2">
      <w:pPr>
        <w:numPr>
          <w:ilvl w:val="0"/>
          <w:numId w:val="60"/>
        </w:numPr>
        <w:spacing w:line="240" w:lineRule="auto"/>
        <w:contextualSpacing/>
        <w:jc w:val="both"/>
      </w:pPr>
      <w:r w:rsidRPr="00503014">
        <w:t xml:space="preserve">Pravilnost poslovanja s spisi (fizična/elektronska oblika): </w:t>
      </w:r>
    </w:p>
    <w:p w14:paraId="12BD10A7" w14:textId="77777777" w:rsidR="00695AE2" w:rsidRPr="00503014" w:rsidRDefault="00695AE2" w:rsidP="00695AE2">
      <w:pPr>
        <w:numPr>
          <w:ilvl w:val="0"/>
          <w:numId w:val="51"/>
        </w:numPr>
        <w:spacing w:line="240" w:lineRule="auto"/>
        <w:contextualSpacing/>
        <w:jc w:val="both"/>
      </w:pPr>
      <w:r w:rsidRPr="00503014">
        <w:t xml:space="preserve">ravnanje z dokumenti (kaj je dokument, določa 61. člen Pravilnika o poslovanju državnega odvetništva) in prilogami (kaj je priloga, določa prvi odstavek 63. člena Pravilnika o poslovanju državnega odvetništva) v spisu – skeniranje, uvrščanje, številčenje, označevanje, poimenovanje, popisovanje dokumentov in prilog v fizični in elektronski spis mora biti pravilno, popolno in natančno (za številčenje dokumentov in prilog se uporabljata 62. in 63. člen Pravilnika o poslovanju državnega odvetništva; pravila glede uvrščanja dokumentov določa 99. člen Pravilnika o poslovanju državnega odvetništva; za vhodne dokumente se uporablja tudi tretji odstavek IV. točke Navodila o evidentiranju, skeniranju in knjiženju vhodnih dokumentov v informacijskem sistemu vpisniki; glede popisa prilog se uporablja tudi Splošno navodilo glede popisovanja prilog vhodnih dokumentov –  sklep kolegija državnega odvetništva št. DODV-1-A01-195/2019 z dne 10. 5. 2023); </w:t>
      </w:r>
    </w:p>
    <w:p w14:paraId="7A348964" w14:textId="77777777" w:rsidR="00695AE2" w:rsidRPr="00503014" w:rsidRDefault="00695AE2" w:rsidP="00695AE2">
      <w:pPr>
        <w:numPr>
          <w:ilvl w:val="0"/>
          <w:numId w:val="51"/>
        </w:numPr>
        <w:spacing w:line="240" w:lineRule="auto"/>
        <w:contextualSpacing/>
        <w:jc w:val="both"/>
      </w:pPr>
      <w:r w:rsidRPr="00503014">
        <w:t>ujemanje elektronskega in fizičnega spisa (fizični in elektronski spis morata biti identična, tudi identičnost fizičnega in elektronskega popisa spisa; vsa pisanja, ki se nahajajo v fizičnem spisu, je treba uvrstiti tudi v e spis – enotno številčenje);</w:t>
      </w:r>
    </w:p>
    <w:p w14:paraId="4C87C068" w14:textId="77777777" w:rsidR="00695AE2" w:rsidRPr="00503014" w:rsidRDefault="00695AE2" w:rsidP="00695AE2">
      <w:pPr>
        <w:numPr>
          <w:ilvl w:val="0"/>
          <w:numId w:val="51"/>
        </w:numPr>
        <w:spacing w:line="240" w:lineRule="auto"/>
        <w:contextualSpacing/>
        <w:jc w:val="both"/>
      </w:pPr>
      <w:r w:rsidRPr="00503014">
        <w:t>urejenost popisnega lista (za popis spisa veljajo pravila iz 65. člena Pravilnika o poslovanju državnega odvetništva);</w:t>
      </w:r>
    </w:p>
    <w:p w14:paraId="0EED3205" w14:textId="77777777" w:rsidR="00695AE2" w:rsidRPr="00503014" w:rsidRDefault="00695AE2" w:rsidP="00695AE2">
      <w:pPr>
        <w:numPr>
          <w:ilvl w:val="0"/>
          <w:numId w:val="51"/>
        </w:numPr>
        <w:spacing w:line="240" w:lineRule="auto"/>
        <w:contextualSpacing/>
        <w:jc w:val="both"/>
      </w:pPr>
      <w:r w:rsidRPr="00503014">
        <w:t>pravilno združevanje, razdruževanje, prenos, priložitev in odstop spisa (70., 71., 72., 73. in 75.  člen Pravilnika o poslovanju državnega odvetništva);</w:t>
      </w:r>
    </w:p>
    <w:p w14:paraId="3CA4B44C" w14:textId="77777777" w:rsidR="00695AE2" w:rsidRPr="00503014" w:rsidRDefault="00695AE2" w:rsidP="00695AE2">
      <w:pPr>
        <w:numPr>
          <w:ilvl w:val="0"/>
          <w:numId w:val="51"/>
        </w:numPr>
        <w:spacing w:line="240" w:lineRule="auto"/>
        <w:contextualSpacing/>
        <w:jc w:val="both"/>
      </w:pPr>
      <w:r w:rsidRPr="00503014">
        <w:t xml:space="preserve">ali so označene povezave med spisi (v vpisniku in na ovitku spisa; druga alineja prvega odstavka 58. člena in 74. člen Pravilnika o poslovanju državnega odvetništva); </w:t>
      </w:r>
    </w:p>
    <w:p w14:paraId="15A59038" w14:textId="77777777" w:rsidR="00695AE2" w:rsidRPr="00503014" w:rsidRDefault="00695AE2" w:rsidP="00695AE2">
      <w:pPr>
        <w:numPr>
          <w:ilvl w:val="0"/>
          <w:numId w:val="51"/>
        </w:numPr>
        <w:spacing w:line="240" w:lineRule="auto"/>
        <w:contextualSpacing/>
        <w:jc w:val="both"/>
      </w:pPr>
      <w:r w:rsidRPr="00503014">
        <w:t xml:space="preserve">kako v uradu oziroma pisarni poslujejo s spisi, kadar je za isto nasprotno stranko odprtih več spisov v okviru enega ali na različnih vpisnikih, tudi na drugih oddelkih; </w:t>
      </w:r>
    </w:p>
    <w:p w14:paraId="0B9A6833" w14:textId="77777777" w:rsidR="00695AE2" w:rsidRPr="00503014" w:rsidRDefault="00695AE2" w:rsidP="00695AE2">
      <w:pPr>
        <w:numPr>
          <w:ilvl w:val="1"/>
          <w:numId w:val="51"/>
        </w:numPr>
        <w:spacing w:line="240" w:lineRule="auto"/>
        <w:contextualSpacing/>
        <w:jc w:val="both"/>
        <w:rPr>
          <w:rFonts w:eastAsia="Times New Roman"/>
          <w:lang w:eastAsia="sl-SI"/>
        </w:rPr>
      </w:pPr>
      <w:r w:rsidRPr="00503014">
        <w:rPr>
          <w:rFonts w:eastAsia="Times New Roman"/>
          <w:lang w:eastAsia="sl-SI"/>
        </w:rPr>
        <w:t>ravnanje s spisi z istimi nasprotnimi strankami iz različnih vpisnikov vodijo tako, da imajo vse spise v eni mapi skupaj, na mapi pa označeno kateri vsi spisi in vpisniki so priloženi v tej mapi;</w:t>
      </w:r>
    </w:p>
    <w:p w14:paraId="3D9C1451" w14:textId="77777777" w:rsidR="00695AE2" w:rsidRPr="00503014" w:rsidRDefault="00695AE2" w:rsidP="00695AE2">
      <w:pPr>
        <w:numPr>
          <w:ilvl w:val="0"/>
          <w:numId w:val="51"/>
        </w:numPr>
        <w:spacing w:line="240" w:lineRule="auto"/>
        <w:contextualSpacing/>
        <w:jc w:val="both"/>
      </w:pPr>
      <w:r w:rsidRPr="00503014">
        <w:lastRenderedPageBreak/>
        <w:t>vpisovanje rokov in narokov (tudi 3-mesečnega roka za zaključek predhodnega postopka) – pravilno zapisovanje na dokumentu, popisnem listu in na ovitku; ali se (sproti) zabeleži, ko so aktivnosti v zvezi z njimi opravljene (pregled čakalne vrste rokov in narokov – ko je datum že mimo, pa rok ali narok še ni zaključen);</w:t>
      </w:r>
    </w:p>
    <w:p w14:paraId="27C42C36" w14:textId="77777777" w:rsidR="00695AE2" w:rsidRPr="00503014" w:rsidRDefault="00695AE2" w:rsidP="00695AE2">
      <w:pPr>
        <w:numPr>
          <w:ilvl w:val="0"/>
          <w:numId w:val="51"/>
        </w:numPr>
        <w:spacing w:line="240" w:lineRule="auto"/>
        <w:contextualSpacing/>
        <w:jc w:val="both"/>
      </w:pPr>
      <w:r w:rsidRPr="00503014">
        <w:t>kako se izvaja opozarjanje na roke (82. člen Pravilnika o poslovanju državnega odvetništva); ali nosilci spisov tudi sami vodijo evidenco rokov in narokov;</w:t>
      </w:r>
    </w:p>
    <w:p w14:paraId="2BE0E3B8" w14:textId="77777777" w:rsidR="00695AE2" w:rsidRPr="00503014" w:rsidRDefault="00695AE2" w:rsidP="00695AE2">
      <w:pPr>
        <w:numPr>
          <w:ilvl w:val="0"/>
          <w:numId w:val="51"/>
        </w:numPr>
        <w:spacing w:line="240" w:lineRule="auto"/>
        <w:contextualSpacing/>
        <w:jc w:val="both"/>
      </w:pPr>
      <w:r w:rsidRPr="00503014">
        <w:t xml:space="preserve">pravilnost premika dokumentov (106. člen Pravilnika o poslovanju državnega odvetništva); </w:t>
      </w:r>
    </w:p>
    <w:p w14:paraId="6D8CC3FC" w14:textId="77777777" w:rsidR="00695AE2" w:rsidRPr="00503014" w:rsidRDefault="00695AE2" w:rsidP="00695AE2">
      <w:pPr>
        <w:numPr>
          <w:ilvl w:val="0"/>
          <w:numId w:val="51"/>
        </w:numPr>
        <w:spacing w:line="240" w:lineRule="auto"/>
        <w:contextualSpacing/>
        <w:jc w:val="both"/>
      </w:pPr>
      <w:r w:rsidRPr="00503014">
        <w:t xml:space="preserve">kako nosilci spisov izdajajo odredbe, ali so odredbe jasne in razumljive, ali se uporablja popisni list odredb, ali je zagotovljena sledljivost odredb (Splošno navodilo za delo v zvezi z uporabo in izvajanjem 113. člena Pravilnika o poslovanju državnega odvetništva št. DODV-1-44/2023-4 z dne 13. 4. 2023); </w:t>
      </w:r>
    </w:p>
    <w:p w14:paraId="4C4798F3" w14:textId="77777777" w:rsidR="00695AE2" w:rsidRPr="00503014" w:rsidRDefault="00695AE2" w:rsidP="00695AE2">
      <w:pPr>
        <w:numPr>
          <w:ilvl w:val="0"/>
          <w:numId w:val="51"/>
        </w:numPr>
        <w:spacing w:line="240" w:lineRule="auto"/>
        <w:contextualSpacing/>
        <w:jc w:val="both"/>
      </w:pPr>
      <w:r w:rsidRPr="00503014">
        <w:t xml:space="preserve">urejenost elektronskega vpisnika; </w:t>
      </w:r>
    </w:p>
    <w:p w14:paraId="71C38C99" w14:textId="77777777" w:rsidR="00695AE2" w:rsidRPr="00503014" w:rsidRDefault="00695AE2" w:rsidP="00695AE2">
      <w:pPr>
        <w:numPr>
          <w:ilvl w:val="0"/>
          <w:numId w:val="51"/>
        </w:numPr>
        <w:spacing w:line="240" w:lineRule="auto"/>
        <w:contextualSpacing/>
        <w:jc w:val="both"/>
      </w:pPr>
      <w:r w:rsidRPr="00503014">
        <w:t>ali je v vpisniku označen status spisa (skladnost dejanskega statusa fizičnega spisa z vpisom statusa v elektronski spis);</w:t>
      </w:r>
    </w:p>
    <w:p w14:paraId="75F5C01E" w14:textId="77777777" w:rsidR="00695AE2" w:rsidRPr="00503014" w:rsidRDefault="00695AE2" w:rsidP="00695AE2">
      <w:pPr>
        <w:numPr>
          <w:ilvl w:val="0"/>
          <w:numId w:val="51"/>
        </w:numPr>
        <w:spacing w:line="240" w:lineRule="auto"/>
        <w:contextualSpacing/>
        <w:jc w:val="both"/>
      </w:pPr>
      <w:r w:rsidRPr="00503014">
        <w:t xml:space="preserve">ali je v vpisniku označeno mesto nahajanja fizičnega spisa (skladnost fizičnega nahajanja spisa s podatkom, ki je naveden v elektronskem spisu; ali so bili spisi, ki jih je nadzorna komisija zahtevala za fizičen vpogled, dostavljeni takoj, brez nepotrebnega iskanja; kako ravnajo s spisi, ki se frekventno menjavajo iz koledarja oziroma vpisnika k nosilcu in obratno); </w:t>
      </w:r>
    </w:p>
    <w:p w14:paraId="6FD82686" w14:textId="77777777" w:rsidR="00695AE2" w:rsidRPr="00503014" w:rsidRDefault="00695AE2" w:rsidP="00695AE2">
      <w:pPr>
        <w:numPr>
          <w:ilvl w:val="0"/>
          <w:numId w:val="51"/>
        </w:numPr>
        <w:spacing w:line="240" w:lineRule="auto"/>
        <w:contextualSpacing/>
        <w:jc w:val="both"/>
      </w:pPr>
      <w:r w:rsidRPr="00503014">
        <w:t>kako ravnajo s spisi, pri katerih so iste nasprotne stranke; kdaj se takšni spisi zaključijo (vsak spis sproti ali vsi spisi šele, ko so zaključena vsa opravila v zadnji zadevi);</w:t>
      </w:r>
    </w:p>
    <w:p w14:paraId="524AC49C" w14:textId="77777777" w:rsidR="00695AE2" w:rsidRPr="00503014" w:rsidRDefault="00695AE2" w:rsidP="00695AE2">
      <w:pPr>
        <w:numPr>
          <w:ilvl w:val="0"/>
          <w:numId w:val="51"/>
        </w:numPr>
        <w:spacing w:line="240" w:lineRule="auto"/>
        <w:contextualSpacing/>
        <w:jc w:val="both"/>
      </w:pPr>
      <w:r w:rsidRPr="00503014">
        <w:t>ali se v spisih nahajajo tudi uradni zaznamki o opravljenih razgovorih, sestankih (7. člen Pravilnika o poslovanju državnega odvetništva zahteva, da se vsako poslovanje s strankami (neposredno ali pisno) zabeleži v spisu);</w:t>
      </w:r>
    </w:p>
    <w:p w14:paraId="19657E19" w14:textId="77777777" w:rsidR="00695AE2" w:rsidRPr="00503014" w:rsidRDefault="00695AE2" w:rsidP="00695AE2">
      <w:pPr>
        <w:numPr>
          <w:ilvl w:val="0"/>
          <w:numId w:val="51"/>
        </w:numPr>
        <w:spacing w:line="240" w:lineRule="auto"/>
        <w:contextualSpacing/>
        <w:jc w:val="both"/>
      </w:pPr>
      <w:r w:rsidRPr="00503014">
        <w:t>ali se v spisu nahaja neevidentirana korespondenca;</w:t>
      </w:r>
    </w:p>
    <w:p w14:paraId="65A34E5C" w14:textId="77777777" w:rsidR="00695AE2" w:rsidRPr="00503014" w:rsidRDefault="00695AE2" w:rsidP="00695AE2">
      <w:pPr>
        <w:numPr>
          <w:ilvl w:val="0"/>
          <w:numId w:val="51"/>
        </w:numPr>
        <w:spacing w:line="240" w:lineRule="auto"/>
        <w:contextualSpacing/>
        <w:jc w:val="both"/>
      </w:pPr>
      <w:r w:rsidRPr="00503014">
        <w:t>ali se v spisih pogosto nahaja neevidentirano gradivo, ki nosilcem služi za reševanje zadeve.</w:t>
      </w:r>
    </w:p>
    <w:p w14:paraId="450211FD" w14:textId="77777777" w:rsidR="00695AE2" w:rsidRPr="00503014" w:rsidRDefault="00695AE2" w:rsidP="00695AE2">
      <w:pPr>
        <w:spacing w:line="240" w:lineRule="auto"/>
        <w:ind w:left="720"/>
        <w:contextualSpacing/>
        <w:jc w:val="both"/>
      </w:pPr>
    </w:p>
    <w:p w14:paraId="7B78E655" w14:textId="77777777" w:rsidR="00695AE2" w:rsidRPr="00503014" w:rsidRDefault="00695AE2" w:rsidP="00695AE2">
      <w:pPr>
        <w:numPr>
          <w:ilvl w:val="0"/>
          <w:numId w:val="60"/>
        </w:numPr>
        <w:spacing w:line="240" w:lineRule="auto"/>
        <w:contextualSpacing/>
        <w:jc w:val="both"/>
      </w:pPr>
      <w:r w:rsidRPr="00503014">
        <w:t>Odpiranje spisov:</w:t>
      </w:r>
    </w:p>
    <w:p w14:paraId="68293965" w14:textId="77777777" w:rsidR="00695AE2" w:rsidRPr="00503014" w:rsidRDefault="00695AE2" w:rsidP="00695AE2">
      <w:pPr>
        <w:numPr>
          <w:ilvl w:val="0"/>
          <w:numId w:val="52"/>
        </w:numPr>
        <w:spacing w:line="240" w:lineRule="auto"/>
        <w:contextualSpacing/>
        <w:jc w:val="both"/>
      </w:pPr>
      <w:r w:rsidRPr="00503014">
        <w:t>ali se pred odprtjem spisa preverja morebitne že obstoječe povezane zadeve; ali se je pri obravnavanem spisu označil zvezni spis;</w:t>
      </w:r>
    </w:p>
    <w:p w14:paraId="108BD4E6" w14:textId="77777777" w:rsidR="00695AE2" w:rsidRPr="00503014" w:rsidRDefault="00695AE2" w:rsidP="00695AE2">
      <w:pPr>
        <w:numPr>
          <w:ilvl w:val="0"/>
          <w:numId w:val="52"/>
        </w:numPr>
        <w:spacing w:line="240" w:lineRule="auto"/>
        <w:contextualSpacing/>
        <w:jc w:val="both"/>
      </w:pPr>
      <w:r w:rsidRPr="00503014">
        <w:t>ali so na ovitku spisa podatki iz 58. člena Pravilnika o poslovanju državnega odvetništva zapisani celovito in pravilno; skladnost podatkov, vpisanih na ovitek fizičnega spisa in v IS Feniks;</w:t>
      </w:r>
    </w:p>
    <w:p w14:paraId="5F734309" w14:textId="77777777" w:rsidR="00695AE2" w:rsidRPr="00503014" w:rsidRDefault="00695AE2" w:rsidP="00695AE2">
      <w:pPr>
        <w:numPr>
          <w:ilvl w:val="0"/>
          <w:numId w:val="51"/>
        </w:numPr>
        <w:spacing w:line="240" w:lineRule="auto"/>
        <w:contextualSpacing/>
        <w:jc w:val="both"/>
      </w:pPr>
      <w:r w:rsidRPr="00503014">
        <w:t>ali nosilec spisa skladno s 111. členom Pravilnika o poslovanju državnega odvetništva pregleda zapisane podatke: tip postopka, temelj, zapis stranke, višino zahtevka; ali se ta pregled kako označi oziroma kakšen je morebiten dogovor med nosilci spisov in zaposlenimi v uradu oziroma pisarni glede preverjanja podatkov.</w:t>
      </w:r>
    </w:p>
    <w:p w14:paraId="63DF950C" w14:textId="77777777" w:rsidR="00695AE2" w:rsidRPr="00503014" w:rsidRDefault="00695AE2" w:rsidP="00695AE2">
      <w:pPr>
        <w:spacing w:line="240" w:lineRule="auto"/>
        <w:jc w:val="both"/>
        <w:rPr>
          <w:u w:val="single"/>
        </w:rPr>
      </w:pPr>
    </w:p>
    <w:p w14:paraId="1365D2F7" w14:textId="77777777" w:rsidR="00695AE2" w:rsidRPr="00503014" w:rsidRDefault="00695AE2" w:rsidP="00695AE2">
      <w:pPr>
        <w:numPr>
          <w:ilvl w:val="0"/>
          <w:numId w:val="60"/>
        </w:numPr>
        <w:spacing w:line="240" w:lineRule="auto"/>
        <w:contextualSpacing/>
        <w:jc w:val="both"/>
      </w:pPr>
      <w:r w:rsidRPr="00503014">
        <w:t>Kako poteka dodeljevanje novih zadev na oddelku:</w:t>
      </w:r>
    </w:p>
    <w:p w14:paraId="445B0CE5" w14:textId="77777777" w:rsidR="00695AE2" w:rsidRPr="00503014" w:rsidRDefault="00695AE2" w:rsidP="00695AE2">
      <w:pPr>
        <w:numPr>
          <w:ilvl w:val="0"/>
          <w:numId w:val="53"/>
        </w:numPr>
        <w:spacing w:line="240" w:lineRule="auto"/>
        <w:contextualSpacing/>
        <w:jc w:val="both"/>
      </w:pPr>
      <w:r w:rsidRPr="00503014">
        <w:t>ali se vrstni red dodeljevanja zadev po posameznih vpisnikih izvaja glede na določila Pravilnika o poslovanju državnega odvetništva (21., 22., 23. in 24. člen Pravilnika o poslovanju državnega odvetništva) ali se na oddelku posamezne vrste zadev dodeljujejo tudi glede na posebna navodila oziroma po posebnih seznamih:</w:t>
      </w:r>
    </w:p>
    <w:p w14:paraId="740A8BC0" w14:textId="77777777" w:rsidR="00695AE2" w:rsidRPr="00503014" w:rsidRDefault="00695AE2" w:rsidP="00695AE2">
      <w:pPr>
        <w:spacing w:line="240" w:lineRule="auto"/>
        <w:ind w:left="720"/>
        <w:contextualSpacing/>
        <w:jc w:val="both"/>
      </w:pPr>
      <w:r w:rsidRPr="00503014">
        <w:t xml:space="preserve">v poročilu se opiše sistem dodeljevanja zadev na oddelku ter navede, ali je bila glede dodeljevanja zadev izdana odredba generalnega državnega odvetnika ali vodje </w:t>
      </w:r>
      <w:r w:rsidRPr="00503014">
        <w:lastRenderedPageBreak/>
        <w:t xml:space="preserve">oddelka, ali je bil ta za to pooblaščen s strani generalnega državnega odvetnika, ali so bile odredbe izdane pisno ali ustno, ali so bile ustne odredbe kako zabeležene; </w:t>
      </w:r>
    </w:p>
    <w:p w14:paraId="53A0276E" w14:textId="77777777" w:rsidR="00695AE2" w:rsidRPr="00503014" w:rsidRDefault="00695AE2" w:rsidP="00695AE2">
      <w:pPr>
        <w:widowControl w:val="0"/>
        <w:numPr>
          <w:ilvl w:val="0"/>
          <w:numId w:val="53"/>
        </w:numPr>
        <w:spacing w:line="240" w:lineRule="auto"/>
        <w:contextualSpacing/>
        <w:jc w:val="both"/>
      </w:pPr>
      <w:r w:rsidRPr="00503014">
        <w:t>ali so bile glede izjem od vnaprej znanih pravil dodeljevanja na oddelku in če hkrati ne gre za odločitev, ki temelji na odločitvi generalnega državnega odvetnika za posamezno ali posamezne vrste zadev (če je bilo na primer ob ustanovitvi delovne skupine odrejeno, da se določena vrsta zadev dodeljuje samo članom delovne skupine ali podobno), torej v primerih:</w:t>
      </w:r>
    </w:p>
    <w:p w14:paraId="42158958" w14:textId="77777777" w:rsidR="00695AE2" w:rsidRPr="00503014" w:rsidRDefault="00695AE2" w:rsidP="00695AE2">
      <w:pPr>
        <w:widowControl w:val="0"/>
        <w:numPr>
          <w:ilvl w:val="0"/>
          <w:numId w:val="54"/>
        </w:numPr>
        <w:spacing w:line="240" w:lineRule="auto"/>
        <w:contextualSpacing/>
        <w:jc w:val="both"/>
      </w:pPr>
      <w:r w:rsidRPr="00503014">
        <w:t xml:space="preserve">zmanjšanja obsega rednega pripada zadev (22. člen Pravilnika o poslovanju državnega odvetništva), </w:t>
      </w:r>
    </w:p>
    <w:p w14:paraId="4F42BB67" w14:textId="77777777" w:rsidR="00695AE2" w:rsidRPr="00503014" w:rsidRDefault="00695AE2" w:rsidP="00695AE2">
      <w:pPr>
        <w:widowControl w:val="0"/>
        <w:numPr>
          <w:ilvl w:val="0"/>
          <w:numId w:val="54"/>
        </w:numPr>
        <w:spacing w:line="240" w:lineRule="auto"/>
        <w:contextualSpacing/>
        <w:jc w:val="both"/>
      </w:pPr>
      <w:r w:rsidRPr="00503014">
        <w:t>predodelitve zadev (27. člen (daljša odsotnost), 28. člen (če državni odvetnik prejme v delo izjemno zahtevno, obsežno in nujno zadevo oziroma mu je naloženo kakšno drugo nujno delo ali izvedba naloge) in 29. člen (sprememba števila državnih odvetnikov ali kandidatov za državne odvetnike na oddelku) Pravilnika o poslovanju državnega odvetništva),</w:t>
      </w:r>
    </w:p>
    <w:p w14:paraId="4E1C2E5E" w14:textId="77777777" w:rsidR="00695AE2" w:rsidRPr="00503014" w:rsidRDefault="00695AE2" w:rsidP="00695AE2">
      <w:pPr>
        <w:widowControl w:val="0"/>
        <w:numPr>
          <w:ilvl w:val="0"/>
          <w:numId w:val="54"/>
        </w:numPr>
        <w:spacing w:line="240" w:lineRule="auto"/>
        <w:contextualSpacing/>
        <w:jc w:val="both"/>
      </w:pPr>
      <w:r w:rsidRPr="00503014">
        <w:t xml:space="preserve">ustavitve dodeljevanja novih zadev (28. člen Pravilnika o poslovanju državnega odvetništva) </w:t>
      </w:r>
    </w:p>
    <w:p w14:paraId="2A2B9EB9" w14:textId="77777777" w:rsidR="00695AE2" w:rsidRPr="00503014" w:rsidRDefault="00695AE2" w:rsidP="00695AE2">
      <w:pPr>
        <w:spacing w:line="240" w:lineRule="auto"/>
        <w:ind w:left="720"/>
        <w:contextualSpacing/>
        <w:jc w:val="both"/>
      </w:pPr>
      <w:r w:rsidRPr="00503014">
        <w:t>za posamezne primere oziroma nosilce na oddelku izdane odredbe (generalnega državnega odvetnika ali vodje oddelka – ali je bil ta za to pooblaščen s strani generalnega državnega odvetnika, ali so bile njegove odredbe izdane pisno ali ustno; ali so bile ustne odredbe kako zabeležene; ali je iz odredbe razviden razlog – ali gre za razlog iz pravilnika o poslovanju državnega odvetništva ali za kak drug razlog);</w:t>
      </w:r>
    </w:p>
    <w:p w14:paraId="6674D920" w14:textId="77777777" w:rsidR="00695AE2" w:rsidRPr="00503014" w:rsidRDefault="00695AE2" w:rsidP="00695AE2">
      <w:pPr>
        <w:numPr>
          <w:ilvl w:val="0"/>
          <w:numId w:val="55"/>
        </w:numPr>
        <w:spacing w:line="240" w:lineRule="auto"/>
        <w:contextualSpacing/>
        <w:jc w:val="both"/>
      </w:pPr>
      <w:r w:rsidRPr="00503014">
        <w:t xml:space="preserve">pregled morebitnih ne dodeljenih spisov; </w:t>
      </w:r>
    </w:p>
    <w:p w14:paraId="2BBA8A20" w14:textId="77777777" w:rsidR="00695AE2" w:rsidRPr="00503014" w:rsidRDefault="00695AE2" w:rsidP="00695AE2">
      <w:pPr>
        <w:numPr>
          <w:ilvl w:val="0"/>
          <w:numId w:val="55"/>
        </w:numPr>
        <w:spacing w:line="240" w:lineRule="auto"/>
        <w:contextualSpacing/>
        <w:jc w:val="both"/>
      </w:pPr>
      <w:r w:rsidRPr="00503014">
        <w:t>pregled zadev, v katerih sta določena enakovredna nosilca; pregled zadev, v katerih je določen tudi 1. ali 2. nosilec; pregled zadev s sodelujočimi osebami;</w:t>
      </w:r>
    </w:p>
    <w:p w14:paraId="2E51BDE0" w14:textId="77777777" w:rsidR="00695AE2" w:rsidRPr="00503014" w:rsidRDefault="00695AE2" w:rsidP="00695AE2">
      <w:pPr>
        <w:numPr>
          <w:ilvl w:val="0"/>
          <w:numId w:val="55"/>
        </w:numPr>
        <w:spacing w:line="240" w:lineRule="auto"/>
        <w:contextualSpacing/>
        <w:jc w:val="both"/>
      </w:pPr>
      <w:r w:rsidRPr="00503014">
        <w:t>ali po oceni nadzorne komisije dodeljevanje zadev na oddelku poteka pregledno.</w:t>
      </w:r>
    </w:p>
    <w:p w14:paraId="10EE0276" w14:textId="77777777" w:rsidR="00695AE2" w:rsidRPr="00503014" w:rsidRDefault="00695AE2" w:rsidP="00695AE2">
      <w:pPr>
        <w:spacing w:line="240" w:lineRule="auto"/>
        <w:ind w:left="720"/>
        <w:contextualSpacing/>
        <w:jc w:val="both"/>
      </w:pPr>
    </w:p>
    <w:p w14:paraId="15E1124E" w14:textId="77777777" w:rsidR="00695AE2" w:rsidRPr="00503014" w:rsidRDefault="00695AE2" w:rsidP="00695AE2">
      <w:pPr>
        <w:numPr>
          <w:ilvl w:val="0"/>
          <w:numId w:val="60"/>
        </w:numPr>
        <w:spacing w:line="240" w:lineRule="auto"/>
        <w:contextualSpacing/>
        <w:jc w:val="both"/>
      </w:pPr>
      <w:r w:rsidRPr="00503014">
        <w:t>Zaključevanje spisov:</w:t>
      </w:r>
    </w:p>
    <w:p w14:paraId="7687FEF8" w14:textId="77777777" w:rsidR="00695AE2" w:rsidRPr="00503014" w:rsidRDefault="00695AE2" w:rsidP="00695AE2">
      <w:pPr>
        <w:numPr>
          <w:ilvl w:val="0"/>
          <w:numId w:val="56"/>
        </w:numPr>
        <w:spacing w:line="240" w:lineRule="auto"/>
        <w:contextualSpacing/>
        <w:jc w:val="both"/>
      </w:pPr>
      <w:r w:rsidRPr="00503014">
        <w:t>ali je bil spis zaključen skladno s 76. členom Pravilnika o poslovanju državnega odvetništva;</w:t>
      </w:r>
    </w:p>
    <w:p w14:paraId="5A4D589E" w14:textId="77777777" w:rsidR="00695AE2" w:rsidRPr="00503014" w:rsidRDefault="00695AE2" w:rsidP="00695AE2">
      <w:pPr>
        <w:numPr>
          <w:ilvl w:val="0"/>
          <w:numId w:val="56"/>
        </w:numPr>
        <w:spacing w:line="240" w:lineRule="auto"/>
        <w:contextualSpacing/>
        <w:jc w:val="both"/>
      </w:pPr>
      <w:r w:rsidRPr="00503014">
        <w:t>ali so pred zaključevanjem končne odredbe ugotovljena pravnomočnost, pozvana naša stranka k izpolnitvi pravnomočne odločbe, nasprotna stranka pozvana k izpolnitvi obveznosti ter ali je bil nato spis najkasneje v treh mesecih zaključen s končno odredbo (drugi odstavek 114. člena Pravilnika o poslovanju državnega odvetništva);</w:t>
      </w:r>
    </w:p>
    <w:p w14:paraId="644D8E39" w14:textId="77777777" w:rsidR="00695AE2" w:rsidRPr="00503014" w:rsidRDefault="00695AE2" w:rsidP="00695AE2">
      <w:pPr>
        <w:numPr>
          <w:ilvl w:val="0"/>
          <w:numId w:val="56"/>
        </w:numPr>
        <w:spacing w:line="240" w:lineRule="auto"/>
        <w:contextualSpacing/>
        <w:jc w:val="both"/>
      </w:pPr>
      <w:r w:rsidRPr="00503014">
        <w:t>ali je v spisu izpolnjena, podpisana končna odredba; ali je končno odredbo podpisala tudi vodja oddelka (določa drugi odstavek 76. člena Pravilnika o poslovanju državnega odvetništva; identično vsebino glede podpisovanja končnih odredb ima tudi odredba, št. DP-A01-5/2013-29 z dne 3. 4. 2013);</w:t>
      </w:r>
    </w:p>
    <w:p w14:paraId="0E55FEF8" w14:textId="77777777" w:rsidR="00695AE2" w:rsidRPr="00503014" w:rsidRDefault="00695AE2" w:rsidP="00695AE2">
      <w:pPr>
        <w:numPr>
          <w:ilvl w:val="0"/>
          <w:numId w:val="56"/>
        </w:numPr>
        <w:spacing w:line="240" w:lineRule="auto"/>
        <w:contextualSpacing/>
        <w:jc w:val="both"/>
      </w:pPr>
      <w:r w:rsidRPr="00503014">
        <w:t>za zaključevanje zadev v pravdnem vpisniku je bilo izdano Navodilo o zaključevanju in izpolnjevanju končnih odredb v pravdnem vpisniku št. DP-A01-80/2013-14 z dne 3. 4. 2013;</w:t>
      </w:r>
    </w:p>
    <w:p w14:paraId="142336E7" w14:textId="77777777" w:rsidR="00695AE2" w:rsidRPr="00503014" w:rsidRDefault="00695AE2" w:rsidP="00695AE2">
      <w:pPr>
        <w:numPr>
          <w:ilvl w:val="0"/>
          <w:numId w:val="56"/>
        </w:numPr>
        <w:spacing w:line="240" w:lineRule="auto"/>
        <w:contextualSpacing/>
        <w:jc w:val="both"/>
      </w:pPr>
      <w:r w:rsidRPr="00503014">
        <w:t>skladnost med fizično zaključenim spisom in elektronsko vodenim spisom (ali je končna odredba evidentirana tudi v elektronskem spisu);</w:t>
      </w:r>
    </w:p>
    <w:p w14:paraId="25FE0859" w14:textId="77777777" w:rsidR="00695AE2" w:rsidRPr="00503014" w:rsidRDefault="00695AE2" w:rsidP="00695AE2">
      <w:pPr>
        <w:numPr>
          <w:ilvl w:val="0"/>
          <w:numId w:val="56"/>
        </w:numPr>
        <w:spacing w:line="240" w:lineRule="auto"/>
        <w:contextualSpacing/>
        <w:jc w:val="both"/>
      </w:pPr>
      <w:r w:rsidRPr="00503014">
        <w:t xml:space="preserve">pregled zaključenih spisov z rešitvijo »na drug način« (preveri se, ali je na končni odredbi ta način zaključka spisa obrazložen in podatki vpisani v vpisnik ter ali je vključen opis ob zaključitvi); </w:t>
      </w:r>
    </w:p>
    <w:p w14:paraId="1D92FC4D" w14:textId="77777777" w:rsidR="00695AE2" w:rsidRPr="00503014" w:rsidRDefault="00695AE2" w:rsidP="00695AE2">
      <w:pPr>
        <w:numPr>
          <w:ilvl w:val="0"/>
          <w:numId w:val="56"/>
        </w:numPr>
        <w:spacing w:line="240" w:lineRule="auto"/>
        <w:contextualSpacing/>
        <w:jc w:val="both"/>
      </w:pPr>
      <w:r w:rsidRPr="00503014">
        <w:t>preveri se tudi, ali so pri zaključevanju spisov zaostanki ter razlogi za to;</w:t>
      </w:r>
    </w:p>
    <w:p w14:paraId="2AE5D1C4" w14:textId="77777777" w:rsidR="00695AE2" w:rsidRPr="00503014" w:rsidRDefault="00695AE2" w:rsidP="00695AE2">
      <w:pPr>
        <w:numPr>
          <w:ilvl w:val="0"/>
          <w:numId w:val="56"/>
        </w:numPr>
        <w:spacing w:line="240" w:lineRule="auto"/>
        <w:contextualSpacing/>
        <w:jc w:val="both"/>
      </w:pPr>
      <w:r w:rsidRPr="00503014">
        <w:lastRenderedPageBreak/>
        <w:t>za namen pregledovanja zaključevanja zadev se pregledajo tudi posamezni že zaključeni spisi (preveri se tudi, ali je spis urejen, vložen v pravi letnik v pravi vpisnik…);</w:t>
      </w:r>
    </w:p>
    <w:p w14:paraId="4DAD2418" w14:textId="77777777" w:rsidR="00695AE2" w:rsidRPr="00503014" w:rsidRDefault="00695AE2" w:rsidP="00695AE2">
      <w:pPr>
        <w:spacing w:line="240" w:lineRule="auto"/>
        <w:ind w:left="720"/>
        <w:contextualSpacing/>
        <w:jc w:val="both"/>
      </w:pPr>
    </w:p>
    <w:p w14:paraId="064E8909" w14:textId="77777777" w:rsidR="00695AE2" w:rsidRPr="00503014" w:rsidRDefault="00695AE2" w:rsidP="00695AE2">
      <w:pPr>
        <w:numPr>
          <w:ilvl w:val="0"/>
          <w:numId w:val="56"/>
        </w:numPr>
        <w:spacing w:line="240" w:lineRule="auto"/>
        <w:contextualSpacing/>
        <w:jc w:val="both"/>
      </w:pPr>
      <w:r w:rsidRPr="00503014">
        <w:t xml:space="preserve">v zvezi z izdanim potrdilom o neuspelem poskusu mirne rešitve spora se preveri: </w:t>
      </w:r>
    </w:p>
    <w:p w14:paraId="0DEBC95B" w14:textId="77777777" w:rsidR="00695AE2" w:rsidRPr="00503014" w:rsidRDefault="00695AE2" w:rsidP="00695AE2">
      <w:pPr>
        <w:numPr>
          <w:ilvl w:val="0"/>
          <w:numId w:val="78"/>
        </w:numPr>
        <w:spacing w:line="240" w:lineRule="auto"/>
        <w:contextualSpacing/>
        <w:jc w:val="both"/>
      </w:pPr>
      <w:r w:rsidRPr="00503014">
        <w:t xml:space="preserve">pravilnost evidentiranja – potrdilo o neuspelem poskusu mirne rešitve spora kot priloga zavrnitve zahtevka ali pa kot samostojen dokument (vsak dokument samo enkrat); </w:t>
      </w:r>
    </w:p>
    <w:p w14:paraId="29986C8B" w14:textId="77777777" w:rsidR="00695AE2" w:rsidRPr="00503014" w:rsidRDefault="00695AE2" w:rsidP="00695AE2">
      <w:pPr>
        <w:numPr>
          <w:ilvl w:val="0"/>
          <w:numId w:val="77"/>
        </w:numPr>
        <w:spacing w:line="240" w:lineRule="auto"/>
        <w:contextualSpacing/>
        <w:jc w:val="both"/>
      </w:pPr>
      <w:r w:rsidRPr="00503014">
        <w:t xml:space="preserve">ali je bilo odrejeno vročanje z vročilnico (drugi odstavek 100. člena Pravilnika o poslovanju državnega odvetništva); </w:t>
      </w:r>
    </w:p>
    <w:p w14:paraId="5788EB15" w14:textId="77777777" w:rsidR="00695AE2" w:rsidRPr="00503014" w:rsidRDefault="00695AE2" w:rsidP="00695AE2">
      <w:pPr>
        <w:numPr>
          <w:ilvl w:val="0"/>
          <w:numId w:val="77"/>
        </w:numPr>
        <w:spacing w:line="240" w:lineRule="auto"/>
        <w:contextualSpacing/>
        <w:jc w:val="both"/>
      </w:pPr>
      <w:r w:rsidRPr="00503014">
        <w:t>ali je bila vročilnica pripeta k dokumentu, na katerega se nanaša.</w:t>
      </w:r>
    </w:p>
    <w:p w14:paraId="3AAF759F" w14:textId="77777777" w:rsidR="00695AE2" w:rsidRPr="00503014" w:rsidRDefault="00695AE2" w:rsidP="00695AE2">
      <w:pPr>
        <w:spacing w:line="240" w:lineRule="auto"/>
        <w:jc w:val="both"/>
      </w:pPr>
    </w:p>
    <w:p w14:paraId="78402B4D" w14:textId="77777777" w:rsidR="00695AE2" w:rsidRPr="00503014" w:rsidRDefault="00695AE2" w:rsidP="00695AE2">
      <w:pPr>
        <w:numPr>
          <w:ilvl w:val="0"/>
          <w:numId w:val="60"/>
        </w:numPr>
        <w:spacing w:line="240" w:lineRule="auto"/>
        <w:contextualSpacing/>
        <w:jc w:val="both"/>
      </w:pPr>
      <w:r w:rsidRPr="00503014">
        <w:t>Priporoča se tudi pregled posameznih zadev oziroma vpisov:</w:t>
      </w:r>
    </w:p>
    <w:p w14:paraId="50CA214F" w14:textId="77777777" w:rsidR="00695AE2" w:rsidRPr="00503014" w:rsidRDefault="00695AE2" w:rsidP="00695AE2">
      <w:pPr>
        <w:numPr>
          <w:ilvl w:val="0"/>
          <w:numId w:val="57"/>
        </w:numPr>
        <w:spacing w:line="240" w:lineRule="auto"/>
        <w:contextualSpacing/>
        <w:jc w:val="both"/>
      </w:pPr>
      <w:r w:rsidRPr="00503014">
        <w:t xml:space="preserve">pregled spisov, ki imajo status »v delu«, mesto nahajanja pa »v arhivu«; </w:t>
      </w:r>
    </w:p>
    <w:p w14:paraId="756CA2BF" w14:textId="77777777" w:rsidR="00695AE2" w:rsidRPr="00503014" w:rsidRDefault="00695AE2" w:rsidP="00695AE2">
      <w:pPr>
        <w:numPr>
          <w:ilvl w:val="0"/>
          <w:numId w:val="57"/>
        </w:numPr>
        <w:spacing w:line="240" w:lineRule="auto"/>
        <w:contextualSpacing/>
        <w:jc w:val="both"/>
      </w:pPr>
      <w:r w:rsidRPr="00503014">
        <w:t xml:space="preserve">pregled zadev s statusom spisa »v delu«, pri katerih so kot nosilci določene osebe, ki niso več zaposlene na oddelku oziroma Državnem odvetništvu; </w:t>
      </w:r>
    </w:p>
    <w:p w14:paraId="63AC6B6D" w14:textId="77777777" w:rsidR="00695AE2" w:rsidRPr="00503014" w:rsidRDefault="00695AE2" w:rsidP="00695AE2">
      <w:pPr>
        <w:numPr>
          <w:ilvl w:val="0"/>
          <w:numId w:val="57"/>
        </w:numPr>
        <w:spacing w:line="240" w:lineRule="auto"/>
        <w:contextualSpacing/>
        <w:jc w:val="both"/>
      </w:pPr>
      <w:r w:rsidRPr="00503014">
        <w:t xml:space="preserve">pregled reaktiviranih spisov (ali je zabeleženo mesto nahajanja, ali je bil spis ponovno zaprt po vpisu dokumenta in seznanitvi nosilca); </w:t>
      </w:r>
    </w:p>
    <w:p w14:paraId="68A2201E" w14:textId="77777777" w:rsidR="00695AE2" w:rsidRPr="00503014" w:rsidRDefault="00695AE2" w:rsidP="00695AE2">
      <w:pPr>
        <w:numPr>
          <w:ilvl w:val="0"/>
          <w:numId w:val="57"/>
        </w:numPr>
        <w:spacing w:line="240" w:lineRule="auto"/>
        <w:contextualSpacing/>
        <w:jc w:val="both"/>
      </w:pPr>
      <w:r w:rsidRPr="00503014">
        <w:t xml:space="preserve">pregled pomotnih vpisov (ob oceni, da gre za večje število takih vpisov, razlog za to); </w:t>
      </w:r>
    </w:p>
    <w:p w14:paraId="2EB711D7" w14:textId="77777777" w:rsidR="00695AE2" w:rsidRPr="00503014" w:rsidRDefault="00695AE2" w:rsidP="00695AE2">
      <w:pPr>
        <w:numPr>
          <w:ilvl w:val="0"/>
          <w:numId w:val="57"/>
        </w:numPr>
        <w:spacing w:line="240" w:lineRule="auto"/>
        <w:contextualSpacing/>
        <w:jc w:val="both"/>
      </w:pPr>
      <w:r w:rsidRPr="00503014">
        <w:t xml:space="preserve">pregled zadev z začasnim temeljem (razlog, zakaj v zadevi ni določen temelj); </w:t>
      </w:r>
    </w:p>
    <w:p w14:paraId="40343102" w14:textId="77777777" w:rsidR="00695AE2" w:rsidRPr="00503014" w:rsidRDefault="00695AE2" w:rsidP="00695AE2">
      <w:pPr>
        <w:numPr>
          <w:ilvl w:val="0"/>
          <w:numId w:val="57"/>
        </w:numPr>
        <w:spacing w:line="240" w:lineRule="auto"/>
        <w:contextualSpacing/>
        <w:jc w:val="both"/>
        <w:rPr>
          <w:b/>
          <w:bCs/>
        </w:rPr>
      </w:pPr>
      <w:r w:rsidRPr="00503014">
        <w:t>pregled spisov, v katerih so določeni tudi stranski temelji;</w:t>
      </w:r>
    </w:p>
    <w:p w14:paraId="2D48F3A4" w14:textId="77777777" w:rsidR="00695AE2" w:rsidRPr="00503014" w:rsidRDefault="00695AE2" w:rsidP="00695AE2">
      <w:pPr>
        <w:numPr>
          <w:ilvl w:val="0"/>
          <w:numId w:val="57"/>
        </w:numPr>
        <w:spacing w:line="240" w:lineRule="auto"/>
        <w:contextualSpacing/>
        <w:jc w:val="both"/>
      </w:pPr>
      <w:r w:rsidRPr="00503014">
        <w:t xml:space="preserve">pregled starejših koledarjev pri zadevah v delu. </w:t>
      </w:r>
    </w:p>
    <w:p w14:paraId="62B7B337" w14:textId="77777777" w:rsidR="00695AE2" w:rsidRPr="00503014" w:rsidRDefault="00695AE2" w:rsidP="00695AE2">
      <w:pPr>
        <w:spacing w:line="240" w:lineRule="auto"/>
        <w:ind w:left="720"/>
        <w:contextualSpacing/>
        <w:jc w:val="both"/>
      </w:pPr>
    </w:p>
    <w:p w14:paraId="3C63409D" w14:textId="77777777" w:rsidR="00695AE2" w:rsidRPr="00503014" w:rsidRDefault="00695AE2" w:rsidP="00695AE2">
      <w:pPr>
        <w:numPr>
          <w:ilvl w:val="0"/>
          <w:numId w:val="60"/>
        </w:numPr>
        <w:spacing w:line="240" w:lineRule="auto"/>
        <w:contextualSpacing/>
        <w:jc w:val="both"/>
        <w:rPr>
          <w:u w:val="single"/>
        </w:rPr>
      </w:pPr>
      <w:r w:rsidRPr="00503014">
        <w:t>Stanje arhiva:</w:t>
      </w:r>
    </w:p>
    <w:p w14:paraId="46B295A3" w14:textId="77777777" w:rsidR="00695AE2" w:rsidRPr="00503014" w:rsidRDefault="00695AE2" w:rsidP="00695AE2">
      <w:pPr>
        <w:numPr>
          <w:ilvl w:val="0"/>
          <w:numId w:val="58"/>
        </w:numPr>
        <w:spacing w:line="240" w:lineRule="auto"/>
        <w:contextualSpacing/>
        <w:jc w:val="both"/>
      </w:pPr>
      <w:r w:rsidRPr="00503014">
        <w:t>pravilno beleženje prehoda spisov med zbirkami dokumentarnega gradiva (evidentiranje v informacijskem sistemu);</w:t>
      </w:r>
      <w:r w:rsidRPr="00503014">
        <w:rPr>
          <w:rFonts w:eastAsia="Times New Roman"/>
          <w:lang w:eastAsia="sl-SI"/>
        </w:rPr>
        <w:t xml:space="preserve"> </w:t>
      </w:r>
    </w:p>
    <w:p w14:paraId="4C235672" w14:textId="77777777" w:rsidR="00695AE2" w:rsidRPr="00503014" w:rsidRDefault="00695AE2" w:rsidP="00695AE2">
      <w:pPr>
        <w:numPr>
          <w:ilvl w:val="0"/>
          <w:numId w:val="58"/>
        </w:numPr>
        <w:spacing w:line="240" w:lineRule="auto"/>
        <w:contextualSpacing/>
        <w:jc w:val="both"/>
      </w:pPr>
      <w:r w:rsidRPr="00503014">
        <w:t>urejenost priročnega in stalnega arhiva;</w:t>
      </w:r>
    </w:p>
    <w:p w14:paraId="02B83127" w14:textId="77777777" w:rsidR="00695AE2" w:rsidRPr="00503014" w:rsidRDefault="00695AE2" w:rsidP="00695AE2">
      <w:pPr>
        <w:numPr>
          <w:ilvl w:val="0"/>
          <w:numId w:val="58"/>
        </w:numPr>
        <w:spacing w:line="240" w:lineRule="auto"/>
        <w:contextualSpacing/>
        <w:jc w:val="both"/>
      </w:pPr>
      <w:r w:rsidRPr="00503014">
        <w:t>uporaba ognjevarnih omar;</w:t>
      </w:r>
    </w:p>
    <w:p w14:paraId="6F42618F" w14:textId="77777777" w:rsidR="00695AE2" w:rsidRPr="00503014" w:rsidRDefault="00695AE2" w:rsidP="00695AE2">
      <w:pPr>
        <w:numPr>
          <w:ilvl w:val="0"/>
          <w:numId w:val="58"/>
        </w:numPr>
        <w:spacing w:line="240" w:lineRule="auto"/>
        <w:contextualSpacing/>
        <w:jc w:val="both"/>
      </w:pPr>
      <w:r w:rsidRPr="00503014">
        <w:t>hramba žigov in štampiljk (ali se hranijo tako, da nepooblaščene osebe nimajo dostopa do njih; se ob koncu delovnega dne pospravijo in zaklenejo).</w:t>
      </w:r>
    </w:p>
    <w:p w14:paraId="60A59439" w14:textId="77777777" w:rsidR="00695AE2" w:rsidRPr="00503014" w:rsidRDefault="00695AE2" w:rsidP="00695AE2">
      <w:pPr>
        <w:spacing w:line="240" w:lineRule="auto"/>
        <w:jc w:val="both"/>
      </w:pPr>
    </w:p>
    <w:p w14:paraId="4B34476B" w14:textId="77777777" w:rsidR="00695AE2" w:rsidRPr="00503014" w:rsidRDefault="00695AE2" w:rsidP="00695AE2">
      <w:pPr>
        <w:numPr>
          <w:ilvl w:val="0"/>
          <w:numId w:val="60"/>
        </w:numPr>
        <w:spacing w:line="240" w:lineRule="auto"/>
        <w:contextualSpacing/>
        <w:jc w:val="both"/>
        <w:rPr>
          <w:rFonts w:eastAsia="Times New Roman"/>
          <w:u w:val="single"/>
        </w:rPr>
      </w:pPr>
      <w:r w:rsidRPr="00503014">
        <w:t>Pregled pravilnosti vodenja evidence iz naslova sodno priznanih stroškov zastopanja</w:t>
      </w:r>
      <w:r w:rsidRPr="00503014">
        <w:rPr>
          <w:u w:val="single"/>
        </w:rPr>
        <w:t xml:space="preserve"> </w:t>
      </w:r>
      <w:r w:rsidRPr="00503014">
        <w:rPr>
          <w:rFonts w:eastAsia="Times New Roman"/>
        </w:rPr>
        <w:t xml:space="preserve"> (določene točke tega dela so aktualne samo v primeru nadzora nad poslovanjem Pisarne za vodenje obveznosti iz naslova priznanih stroškov zastopanja):</w:t>
      </w:r>
    </w:p>
    <w:p w14:paraId="2FA49F40" w14:textId="77777777" w:rsidR="00695AE2" w:rsidRPr="00503014" w:rsidRDefault="00695AE2" w:rsidP="00695AE2">
      <w:pPr>
        <w:numPr>
          <w:ilvl w:val="0"/>
          <w:numId w:val="62"/>
        </w:numPr>
        <w:spacing w:line="240" w:lineRule="auto"/>
        <w:contextualSpacing/>
        <w:jc w:val="both"/>
      </w:pPr>
      <w:r w:rsidRPr="00503014">
        <w:t>ali se podatki o sodno priznanih stroških vodijo tekoče;</w:t>
      </w:r>
    </w:p>
    <w:p w14:paraId="597E29BF" w14:textId="77777777" w:rsidR="00695AE2" w:rsidRPr="00503014" w:rsidRDefault="00695AE2" w:rsidP="00695AE2">
      <w:pPr>
        <w:numPr>
          <w:ilvl w:val="0"/>
          <w:numId w:val="63"/>
        </w:numPr>
        <w:spacing w:line="240" w:lineRule="auto"/>
        <w:contextualSpacing/>
        <w:jc w:val="both"/>
      </w:pPr>
      <w:r w:rsidRPr="00503014">
        <w:t>ali je v spisu evidentiran podatek o pravnomočnosti listine, ki je podlaga za vzpostavitev terjatve;</w:t>
      </w:r>
    </w:p>
    <w:p w14:paraId="581479E0" w14:textId="77777777" w:rsidR="00695AE2" w:rsidRPr="00503014" w:rsidRDefault="00695AE2" w:rsidP="00695AE2">
      <w:pPr>
        <w:numPr>
          <w:ilvl w:val="0"/>
          <w:numId w:val="63"/>
        </w:numPr>
        <w:spacing w:line="240" w:lineRule="auto"/>
        <w:contextualSpacing/>
        <w:jc w:val="both"/>
      </w:pPr>
      <w:r w:rsidRPr="00503014">
        <w:t>datum vzpostavitve terjatve (z datumom, ko nastane ali ob prejemu plačila);</w:t>
      </w:r>
    </w:p>
    <w:p w14:paraId="24945906" w14:textId="77777777" w:rsidR="00695AE2" w:rsidRPr="00503014" w:rsidRDefault="00695AE2" w:rsidP="00695AE2">
      <w:pPr>
        <w:numPr>
          <w:ilvl w:val="0"/>
          <w:numId w:val="64"/>
        </w:numPr>
        <w:spacing w:line="240" w:lineRule="auto"/>
        <w:contextualSpacing/>
        <w:jc w:val="both"/>
      </w:pPr>
      <w:r w:rsidRPr="00503014">
        <w:t>ali so v spisu vsi obrazci, ki se nanašajo na finančni del spisa, ali so evidentirani v spisu in v informacijskem sistemu;</w:t>
      </w:r>
    </w:p>
    <w:p w14:paraId="6A27FC11" w14:textId="77777777" w:rsidR="00695AE2" w:rsidRPr="00503014" w:rsidRDefault="00695AE2" w:rsidP="00695AE2">
      <w:pPr>
        <w:numPr>
          <w:ilvl w:val="0"/>
          <w:numId w:val="65"/>
        </w:numPr>
        <w:spacing w:line="240" w:lineRule="auto"/>
        <w:contextualSpacing/>
        <w:jc w:val="both"/>
      </w:pPr>
      <w:r w:rsidRPr="00503014">
        <w:t xml:space="preserve">ali se pri pošiljanju pozivov uporablja predpisan obrazec UPN, ki vsebuje QR kodo </w:t>
      </w:r>
      <w:r w:rsidRPr="00503014">
        <w:rPr>
          <w:rFonts w:eastAsia="Times New Roman"/>
        </w:rPr>
        <w:t xml:space="preserve">(v tem delu aktualno samo v primeru nadzora nad poslovanjem Pisarne za vodenje obveznosti iz naslova priznanih stroškov zastopanja) </w:t>
      </w:r>
      <w:r w:rsidRPr="00503014">
        <w:t>;</w:t>
      </w:r>
    </w:p>
    <w:p w14:paraId="1AFDFD8E" w14:textId="77777777" w:rsidR="00695AE2" w:rsidRPr="00503014" w:rsidRDefault="00695AE2" w:rsidP="00695AE2">
      <w:pPr>
        <w:numPr>
          <w:ilvl w:val="0"/>
          <w:numId w:val="66"/>
        </w:numPr>
        <w:spacing w:line="240" w:lineRule="auto"/>
        <w:contextualSpacing/>
        <w:jc w:val="both"/>
      </w:pPr>
      <w:r w:rsidRPr="00503014">
        <w:t>pravilnost vpisanih podatkov o terjatvah v Odoo pravilnost zneskov vpisanega priliva/odliva (glavnica, obresti);</w:t>
      </w:r>
    </w:p>
    <w:p w14:paraId="1CF50136" w14:textId="77777777" w:rsidR="00695AE2" w:rsidRPr="00503014" w:rsidRDefault="00695AE2" w:rsidP="00695AE2">
      <w:pPr>
        <w:numPr>
          <w:ilvl w:val="0"/>
          <w:numId w:val="67"/>
        </w:numPr>
        <w:spacing w:line="240" w:lineRule="auto"/>
        <w:contextualSpacing/>
        <w:jc w:val="both"/>
      </w:pPr>
      <w:r w:rsidRPr="00503014">
        <w:t>upoštevanje vrstnega reda poplačila terjatve (obresti – glavnica);</w:t>
      </w:r>
    </w:p>
    <w:p w14:paraId="7E3C392C" w14:textId="77777777" w:rsidR="00695AE2" w:rsidRPr="00503014" w:rsidRDefault="00695AE2" w:rsidP="00695AE2">
      <w:pPr>
        <w:numPr>
          <w:ilvl w:val="0"/>
          <w:numId w:val="68"/>
        </w:numPr>
        <w:spacing w:line="240" w:lineRule="auto"/>
        <w:contextualSpacing/>
        <w:jc w:val="both"/>
      </w:pPr>
      <w:r w:rsidRPr="00503014">
        <w:lastRenderedPageBreak/>
        <w:t>zapiranje terjatev (ali so terjatve res poplačane v celoti, v primeru prenosa v drug spis – ali je to pravilno zabeleženo v vpisniku);</w:t>
      </w:r>
    </w:p>
    <w:p w14:paraId="676A54E7" w14:textId="77777777" w:rsidR="00695AE2" w:rsidRPr="00503014" w:rsidRDefault="00695AE2" w:rsidP="00695AE2">
      <w:pPr>
        <w:numPr>
          <w:ilvl w:val="0"/>
          <w:numId w:val="68"/>
        </w:numPr>
        <w:spacing w:line="240" w:lineRule="auto"/>
        <w:contextualSpacing/>
        <w:jc w:val="both"/>
      </w:pPr>
      <w:r w:rsidRPr="00503014">
        <w:t>ugotavlja se  sodelovanje nosilca spisa pri izpolnjevanju odredb.</w:t>
      </w:r>
    </w:p>
    <w:p w14:paraId="75480EF0" w14:textId="77777777" w:rsidR="00695AE2" w:rsidRPr="00503014" w:rsidRDefault="00695AE2" w:rsidP="00695AE2">
      <w:pPr>
        <w:spacing w:line="240" w:lineRule="auto"/>
        <w:jc w:val="both"/>
      </w:pPr>
    </w:p>
    <w:p w14:paraId="6871F20A" w14:textId="77777777" w:rsidR="00695AE2" w:rsidRPr="00503014" w:rsidRDefault="00695AE2" w:rsidP="00695AE2">
      <w:pPr>
        <w:numPr>
          <w:ilvl w:val="0"/>
          <w:numId w:val="60"/>
        </w:numPr>
        <w:spacing w:line="240" w:lineRule="auto"/>
        <w:ind w:right="-851"/>
        <w:contextualSpacing/>
        <w:jc w:val="both"/>
      </w:pPr>
      <w:r w:rsidRPr="00503014">
        <w:t>Drugo:</w:t>
      </w:r>
    </w:p>
    <w:p w14:paraId="765F565A" w14:textId="77777777" w:rsidR="00695AE2" w:rsidRPr="00503014" w:rsidRDefault="00695AE2" w:rsidP="00695AE2">
      <w:pPr>
        <w:numPr>
          <w:ilvl w:val="0"/>
          <w:numId w:val="59"/>
        </w:numPr>
        <w:spacing w:line="240" w:lineRule="auto"/>
        <w:contextualSpacing/>
        <w:jc w:val="both"/>
      </w:pPr>
      <w:r w:rsidRPr="00503014">
        <w:t>ali vodja oddelka ob izdaj navodil ali drugih aktov, ki posegajo oziroma vplivajo na področje vpisnikov, predstavi vpisniku, da se zagotovi pravilno delo vpisnika; ali se nato na vpisniku preverja izvedba danih navodil;</w:t>
      </w:r>
    </w:p>
    <w:p w14:paraId="4280AA0A" w14:textId="77777777" w:rsidR="00695AE2" w:rsidRPr="00503014" w:rsidRDefault="00695AE2" w:rsidP="00695AE2">
      <w:pPr>
        <w:numPr>
          <w:ilvl w:val="0"/>
          <w:numId w:val="59"/>
        </w:numPr>
        <w:spacing w:line="240" w:lineRule="auto"/>
        <w:contextualSpacing/>
        <w:jc w:val="both"/>
      </w:pPr>
      <w:r w:rsidRPr="00503014">
        <w:t>ali se vodijo zapisniki sestankov, ki jih sklicujeta vodja oddelka in vodja urada (sklep kolegija državnega odvetništva z dne 12. 9. 2019: za sestavo zapisnikov se upoštevajo obrazci sestankov in se odpre nov spis Razno (po sklepu kolegija naj bi se odprl nov DODV spis, vendar teh spisov po uvedbi IS Feniks na zunanjih oddelkih ne sme več biti) vpisovanje sestankov v vpisnik – pravniki naj informirajo vpisničarje);</w:t>
      </w:r>
    </w:p>
    <w:p w14:paraId="5D081879" w14:textId="77777777" w:rsidR="00695AE2" w:rsidRPr="00503014" w:rsidRDefault="00695AE2" w:rsidP="00695AE2">
      <w:pPr>
        <w:numPr>
          <w:ilvl w:val="0"/>
          <w:numId w:val="59"/>
        </w:numPr>
        <w:spacing w:line="240" w:lineRule="auto"/>
        <w:contextualSpacing/>
        <w:jc w:val="both"/>
      </w:pPr>
      <w:r w:rsidRPr="00503014">
        <w:t xml:space="preserve">ali so državni odvetniki in kandidati za državne odvetnike na oddelku seznanjeni s podatki o pripadu zadev in obremenjenosti (oziroma ali so seznanjeni z obdobnimi poročili, ki jih vodja oddelka na podlagi 26. člena Pravilnika o poslovanju državnega odvetništva pripravlja  za generalnega državnega odvetnika). </w:t>
      </w:r>
    </w:p>
    <w:bookmarkEnd w:id="274"/>
    <w:p w14:paraId="1A9FC7CE" w14:textId="77777777" w:rsidR="00695AE2" w:rsidRPr="00462126" w:rsidRDefault="00695AE2" w:rsidP="00695AE2">
      <w:pPr>
        <w:pStyle w:val="Jasna"/>
        <w:rPr>
          <w:sz w:val="28"/>
          <w:szCs w:val="28"/>
        </w:rPr>
      </w:pPr>
    </w:p>
    <w:p w14:paraId="7EC0E83F" w14:textId="77777777" w:rsidR="00695AE2" w:rsidRPr="00503014" w:rsidRDefault="00695AE2" w:rsidP="00695AE2">
      <w:pPr>
        <w:pStyle w:val="Naslov3"/>
        <w:ind w:left="0" w:firstLine="0"/>
      </w:pPr>
      <w:bookmarkStart w:id="288" w:name="_Toc223093817"/>
      <w:r w:rsidRPr="00503014">
        <w:t>Uvedba nadzorov nad delom in poslovanjem oddelkov Državnega odvetništva RS v letu 202</w:t>
      </w:r>
      <w:bookmarkEnd w:id="268"/>
      <w:bookmarkEnd w:id="269"/>
      <w:r w:rsidRPr="00503014">
        <w:t>5</w:t>
      </w:r>
      <w:bookmarkEnd w:id="288"/>
    </w:p>
    <w:p w14:paraId="499AC4DA" w14:textId="77777777" w:rsidR="00695AE2" w:rsidRPr="00503014" w:rsidRDefault="00695AE2" w:rsidP="00695AE2">
      <w:pPr>
        <w:spacing w:line="240" w:lineRule="auto"/>
        <w:jc w:val="both"/>
        <w:rPr>
          <w:rFonts w:eastAsia="Calibri"/>
          <w:sz w:val="28"/>
          <w:szCs w:val="28"/>
        </w:rPr>
      </w:pPr>
    </w:p>
    <w:p w14:paraId="517EC4B9" w14:textId="77777777" w:rsidR="00695AE2" w:rsidRPr="00503014" w:rsidRDefault="00695AE2" w:rsidP="00695AE2">
      <w:pPr>
        <w:spacing w:line="240" w:lineRule="auto"/>
        <w:jc w:val="both"/>
        <w:rPr>
          <w:rFonts w:eastAsia="Calibri"/>
        </w:rPr>
      </w:pPr>
      <w:r w:rsidRPr="00503014">
        <w:rPr>
          <w:rFonts w:eastAsia="Calibri"/>
        </w:rPr>
        <w:t>V letu 2025 so bili skladno s sprejetim Načrtom uvedeni naslednji splošni pregledi dela in poslovanja državnih odvetnikov in javnih uslužbencev:</w:t>
      </w:r>
    </w:p>
    <w:p w14:paraId="074DCBC5" w14:textId="77777777" w:rsidR="00695AE2" w:rsidRPr="00503014" w:rsidRDefault="00695AE2" w:rsidP="00695AE2">
      <w:pPr>
        <w:spacing w:line="240" w:lineRule="auto"/>
        <w:jc w:val="both"/>
        <w:rPr>
          <w:rFonts w:eastAsia="Calibri"/>
        </w:rPr>
      </w:pPr>
    </w:p>
    <w:p w14:paraId="4E8F00E2" w14:textId="77777777" w:rsidR="00695AE2" w:rsidRPr="00503014" w:rsidRDefault="00695AE2" w:rsidP="00695AE2">
      <w:pPr>
        <w:numPr>
          <w:ilvl w:val="0"/>
          <w:numId w:val="41"/>
        </w:numPr>
        <w:spacing w:line="240" w:lineRule="auto"/>
        <w:contextualSpacing/>
        <w:jc w:val="both"/>
        <w:rPr>
          <w:rFonts w:eastAsia="Calibri"/>
        </w:rPr>
      </w:pPr>
      <w:r w:rsidRPr="00503014">
        <w:rPr>
          <w:rFonts w:eastAsia="Calibri"/>
        </w:rPr>
        <w:t>v oktobru 2025 je bil uveden splošni pregled dela in poslovanja s strokovnim nadzorom državnih odvetnikov in javnih uslužbencev Zunanjega oddelka državnega odvetništva v Murski Soboti;</w:t>
      </w:r>
    </w:p>
    <w:p w14:paraId="5F21C068" w14:textId="77777777" w:rsidR="00695AE2" w:rsidRPr="00503014" w:rsidRDefault="00695AE2" w:rsidP="00695AE2">
      <w:pPr>
        <w:numPr>
          <w:ilvl w:val="0"/>
          <w:numId w:val="41"/>
        </w:numPr>
        <w:spacing w:line="240" w:lineRule="auto"/>
        <w:contextualSpacing/>
        <w:jc w:val="both"/>
        <w:rPr>
          <w:rFonts w:eastAsia="Calibri"/>
        </w:rPr>
      </w:pPr>
      <w:r w:rsidRPr="00503014">
        <w:rPr>
          <w:rFonts w:eastAsia="Calibri"/>
        </w:rPr>
        <w:t>v novembru 2025 je bil uveden splošni pregled dela in poslovanja s strokovnim nadzorom državnih odvetnikov in javnih uslužbencev Zunanjega oddelka državnega odvetništva v Kranju;</w:t>
      </w:r>
    </w:p>
    <w:p w14:paraId="2CDF3B9C" w14:textId="77777777" w:rsidR="00695AE2" w:rsidRPr="00503014" w:rsidRDefault="00695AE2" w:rsidP="00695AE2">
      <w:pPr>
        <w:numPr>
          <w:ilvl w:val="0"/>
          <w:numId w:val="41"/>
        </w:numPr>
        <w:spacing w:line="240" w:lineRule="auto"/>
        <w:contextualSpacing/>
        <w:jc w:val="both"/>
        <w:rPr>
          <w:rFonts w:eastAsia="Calibri"/>
        </w:rPr>
      </w:pPr>
      <w:r w:rsidRPr="00503014">
        <w:rPr>
          <w:rFonts w:eastAsia="Calibri"/>
        </w:rPr>
        <w:t>v decembru 2025 je bil uveden splošni pregled dela in poslovanja s strokovnim nadzorom državnih odvetnikov in javnih uslužbencev Svetovalno-analitičnega oddelka Državnega odvetništva RS na sedežu v Ljubljani;</w:t>
      </w:r>
    </w:p>
    <w:p w14:paraId="0AFEA3BF" w14:textId="77777777" w:rsidR="00695AE2" w:rsidRPr="00503014" w:rsidRDefault="00695AE2" w:rsidP="00695AE2">
      <w:pPr>
        <w:numPr>
          <w:ilvl w:val="0"/>
          <w:numId w:val="41"/>
        </w:numPr>
        <w:spacing w:line="240" w:lineRule="auto"/>
        <w:contextualSpacing/>
        <w:jc w:val="both"/>
        <w:rPr>
          <w:rFonts w:eastAsia="Calibri"/>
        </w:rPr>
      </w:pPr>
      <w:r w:rsidRPr="00503014">
        <w:rPr>
          <w:rFonts w:eastAsia="Calibri"/>
        </w:rPr>
        <w:t xml:space="preserve">v novembru 2025 je bil uveden izredni splošni nadzor nad poslovanjem Zunanjega oddelka državnega odvetništva v Celju. </w:t>
      </w:r>
    </w:p>
    <w:p w14:paraId="65DC8238" w14:textId="77777777" w:rsidR="00695AE2" w:rsidRPr="00503014" w:rsidRDefault="00695AE2" w:rsidP="00695AE2">
      <w:pPr>
        <w:spacing w:line="240" w:lineRule="auto"/>
        <w:ind w:left="720"/>
        <w:contextualSpacing/>
        <w:jc w:val="both"/>
        <w:rPr>
          <w:rFonts w:eastAsia="Calibri"/>
        </w:rPr>
      </w:pPr>
    </w:p>
    <w:p w14:paraId="577C8226" w14:textId="77777777" w:rsidR="00695AE2" w:rsidRPr="00503014" w:rsidRDefault="00695AE2" w:rsidP="00695AE2">
      <w:pPr>
        <w:spacing w:line="240" w:lineRule="auto"/>
        <w:jc w:val="both"/>
        <w:rPr>
          <w:rFonts w:eastAsia="Calibri"/>
        </w:rPr>
      </w:pPr>
      <w:r w:rsidRPr="00503014">
        <w:rPr>
          <w:rFonts w:eastAsia="Calibri"/>
        </w:rPr>
        <w:t xml:space="preserve">O izvedenih nadzorih je bilo izdelano poročilo, ki je bilo vročeno vsem državnim odvetnikom in javnim uslužbencem, katerih delo je bilo na posameznem oddelku pregledano. </w:t>
      </w:r>
    </w:p>
    <w:p w14:paraId="5E99C38B" w14:textId="77777777" w:rsidR="00695AE2" w:rsidRPr="00503014" w:rsidRDefault="00695AE2" w:rsidP="00695AE2">
      <w:pPr>
        <w:spacing w:line="240" w:lineRule="auto"/>
        <w:jc w:val="both"/>
        <w:rPr>
          <w:rFonts w:eastAsia="Calibri"/>
        </w:rPr>
      </w:pPr>
    </w:p>
    <w:p w14:paraId="4BEFA03C" w14:textId="77777777" w:rsidR="00695AE2" w:rsidRPr="00503014" w:rsidRDefault="00695AE2" w:rsidP="00695AE2">
      <w:pPr>
        <w:spacing w:line="240" w:lineRule="auto"/>
        <w:jc w:val="both"/>
        <w:rPr>
          <w:rFonts w:eastAsia="Calibri"/>
          <w:color w:val="7030A0"/>
        </w:rPr>
      </w:pPr>
      <w:r w:rsidRPr="00503014">
        <w:rPr>
          <w:rFonts w:eastAsia="Calibri"/>
        </w:rPr>
        <w:t>Končna poročila o pregledu nad delom in poslovanjem Zunanjega oddelka državnega odvetništva v Murski Soboti</w:t>
      </w:r>
      <w:r>
        <w:rPr>
          <w:rFonts w:eastAsia="Calibri"/>
        </w:rPr>
        <w:t xml:space="preserve"> in</w:t>
      </w:r>
      <w:r w:rsidRPr="00503014">
        <w:rPr>
          <w:rFonts w:eastAsia="Calibri"/>
        </w:rPr>
        <w:t xml:space="preserve"> Zunanjega oddelka državnega odvetništva v Kranju so bila na podlagi osmega odstavka 91. člena ZDOdv </w:t>
      </w:r>
      <w:r>
        <w:rPr>
          <w:rFonts w:eastAsia="Calibri"/>
        </w:rPr>
        <w:t xml:space="preserve">že </w:t>
      </w:r>
      <w:r w:rsidRPr="00503014">
        <w:rPr>
          <w:rFonts w:eastAsia="Calibri"/>
        </w:rPr>
        <w:t>poslana v vednost tudi Ministrstvu za pravosodje.</w:t>
      </w:r>
      <w:r w:rsidRPr="00503014">
        <w:rPr>
          <w:rFonts w:eastAsia="Calibri"/>
          <w:color w:val="7030A0"/>
        </w:rPr>
        <w:t xml:space="preserve"> </w:t>
      </w:r>
    </w:p>
    <w:p w14:paraId="42E2F77C" w14:textId="77777777" w:rsidR="00695AE2" w:rsidRPr="00503014" w:rsidRDefault="00695AE2" w:rsidP="00695AE2">
      <w:pPr>
        <w:spacing w:line="240" w:lineRule="auto"/>
        <w:contextualSpacing/>
        <w:jc w:val="both"/>
        <w:rPr>
          <w:rFonts w:eastAsia="Calibri"/>
        </w:rPr>
      </w:pPr>
      <w:r w:rsidRPr="00503014">
        <w:rPr>
          <w:rFonts w:eastAsia="Calibri"/>
        </w:rPr>
        <w:t>Ugotovitve komisij, ki so pregledale delo in poslovanje</w:t>
      </w:r>
      <w:r>
        <w:rPr>
          <w:rFonts w:eastAsia="Calibri"/>
        </w:rPr>
        <w:t>,</w:t>
      </w:r>
      <w:r w:rsidRPr="00503014">
        <w:rPr>
          <w:rFonts w:eastAsia="Calibri"/>
        </w:rPr>
        <w:t xml:space="preserve"> so bile, da poslovanje </w:t>
      </w:r>
      <w:r>
        <w:rPr>
          <w:rFonts w:eastAsia="Calibri"/>
        </w:rPr>
        <w:t xml:space="preserve">omenjenih oddelkov </w:t>
      </w:r>
      <w:r w:rsidRPr="00503014">
        <w:rPr>
          <w:rFonts w:eastAsia="Calibri"/>
        </w:rPr>
        <w:t>poteka v skladu z ZDOdv, Pravilnikom o poslovanju državnega odvetništva in drugimi podzakonskimi predpisi ter odredbami in navodili, izdanimi na njihovi podlagi</w:t>
      </w:r>
      <w:r>
        <w:rPr>
          <w:rFonts w:eastAsia="Calibri"/>
        </w:rPr>
        <w:t xml:space="preserve">. </w:t>
      </w:r>
      <w:r w:rsidRPr="00503014">
        <w:rPr>
          <w:rFonts w:eastAsia="Calibri"/>
        </w:rPr>
        <w:t xml:space="preserve">V okviru posameznega nadzora komisija niso bili predlagani kakšni posebni ukrepi, ki jih v primeru </w:t>
      </w:r>
      <w:r w:rsidRPr="00503014">
        <w:rPr>
          <w:rFonts w:eastAsia="Calibri"/>
        </w:rPr>
        <w:lastRenderedPageBreak/>
        <w:t xml:space="preserve">pomanjkljivosti oziroma večjega obsega nepravilnosti predvideva prvi odstavek 93. člena ZDOdv. Prav tako nobeno od končnih poročil, izdelanih glede v letu 2025 izvedenih nadzorov, ni predvidelo izvedbe kontrolnega nadzora. </w:t>
      </w:r>
    </w:p>
    <w:p w14:paraId="183D3A26" w14:textId="77777777" w:rsidR="00695AE2" w:rsidRPr="00503014" w:rsidRDefault="00695AE2" w:rsidP="00695AE2">
      <w:pPr>
        <w:spacing w:line="240" w:lineRule="auto"/>
        <w:jc w:val="both"/>
        <w:rPr>
          <w:rFonts w:eastAsia="Calibri"/>
          <w:sz w:val="28"/>
          <w:szCs w:val="28"/>
        </w:rPr>
      </w:pPr>
    </w:p>
    <w:p w14:paraId="7FEC7F12" w14:textId="77777777" w:rsidR="00695AE2" w:rsidRPr="00503014" w:rsidRDefault="00695AE2" w:rsidP="00695AE2">
      <w:pPr>
        <w:pStyle w:val="Naslov3"/>
      </w:pPr>
      <w:bookmarkStart w:id="289" w:name="_Toc168844808"/>
      <w:bookmarkStart w:id="290" w:name="_Toc191561813"/>
      <w:bookmarkStart w:id="291" w:name="_Toc223093818"/>
      <w:r w:rsidRPr="00503014">
        <w:t>Sistemski in organizacijski ukrepi</w:t>
      </w:r>
      <w:bookmarkEnd w:id="289"/>
      <w:bookmarkEnd w:id="290"/>
      <w:bookmarkEnd w:id="291"/>
    </w:p>
    <w:p w14:paraId="2ED3C961" w14:textId="77777777" w:rsidR="00695AE2" w:rsidRPr="00503014" w:rsidRDefault="00695AE2" w:rsidP="00695AE2">
      <w:pPr>
        <w:spacing w:line="240" w:lineRule="auto"/>
        <w:jc w:val="both"/>
        <w:rPr>
          <w:rFonts w:eastAsia="Calibri"/>
          <w:sz w:val="28"/>
          <w:szCs w:val="28"/>
        </w:rPr>
      </w:pPr>
    </w:p>
    <w:p w14:paraId="0DE16130" w14:textId="77777777" w:rsidR="00695AE2" w:rsidRPr="00503014" w:rsidRDefault="00695AE2" w:rsidP="00695AE2">
      <w:pPr>
        <w:pStyle w:val="Naslov4"/>
        <w:ind w:left="0" w:firstLine="0"/>
      </w:pPr>
      <w:bookmarkStart w:id="292" w:name="_Toc168844809"/>
      <w:bookmarkStart w:id="293" w:name="_Toc191561814"/>
      <w:r>
        <w:t xml:space="preserve"> </w:t>
      </w:r>
      <w:bookmarkStart w:id="294" w:name="_Toc223093819"/>
      <w:r w:rsidRPr="00503014">
        <w:t>Izvajanje določb ZDOdv glede nadzora nad delom Državnega odvetništva RS</w:t>
      </w:r>
      <w:bookmarkEnd w:id="292"/>
      <w:r w:rsidRPr="00503014">
        <w:t xml:space="preserve"> v praksi</w:t>
      </w:r>
      <w:bookmarkEnd w:id="293"/>
      <w:bookmarkEnd w:id="294"/>
    </w:p>
    <w:p w14:paraId="1A5A24D7" w14:textId="77777777" w:rsidR="00695AE2" w:rsidRPr="00503014" w:rsidRDefault="00695AE2" w:rsidP="00695AE2">
      <w:pPr>
        <w:overflowPunct w:val="0"/>
        <w:autoSpaceDE w:val="0"/>
        <w:autoSpaceDN w:val="0"/>
        <w:adjustRightInd w:val="0"/>
        <w:spacing w:line="240" w:lineRule="auto"/>
        <w:jc w:val="both"/>
        <w:textAlignment w:val="baseline"/>
        <w:rPr>
          <w:rFonts w:eastAsia="Calibri"/>
          <w:bCs/>
          <w:szCs w:val="20"/>
        </w:rPr>
      </w:pPr>
    </w:p>
    <w:p w14:paraId="0F43FAA4" w14:textId="77777777" w:rsidR="00695AE2" w:rsidRPr="00503014" w:rsidRDefault="00695AE2" w:rsidP="00695AE2">
      <w:pPr>
        <w:overflowPunct w:val="0"/>
        <w:autoSpaceDE w:val="0"/>
        <w:autoSpaceDN w:val="0"/>
        <w:adjustRightInd w:val="0"/>
        <w:spacing w:line="240" w:lineRule="auto"/>
        <w:jc w:val="both"/>
        <w:textAlignment w:val="baseline"/>
        <w:rPr>
          <w:rFonts w:eastAsia="Calibri"/>
          <w:bCs/>
          <w:szCs w:val="20"/>
        </w:rPr>
      </w:pPr>
      <w:r w:rsidRPr="00503014">
        <w:rPr>
          <w:rFonts w:eastAsia="Calibri"/>
          <w:bCs/>
          <w:szCs w:val="20"/>
        </w:rPr>
        <w:t xml:space="preserve">Normativna ureditev v ZDOdv </w:t>
      </w:r>
      <w:r w:rsidRPr="00503014">
        <w:rPr>
          <w:rFonts w:eastAsia="Calibri"/>
          <w:szCs w:val="20"/>
          <w:lang w:eastAsia="sl-SI"/>
        </w:rPr>
        <w:t xml:space="preserve">formalno ureja le nadzor nad delom državnega odvetništva, čeprav določbe tega razdelka vsebinsko določajo tudi nadzor nad poslovanjem. Pri nadzoru nad delom državnega odvetništva gre za nadzor nad zakonitostjo in pravočasnostjo dela, smotrnostjo uporabe procesnih pooblastil in skladnostjo strokovnih odločitev z izdanimi splošnimi navodili, pri nadzoru nad poslovanjem državnega odvetništva pa gre za nadzor nad zadevami s področja uprave državnega odvetništva, splošnim poslovanjem organa, načinom dostopa do osebnih podatkov in sistemom njihovega zavarovanja, pristojnostjo in organiziranjem dela kolegija državnega odvetništva, spremembami letnega razporeda dela, upoštevanjem pravil o obveščanju javnosti, upoštevanjem pravil o obveščanju v zadevah pred mednarodnimi sodišči, mednarodnimi arbitražami in o pomembnejših zadevah pred sodišči v Republiki Sloveniji, tujimi in mednarodnimi sodišči in arbitražami, upoštevanjem pravil za pripravo programa reševanja povečanega števila nerešenih zadev, pravil vrstnega reda obravnavanja zadev in nad izvajanjem ukrepov za zagotavljanje varnosti. </w:t>
      </w:r>
    </w:p>
    <w:p w14:paraId="3DF31156" w14:textId="77777777" w:rsidR="00695AE2" w:rsidRPr="00503014" w:rsidRDefault="00695AE2" w:rsidP="00695AE2">
      <w:pPr>
        <w:overflowPunct w:val="0"/>
        <w:autoSpaceDE w:val="0"/>
        <w:autoSpaceDN w:val="0"/>
        <w:adjustRightInd w:val="0"/>
        <w:spacing w:line="240" w:lineRule="auto"/>
        <w:jc w:val="both"/>
        <w:textAlignment w:val="baseline"/>
        <w:rPr>
          <w:rFonts w:eastAsia="Calibri"/>
          <w:szCs w:val="20"/>
          <w:lang w:eastAsia="sl-SI"/>
        </w:rPr>
      </w:pPr>
    </w:p>
    <w:p w14:paraId="30ECED14" w14:textId="77777777" w:rsidR="00695AE2" w:rsidRPr="00503014" w:rsidRDefault="00695AE2" w:rsidP="00695AE2">
      <w:pPr>
        <w:overflowPunct w:val="0"/>
        <w:autoSpaceDE w:val="0"/>
        <w:autoSpaceDN w:val="0"/>
        <w:adjustRightInd w:val="0"/>
        <w:spacing w:line="240" w:lineRule="auto"/>
        <w:jc w:val="both"/>
        <w:textAlignment w:val="baseline"/>
        <w:rPr>
          <w:rFonts w:eastAsia="Calibri"/>
          <w:b/>
          <w:szCs w:val="20"/>
          <w:lang w:eastAsia="sl-SI"/>
        </w:rPr>
      </w:pPr>
      <w:r w:rsidRPr="00503014">
        <w:rPr>
          <w:rFonts w:eastAsia="Calibri"/>
          <w:szCs w:val="20"/>
          <w:lang w:eastAsia="sl-SI"/>
        </w:rPr>
        <w:t>Državno odvetništvo RS v praksi rešitve išče v oblikovanju mešanih nadzornih komisij, sestavljenih iz strokovnega pravniškega kadra, ki izvede nadzor nad delom višjih državnih odvetnikov, državnih odvetnikov in kandidatov za državnega odvetnika, član take komisije pa je tudi javni uslužbenec, ki na podlagi pooblastila generalnega državnega odvetnika pregleda splošno poslovanje pisarne, ki opravlja administrativno-tehnična opravila za posamezni oddelek na sedežu državnega odvetništva oziroma urada zunanjega oddelka državnega odvetništva.</w:t>
      </w:r>
      <w:r w:rsidRPr="00503014">
        <w:rPr>
          <w:rFonts w:eastAsia="Calibri"/>
          <w:b/>
          <w:szCs w:val="20"/>
          <w:lang w:eastAsia="sl-SI"/>
        </w:rPr>
        <w:t xml:space="preserve"> </w:t>
      </w:r>
    </w:p>
    <w:p w14:paraId="0C4FF422" w14:textId="77777777" w:rsidR="00695AE2" w:rsidRPr="00503014" w:rsidRDefault="00695AE2" w:rsidP="00695AE2">
      <w:pPr>
        <w:spacing w:line="240" w:lineRule="auto"/>
        <w:jc w:val="both"/>
        <w:rPr>
          <w:rFonts w:eastAsia="Calibri"/>
        </w:rPr>
      </w:pPr>
    </w:p>
    <w:p w14:paraId="725563FC" w14:textId="77777777" w:rsidR="00695AE2" w:rsidRPr="00503014" w:rsidRDefault="00695AE2" w:rsidP="00695AE2">
      <w:pPr>
        <w:pStyle w:val="Naslov4"/>
      </w:pPr>
      <w:bookmarkStart w:id="295" w:name="_Toc168844811"/>
      <w:bookmarkStart w:id="296" w:name="_Toc191561818"/>
      <w:bookmarkStart w:id="297" w:name="_Toc223093820"/>
      <w:r w:rsidRPr="00503014">
        <w:t>Možnosti za izboljšave poslovanja Državnega odvetništva RS</w:t>
      </w:r>
      <w:bookmarkEnd w:id="295"/>
      <w:bookmarkEnd w:id="296"/>
      <w:bookmarkEnd w:id="297"/>
    </w:p>
    <w:p w14:paraId="50E9BE1F" w14:textId="77777777" w:rsidR="00695AE2" w:rsidRPr="00503014" w:rsidRDefault="00695AE2" w:rsidP="00695AE2">
      <w:pPr>
        <w:pStyle w:val="Jasna"/>
      </w:pPr>
    </w:p>
    <w:p w14:paraId="322F839A" w14:textId="77777777" w:rsidR="00695AE2" w:rsidRPr="00503014" w:rsidRDefault="00695AE2" w:rsidP="00695AE2">
      <w:pPr>
        <w:spacing w:line="240" w:lineRule="auto"/>
        <w:jc w:val="both"/>
        <w:rPr>
          <w:rFonts w:eastAsia="Calibri"/>
          <w:bCs/>
        </w:rPr>
      </w:pPr>
      <w:r w:rsidRPr="00503014">
        <w:rPr>
          <w:rFonts w:eastAsia="Calibri"/>
          <w:bCs/>
        </w:rPr>
        <w:t>Državno odvetništvo RS si nenehno prizadeva za izboljšanje poslovanja, pri čemer zaposleni samoiniciativno iščejo nove poslovne in strokovne rešitve, ki prispevajo k večji učinkovitosti in uspešnosti dela. Tudi izvajanje nadzorov predstavlja pomembno priložnost za prepoznavanje dobrih praks in izboljšav, ki se lahko uporabijo kot osnova za prihodnje strateške rešitve.</w:t>
      </w:r>
    </w:p>
    <w:p w14:paraId="63D88AB4" w14:textId="77777777" w:rsidR="00695AE2" w:rsidRPr="00503014" w:rsidRDefault="00695AE2" w:rsidP="00695AE2">
      <w:pPr>
        <w:spacing w:line="240" w:lineRule="auto"/>
        <w:jc w:val="both"/>
        <w:rPr>
          <w:rFonts w:eastAsia="Calibri"/>
          <w:bCs/>
        </w:rPr>
      </w:pPr>
    </w:p>
    <w:p w14:paraId="054DFA7B" w14:textId="77777777" w:rsidR="00695AE2" w:rsidRPr="00503014" w:rsidRDefault="00695AE2" w:rsidP="00695AE2">
      <w:pPr>
        <w:spacing w:line="240" w:lineRule="auto"/>
        <w:jc w:val="both"/>
        <w:rPr>
          <w:rFonts w:eastAsia="Calibri"/>
          <w:bCs/>
        </w:rPr>
      </w:pPr>
      <w:r w:rsidRPr="00503014">
        <w:rPr>
          <w:rFonts w:eastAsia="Calibri"/>
        </w:rPr>
        <w:t>Državno odvetništvo RS v smeri poenotenja in optimizacije poslovanja načrtuje in izvaja dejavnosti, ki so pomembne z vidika zagotavljanja usklajenega načina dela v posameznih vpisnikih oziroma pri posamezni vrsti zadev</w:t>
      </w:r>
      <w:r w:rsidRPr="00503014">
        <w:rPr>
          <w:rFonts w:eastAsia="Calibri"/>
          <w:bCs/>
        </w:rPr>
        <w:t xml:space="preserve"> ter lahko prispevajo k izboljšanju poslovanja in izvajanja nalog in pristojnosti Državnega odvetništva RS</w:t>
      </w:r>
      <w:r w:rsidRPr="00503014">
        <w:rPr>
          <w:rFonts w:eastAsia="Calibri"/>
        </w:rPr>
        <w:t xml:space="preserve">. To so </w:t>
      </w:r>
      <w:r w:rsidRPr="00503014">
        <w:rPr>
          <w:rFonts w:eastAsia="Calibri"/>
          <w:bCs/>
        </w:rPr>
        <w:t>predvsem:</w:t>
      </w:r>
    </w:p>
    <w:p w14:paraId="1B8EE10E" w14:textId="77777777" w:rsidR="00695AE2" w:rsidRPr="00503014" w:rsidRDefault="00695AE2" w:rsidP="00695AE2">
      <w:pPr>
        <w:numPr>
          <w:ilvl w:val="0"/>
          <w:numId w:val="42"/>
        </w:numPr>
        <w:spacing w:line="240" w:lineRule="auto"/>
        <w:contextualSpacing/>
        <w:jc w:val="both"/>
        <w:rPr>
          <w:rFonts w:eastAsia="Calibri"/>
          <w:bCs/>
        </w:rPr>
      </w:pPr>
      <w:r w:rsidRPr="00503014">
        <w:rPr>
          <w:rFonts w:eastAsia="Calibri"/>
        </w:rPr>
        <w:t>izvedba delavnic, na katerih se udeležencem predstavijo ustaljeni načini dela na posameznih vrstah zadev;</w:t>
      </w:r>
    </w:p>
    <w:p w14:paraId="535C9B8B" w14:textId="77777777" w:rsidR="00695AE2" w:rsidRPr="00503014" w:rsidRDefault="00695AE2" w:rsidP="00695AE2">
      <w:pPr>
        <w:numPr>
          <w:ilvl w:val="0"/>
          <w:numId w:val="42"/>
        </w:numPr>
        <w:spacing w:line="240" w:lineRule="auto"/>
        <w:contextualSpacing/>
        <w:jc w:val="both"/>
        <w:rPr>
          <w:rFonts w:eastAsia="Calibri"/>
          <w:bCs/>
        </w:rPr>
      </w:pPr>
      <w:r w:rsidRPr="00503014">
        <w:rPr>
          <w:rFonts w:eastAsia="Calibri"/>
          <w:bCs/>
        </w:rPr>
        <w:t>izvedba delavnic na področju posameznih postopkov oziroma posameznih delovnih področij, na katerih se predstavijo posamezni instituti in z njimi povezana vprašanja ter problematika v sodni praksi;</w:t>
      </w:r>
    </w:p>
    <w:p w14:paraId="22C80BF3" w14:textId="77777777" w:rsidR="00695AE2" w:rsidRPr="00503014" w:rsidRDefault="00695AE2" w:rsidP="00695AE2">
      <w:pPr>
        <w:numPr>
          <w:ilvl w:val="0"/>
          <w:numId w:val="42"/>
        </w:numPr>
        <w:spacing w:line="240" w:lineRule="auto"/>
        <w:contextualSpacing/>
        <w:jc w:val="both"/>
        <w:rPr>
          <w:rFonts w:eastAsia="Calibri"/>
          <w:bCs/>
        </w:rPr>
      </w:pPr>
      <w:r w:rsidRPr="00503014">
        <w:rPr>
          <w:rFonts w:eastAsia="Calibri"/>
          <w:bCs/>
        </w:rPr>
        <w:t>med oddelčna izmenjava dobrih praks na področju posameznih postopkov;</w:t>
      </w:r>
    </w:p>
    <w:p w14:paraId="6F7F24B1" w14:textId="77777777" w:rsidR="00695AE2" w:rsidRPr="00503014" w:rsidRDefault="00695AE2" w:rsidP="00695AE2">
      <w:pPr>
        <w:numPr>
          <w:ilvl w:val="0"/>
          <w:numId w:val="42"/>
        </w:numPr>
        <w:spacing w:line="240" w:lineRule="auto"/>
        <w:contextualSpacing/>
        <w:jc w:val="both"/>
        <w:rPr>
          <w:rFonts w:eastAsia="Calibri"/>
          <w:bCs/>
        </w:rPr>
      </w:pPr>
      <w:r w:rsidRPr="00503014">
        <w:rPr>
          <w:rFonts w:eastAsia="Calibri"/>
        </w:rPr>
        <w:lastRenderedPageBreak/>
        <w:t>za delo v zadevah, kjer so postopki bolj predvidljivi in je njihov potek lažje tipizirati, se pripravijo priročniki z osnovnimi napotki, ki so nosilcem spisov v pomoč pri postopanju v zadevah;</w:t>
      </w:r>
    </w:p>
    <w:p w14:paraId="7BAF9C13" w14:textId="77777777" w:rsidR="00695AE2" w:rsidRPr="00503014" w:rsidRDefault="00695AE2" w:rsidP="00695AE2">
      <w:pPr>
        <w:numPr>
          <w:ilvl w:val="0"/>
          <w:numId w:val="42"/>
        </w:numPr>
        <w:spacing w:line="240" w:lineRule="auto"/>
        <w:contextualSpacing/>
        <w:jc w:val="both"/>
        <w:rPr>
          <w:rFonts w:eastAsia="Calibri"/>
          <w:bCs/>
        </w:rPr>
      </w:pPr>
      <w:r w:rsidRPr="00503014">
        <w:rPr>
          <w:rFonts w:eastAsia="Calibri"/>
          <w:bCs/>
        </w:rPr>
        <w:t xml:space="preserve">nadaljnja digitalizacija in z njo povezano računalniško kreiranje standardiziranih </w:t>
      </w:r>
      <w:r w:rsidRPr="00503014">
        <w:rPr>
          <w:rFonts w:eastAsia="Calibri"/>
        </w:rPr>
        <w:t>obrazcev za delo na tipskih zadevah oziroma predlogov odredb, dopisov za naše stranke in vlog za sodišče, gre tor</w:t>
      </w:r>
      <w:r w:rsidRPr="00503014">
        <w:rPr>
          <w:rFonts w:eastAsia="Calibri"/>
          <w:bCs/>
        </w:rPr>
        <w:t>ej za avtomatsko sestavo vloge po vnaprej pripravljeni predlogi, pri čemer program sam vnese podatke iz uradnih evidenc.</w:t>
      </w:r>
    </w:p>
    <w:p w14:paraId="1B0375D2" w14:textId="77777777" w:rsidR="00695AE2" w:rsidRPr="00503014" w:rsidRDefault="00695AE2" w:rsidP="00695AE2">
      <w:pPr>
        <w:spacing w:line="240" w:lineRule="auto"/>
        <w:jc w:val="both"/>
        <w:rPr>
          <w:rFonts w:eastAsia="Calibri"/>
          <w:bCs/>
        </w:rPr>
      </w:pPr>
    </w:p>
    <w:p w14:paraId="6ECBC8EF" w14:textId="77777777" w:rsidR="00695AE2" w:rsidRPr="00503014" w:rsidRDefault="00695AE2" w:rsidP="00695AE2">
      <w:pPr>
        <w:spacing w:line="240" w:lineRule="auto"/>
        <w:jc w:val="both"/>
        <w:rPr>
          <w:rFonts w:eastAsia="Calibri"/>
          <w:bCs/>
        </w:rPr>
      </w:pPr>
      <w:r w:rsidRPr="00503014">
        <w:rPr>
          <w:rFonts w:eastAsia="Calibri"/>
          <w:bCs/>
        </w:rPr>
        <w:t>Državno odvetništvo RS bo še naprej namenjalo posebno pozornost komunikaciji med zaposlenimi na vseh ravneh, z namenom iskanja organizacijskih in delovnih rešitev, ki omogočajo optimalno in racionalno delo. Poudarek je na pretoku znanja in izkušenj med zaposlenimi, strokovnem odnosu, odprtosti za spremembe, medsebojnem razumevanju ter podpori. Prav tako si prizadeva za ustvarjanje delovnega okolja, ki spodbuja nove ideje in rešitve, zagotavlja prilagodljivost ter krepi zavzetost pri delu. Takšen pristop omogoča ustvarjanje pogojev za uspešno in učinkovito delovanje organizacije.</w:t>
      </w:r>
    </w:p>
    <w:p w14:paraId="1AE87C40" w14:textId="77777777" w:rsidR="00695AE2" w:rsidRPr="00503014" w:rsidRDefault="00695AE2" w:rsidP="00695AE2">
      <w:pPr>
        <w:spacing w:line="240" w:lineRule="auto"/>
        <w:ind w:left="720"/>
        <w:contextualSpacing/>
        <w:jc w:val="both"/>
        <w:rPr>
          <w:rFonts w:eastAsia="Calibri"/>
          <w:bCs/>
          <w:sz w:val="32"/>
          <w:szCs w:val="32"/>
        </w:rPr>
      </w:pPr>
    </w:p>
    <w:p w14:paraId="63F36DCD" w14:textId="77777777" w:rsidR="00695AE2" w:rsidRPr="00503014" w:rsidRDefault="00695AE2" w:rsidP="00695AE2">
      <w:pPr>
        <w:pStyle w:val="Naslov2"/>
        <w:ind w:left="0" w:firstLine="0"/>
      </w:pPr>
      <w:bookmarkStart w:id="298" w:name="_Toc168844812"/>
      <w:bookmarkStart w:id="299" w:name="_Toc191561819"/>
      <w:bookmarkStart w:id="300" w:name="_Toc223093821"/>
      <w:bookmarkEnd w:id="260"/>
      <w:r w:rsidRPr="00503014">
        <w:t>Drugi podatki, ki pripomorejo k celoviti predstavitvi poslovanja Državnega odvetništva RS</w:t>
      </w:r>
      <w:bookmarkEnd w:id="298"/>
      <w:bookmarkEnd w:id="299"/>
      <w:bookmarkEnd w:id="300"/>
    </w:p>
    <w:p w14:paraId="0CC8476A" w14:textId="77777777" w:rsidR="00695AE2" w:rsidRPr="00503014" w:rsidRDefault="00695AE2" w:rsidP="00695AE2">
      <w:pPr>
        <w:spacing w:line="240" w:lineRule="auto"/>
        <w:jc w:val="both"/>
        <w:rPr>
          <w:rFonts w:eastAsia="Calibri"/>
          <w:color w:val="7030A0"/>
          <w:sz w:val="32"/>
          <w:szCs w:val="32"/>
        </w:rPr>
      </w:pPr>
    </w:p>
    <w:p w14:paraId="7A685D3C" w14:textId="77777777" w:rsidR="00695AE2" w:rsidRPr="00DF0641" w:rsidRDefault="00695AE2" w:rsidP="00695AE2">
      <w:pPr>
        <w:pStyle w:val="Naslov3"/>
      </w:pPr>
      <w:bookmarkStart w:id="301" w:name="_Toc168844813"/>
      <w:bookmarkStart w:id="302" w:name="_Toc191561820"/>
      <w:bookmarkStart w:id="303" w:name="_Toc223093822"/>
      <w:bookmarkStart w:id="304" w:name="_Hlk189219919"/>
      <w:bookmarkStart w:id="305" w:name="_Toc168844852"/>
      <w:bookmarkStart w:id="306" w:name="_Toc191561827"/>
      <w:r w:rsidRPr="00DF0641">
        <w:t>Odnosi z javnostmi</w:t>
      </w:r>
      <w:bookmarkEnd w:id="301"/>
      <w:bookmarkEnd w:id="302"/>
      <w:bookmarkEnd w:id="303"/>
      <w:r w:rsidRPr="00DF0641">
        <w:t xml:space="preserve"> </w:t>
      </w:r>
    </w:p>
    <w:p w14:paraId="10CDBBB0" w14:textId="77777777" w:rsidR="00695AE2" w:rsidRPr="00DF0641" w:rsidRDefault="00695AE2" w:rsidP="00695AE2">
      <w:pPr>
        <w:spacing w:line="240" w:lineRule="auto"/>
        <w:jc w:val="both"/>
        <w:rPr>
          <w:rFonts w:eastAsia="Calibri"/>
          <w:sz w:val="28"/>
          <w:szCs w:val="28"/>
        </w:rPr>
      </w:pPr>
    </w:p>
    <w:p w14:paraId="3FA61033" w14:textId="77777777" w:rsidR="00695AE2" w:rsidRPr="00DF0641" w:rsidRDefault="00695AE2" w:rsidP="00695AE2">
      <w:pPr>
        <w:pStyle w:val="Naslov4"/>
      </w:pPr>
      <w:bookmarkStart w:id="307" w:name="_Toc168844814"/>
      <w:bookmarkStart w:id="308" w:name="_Toc191561821"/>
      <w:bookmarkStart w:id="309" w:name="_Toc223093823"/>
      <w:r w:rsidRPr="00DF0641">
        <w:t>Splošno</w:t>
      </w:r>
      <w:bookmarkEnd w:id="307"/>
      <w:bookmarkEnd w:id="308"/>
      <w:bookmarkEnd w:id="309"/>
    </w:p>
    <w:p w14:paraId="60C85662" w14:textId="77777777" w:rsidR="00695AE2" w:rsidRPr="00DF0641" w:rsidRDefault="00695AE2" w:rsidP="00695AE2">
      <w:pPr>
        <w:spacing w:line="240" w:lineRule="auto"/>
        <w:jc w:val="both"/>
        <w:rPr>
          <w:rFonts w:eastAsia="Calibri"/>
        </w:rPr>
      </w:pPr>
    </w:p>
    <w:p w14:paraId="00A6CFFD" w14:textId="77777777" w:rsidR="00695AE2" w:rsidRPr="00DF0641" w:rsidRDefault="00695AE2" w:rsidP="00695AE2">
      <w:pPr>
        <w:pStyle w:val="Naslov5"/>
      </w:pPr>
      <w:bookmarkStart w:id="310" w:name="_Toc168844815"/>
      <w:bookmarkStart w:id="311" w:name="_Toc191561822"/>
      <w:bookmarkStart w:id="312" w:name="_Toc223093824"/>
      <w:r w:rsidRPr="00DF0641">
        <w:t>Uvod</w:t>
      </w:r>
      <w:bookmarkEnd w:id="310"/>
      <w:bookmarkEnd w:id="311"/>
      <w:bookmarkEnd w:id="312"/>
    </w:p>
    <w:p w14:paraId="1A85BCFB" w14:textId="77777777" w:rsidR="00695AE2" w:rsidRPr="00DF0641" w:rsidRDefault="00695AE2" w:rsidP="00695AE2">
      <w:pPr>
        <w:spacing w:line="240" w:lineRule="auto"/>
        <w:jc w:val="both"/>
        <w:rPr>
          <w:rFonts w:eastAsia="Calibri"/>
        </w:rPr>
      </w:pPr>
    </w:p>
    <w:p w14:paraId="17AFB923" w14:textId="77777777" w:rsidR="00695AE2" w:rsidRPr="00DF0641" w:rsidRDefault="00695AE2" w:rsidP="00695AE2">
      <w:pPr>
        <w:spacing w:line="240" w:lineRule="auto"/>
        <w:jc w:val="both"/>
        <w:rPr>
          <w:rFonts w:eastAsia="Aptos" w:cs="Aptos"/>
        </w:rPr>
      </w:pPr>
      <w:r w:rsidRPr="00DF0641">
        <w:rPr>
          <w:rFonts w:eastAsia="Aptos" w:cs="Aptos"/>
        </w:rPr>
        <w:t xml:space="preserve">Sodelovanje z mediji in drugimi javnostmi je eden od pomembnih ciljev delovanja Državnega odvetništva RS, saj se tako zagotavlja preglednost delovanja in utrjuje zavedanje, kakšno je poslanstvo varuha premoženjskih in drugih interesov države. </w:t>
      </w:r>
    </w:p>
    <w:p w14:paraId="4B5E2B6C" w14:textId="77777777" w:rsidR="00695AE2" w:rsidRPr="00DF0641" w:rsidRDefault="00695AE2" w:rsidP="00695AE2">
      <w:pPr>
        <w:spacing w:line="240" w:lineRule="auto"/>
        <w:jc w:val="both"/>
        <w:rPr>
          <w:rFonts w:eastAsia="Aptos" w:cs="Aptos"/>
        </w:rPr>
      </w:pPr>
    </w:p>
    <w:p w14:paraId="76B4BD2A" w14:textId="77777777" w:rsidR="00695AE2" w:rsidRPr="00DF0641" w:rsidRDefault="00695AE2" w:rsidP="00695AE2">
      <w:pPr>
        <w:spacing w:line="240" w:lineRule="auto"/>
        <w:jc w:val="both"/>
        <w:rPr>
          <w:rFonts w:eastAsia="Aptos" w:cs="Aptos"/>
        </w:rPr>
      </w:pPr>
      <w:r w:rsidRPr="00DF0641">
        <w:rPr>
          <w:rFonts w:eastAsia="Aptos" w:cs="Aptos"/>
        </w:rPr>
        <w:t xml:space="preserve">Državno odvetništvo RS obvešča javnost o svojem delu prek različnih komunikacijskih kanalov, predvsem pa z objavami na spletni strani, sporočili in izjavami za javnost, odgovori na novinarska vprašanja in vprašanja druge zainteresirane javnosti ter pripravo letnih poročil. </w:t>
      </w:r>
    </w:p>
    <w:p w14:paraId="0EC9DE36" w14:textId="77777777" w:rsidR="00695AE2" w:rsidRPr="00DF0641" w:rsidRDefault="00695AE2" w:rsidP="00695AE2">
      <w:pPr>
        <w:spacing w:line="240" w:lineRule="auto"/>
        <w:jc w:val="both"/>
        <w:rPr>
          <w:rFonts w:eastAsia="Aptos" w:cs="Aptos"/>
        </w:rPr>
      </w:pPr>
    </w:p>
    <w:p w14:paraId="715E6B19" w14:textId="77777777" w:rsidR="00695AE2" w:rsidRPr="00DF0641" w:rsidRDefault="00695AE2" w:rsidP="00695AE2">
      <w:pPr>
        <w:spacing w:line="240" w:lineRule="auto"/>
        <w:jc w:val="both"/>
        <w:rPr>
          <w:rFonts w:eastAsia="Aptos" w:cs="Aptos"/>
        </w:rPr>
      </w:pPr>
      <w:r w:rsidRPr="00DF0641">
        <w:rPr>
          <w:rFonts w:eastAsia="Aptos" w:cs="Aptos"/>
        </w:rPr>
        <w:t>Državno odvetništvo RS si prizadeva za odprto, strpno in prijazno komunikacijo z javnostmi, med zaposlenimi in tudi v odnosih z nasprotnimi strankami. Kljub doseženim sodnim zmagam, ki so pomembne za državo, ostaja komunikacija o teh uspehih zadržana, saj izvajanje nalog organa pogosto posega na občutljivo področje sporov med posamezniki in državo. Tak pristop odraža odgovoren odnos do občutljivosti zadev, ki jih obravnava Državno odvetništvo RS, in spoštovanje do vseh vpletenih strank. Cilj takšne komunikacije je ohraniti profesionalnost in zaupanje javnosti v delo Državnega odvetništva RS.</w:t>
      </w:r>
    </w:p>
    <w:p w14:paraId="4E3F81BC" w14:textId="77777777" w:rsidR="00695AE2" w:rsidRPr="00DF0641" w:rsidRDefault="00695AE2" w:rsidP="00695AE2">
      <w:pPr>
        <w:spacing w:line="240" w:lineRule="auto"/>
        <w:jc w:val="both"/>
        <w:rPr>
          <w:rFonts w:eastAsia="Aptos" w:cs="Aptos"/>
        </w:rPr>
      </w:pPr>
    </w:p>
    <w:p w14:paraId="7560F99D" w14:textId="77777777" w:rsidR="00695AE2" w:rsidRPr="00DF0641" w:rsidRDefault="00695AE2" w:rsidP="00695AE2">
      <w:pPr>
        <w:spacing w:line="240" w:lineRule="auto"/>
        <w:jc w:val="both"/>
        <w:rPr>
          <w:rFonts w:eastAsia="Aptos" w:cs="Aptos"/>
        </w:rPr>
      </w:pPr>
      <w:r w:rsidRPr="00DF0641">
        <w:rPr>
          <w:rFonts w:eastAsia="Aptos" w:cs="Aptos"/>
        </w:rPr>
        <w:t>Dolgoročna strategija vodstva Državnega odvetništva RS med drugim vključuje še intenzivnejše stike z mediji, več pojasnjevanja delovanja organa splošni javnosti, povečano pojavnost in prepoznavnost med možnimi iskalci zaposlitve, izboljšanje notranje komunikacije ter krepitev ugleda organa kot enega od najvišjih pravnih avtoritet v državi.</w:t>
      </w:r>
    </w:p>
    <w:p w14:paraId="2454E097" w14:textId="77777777" w:rsidR="00695AE2" w:rsidRPr="00DF0641" w:rsidRDefault="00695AE2" w:rsidP="00695AE2">
      <w:pPr>
        <w:spacing w:line="240" w:lineRule="auto"/>
        <w:jc w:val="both"/>
        <w:rPr>
          <w:rFonts w:eastAsia="Calibri"/>
        </w:rPr>
      </w:pPr>
    </w:p>
    <w:p w14:paraId="6738D1B3" w14:textId="77777777" w:rsidR="00695AE2" w:rsidRPr="00DF0641" w:rsidRDefault="00695AE2" w:rsidP="00695AE2">
      <w:pPr>
        <w:pStyle w:val="Naslov5"/>
      </w:pPr>
      <w:bookmarkStart w:id="313" w:name="_Toc168844816"/>
      <w:bookmarkStart w:id="314" w:name="_Toc191561823"/>
      <w:bookmarkStart w:id="315" w:name="_Toc223093825"/>
      <w:r w:rsidRPr="00DF0641">
        <w:lastRenderedPageBreak/>
        <w:t>Odnosi z javnostmi</w:t>
      </w:r>
      <w:bookmarkEnd w:id="313"/>
      <w:bookmarkEnd w:id="314"/>
      <w:bookmarkEnd w:id="315"/>
      <w:r w:rsidRPr="00DF0641">
        <w:t xml:space="preserve"> </w:t>
      </w:r>
    </w:p>
    <w:p w14:paraId="09D1BFDC" w14:textId="77777777" w:rsidR="00695AE2" w:rsidRPr="00DF0641" w:rsidRDefault="00695AE2" w:rsidP="00695AE2">
      <w:pPr>
        <w:spacing w:line="240" w:lineRule="auto"/>
        <w:jc w:val="both"/>
        <w:rPr>
          <w:rFonts w:eastAsia="Aptos" w:cs="Aptos"/>
        </w:rPr>
      </w:pPr>
    </w:p>
    <w:p w14:paraId="4EBA09C0" w14:textId="77777777" w:rsidR="00695AE2" w:rsidRPr="00DF0641" w:rsidRDefault="00695AE2" w:rsidP="00695AE2">
      <w:pPr>
        <w:spacing w:line="240" w:lineRule="auto"/>
        <w:jc w:val="both"/>
        <w:rPr>
          <w:rFonts w:eastAsia="Aptos" w:cs="Aptos"/>
        </w:rPr>
      </w:pPr>
      <w:r w:rsidRPr="00DF0641">
        <w:rPr>
          <w:rFonts w:eastAsia="Aptos" w:cs="Aptos"/>
        </w:rPr>
        <w:t xml:space="preserve">Naloge predstavnika za odnose z javnostmi so umeščene neposredno v Urad generalnega državnega odvetnika. Predstavnik za odnose z javnostmi  intenzivno sodeluje z vodstvom in zaposlenimi na Državnem odvetništvu RS, kar je ključno za transparentno, promptno in ažurno komunikacijo s predstavniki različnih javnosti. Priprava odgovorov in sporočil za  medije namreč pogosto terja sodelovanje zaposlenih v različnih organizacijskih enotah Državnega odvetništva RS, še posebej kadar gre za vprašanja, vezana na kompleksne in zahtevne primere. </w:t>
      </w:r>
    </w:p>
    <w:p w14:paraId="5214F8BE" w14:textId="77777777" w:rsidR="00695AE2" w:rsidRPr="00DF0641" w:rsidRDefault="00695AE2" w:rsidP="00695AE2">
      <w:pPr>
        <w:spacing w:line="240" w:lineRule="auto"/>
        <w:jc w:val="both"/>
        <w:rPr>
          <w:rFonts w:eastAsia="Aptos" w:cs="Aptos"/>
        </w:rPr>
      </w:pPr>
    </w:p>
    <w:p w14:paraId="099783BE" w14:textId="77777777" w:rsidR="00695AE2" w:rsidRPr="00DF0641" w:rsidRDefault="00695AE2" w:rsidP="00695AE2">
      <w:pPr>
        <w:spacing w:line="240" w:lineRule="auto"/>
        <w:jc w:val="both"/>
        <w:rPr>
          <w:rFonts w:eastAsia="Aptos" w:cs="Aptos"/>
        </w:rPr>
      </w:pPr>
      <w:r w:rsidRPr="00DF0641">
        <w:rPr>
          <w:rFonts w:eastAsia="Aptos" w:cs="Aptos"/>
        </w:rPr>
        <w:t>Predstavnik za odnose z javnostmi izvaja strategijo in taktike komuniciranja. Ključni cilj strategije komuniciranja je doseganje ravnovesja med preglednostjo delovanja in zaščito občutljivih informacij ter osebnih podatkov vpletenih v postopke. Pri tem je pomembno, da Državno odvetništvo RS, ob njihovi enakopravni obravnavi, medijem zagotovi celovite in točne informacije, ki ne ogrožajo nadaljnjih pravnih postopkov, hkrati pa predstavijo ustrezni kontekst obravnavane zadeve.</w:t>
      </w:r>
    </w:p>
    <w:p w14:paraId="14A5C706" w14:textId="77777777" w:rsidR="00695AE2" w:rsidRPr="00DF0641" w:rsidRDefault="00695AE2" w:rsidP="00695AE2">
      <w:pPr>
        <w:spacing w:line="240" w:lineRule="auto"/>
        <w:jc w:val="both"/>
        <w:rPr>
          <w:rFonts w:eastAsia="Aptos" w:cs="Aptos"/>
        </w:rPr>
      </w:pPr>
    </w:p>
    <w:p w14:paraId="36D0F118" w14:textId="77777777" w:rsidR="00695AE2" w:rsidRPr="00DF0641" w:rsidRDefault="00695AE2" w:rsidP="00695AE2">
      <w:pPr>
        <w:spacing w:line="240" w:lineRule="auto"/>
        <w:jc w:val="both"/>
        <w:rPr>
          <w:rFonts w:eastAsia="Aptos" w:cs="Aptos"/>
        </w:rPr>
      </w:pPr>
      <w:r w:rsidRPr="00DF0641">
        <w:rPr>
          <w:rFonts w:eastAsia="Aptos" w:cs="Aptos"/>
        </w:rPr>
        <w:t xml:space="preserve">Zagotavljanje jasnih in ustreznih informacij zahteva tesno, vsakodnevno in kakovostno sodelovanje med mediji in Državnim odvetništvom RS.  Predstavnik za odnose z javnostmi ima pri tem ključno vlogo, saj mora s profesionalnim in premišljenim komuniciranjem ohranjati visoko stopnjo verodostojnosti in zaupanja. </w:t>
      </w:r>
    </w:p>
    <w:p w14:paraId="08BDFD3D" w14:textId="77777777" w:rsidR="00695AE2" w:rsidRPr="00DF0641" w:rsidRDefault="00695AE2" w:rsidP="00695AE2">
      <w:pPr>
        <w:spacing w:line="240" w:lineRule="auto"/>
        <w:jc w:val="both"/>
        <w:rPr>
          <w:rFonts w:eastAsia="Aptos" w:cs="Aptos"/>
        </w:rPr>
      </w:pPr>
    </w:p>
    <w:p w14:paraId="7BA8C6A0" w14:textId="77777777" w:rsidR="00695AE2" w:rsidRPr="00DF0641" w:rsidRDefault="00695AE2" w:rsidP="00695AE2">
      <w:pPr>
        <w:pStyle w:val="Naslov5"/>
      </w:pPr>
      <w:bookmarkStart w:id="316" w:name="_Toc168844817"/>
      <w:bookmarkStart w:id="317" w:name="_Toc191561824"/>
      <w:bookmarkStart w:id="318" w:name="_Toc223093826"/>
      <w:r w:rsidRPr="00DF0641">
        <w:t>Izzivi pri komunikaciji z mediji</w:t>
      </w:r>
      <w:bookmarkEnd w:id="316"/>
      <w:bookmarkEnd w:id="317"/>
      <w:bookmarkEnd w:id="318"/>
    </w:p>
    <w:p w14:paraId="14D8F48B" w14:textId="77777777" w:rsidR="00695AE2" w:rsidRPr="00DF0641" w:rsidRDefault="00695AE2" w:rsidP="00695AE2">
      <w:pPr>
        <w:spacing w:line="240" w:lineRule="auto"/>
        <w:jc w:val="both"/>
        <w:rPr>
          <w:rFonts w:eastAsia="Aptos"/>
        </w:rPr>
      </w:pPr>
    </w:p>
    <w:p w14:paraId="622A3B41" w14:textId="77777777" w:rsidR="00695AE2" w:rsidRPr="00DF0641" w:rsidRDefault="00695AE2" w:rsidP="00695AE2">
      <w:pPr>
        <w:spacing w:line="240" w:lineRule="auto"/>
        <w:jc w:val="both"/>
        <w:rPr>
          <w:rFonts w:eastAsia="Aptos"/>
        </w:rPr>
      </w:pPr>
      <w:r w:rsidRPr="00DF0641">
        <w:rPr>
          <w:rFonts w:eastAsia="Aptos"/>
        </w:rPr>
        <w:t>Tudi v letu 2025 je Državno odvetništvo RS ostalo zavezano informiranju javnosti preko zagotavljanja verodostojnih informacij in vzpostavljanju trdnih, jasnih in  kakovostnih odnosov z novinarji in uredništvi.</w:t>
      </w:r>
    </w:p>
    <w:p w14:paraId="093026C0" w14:textId="77777777" w:rsidR="00695AE2" w:rsidRPr="00DF0641" w:rsidRDefault="00695AE2" w:rsidP="00695AE2">
      <w:pPr>
        <w:spacing w:line="240" w:lineRule="auto"/>
        <w:jc w:val="both"/>
        <w:rPr>
          <w:rFonts w:eastAsia="Aptos"/>
        </w:rPr>
      </w:pPr>
    </w:p>
    <w:p w14:paraId="174B4A13" w14:textId="77777777" w:rsidR="00695AE2" w:rsidRPr="00DF0641" w:rsidRDefault="00695AE2" w:rsidP="00695AE2">
      <w:pPr>
        <w:spacing w:line="240" w:lineRule="auto"/>
        <w:jc w:val="both"/>
        <w:rPr>
          <w:rFonts w:eastAsia="Aptos"/>
        </w:rPr>
      </w:pPr>
      <w:r w:rsidRPr="00DF0641">
        <w:rPr>
          <w:rFonts w:eastAsia="Aptos"/>
        </w:rPr>
        <w:t xml:space="preserve">Medi izzivi, s katerimi se srečuje Državno odvetništvo RS v okviru odnosov z javnostmi, bi izpostavili poenostavitve in napake v medijskih prispevkih, ki vplivajo na razumevanje postopkov, v katere je vpleteno Državno odvetništvo RS kot zakoniti zastopnik države in državnih organov, pri čemer se pogosto pojavlja tudi pomanjkljivo razumevanje vloge Državnega odvetništva RS, zaradi česar javnost in mediji napačno razumejo pristojnosti in odgovornosti tega organa. S tem v mislih je v okviru strategije komuniciranja poudarjena razlagalna funkcija, ki jo izvaja predstavnik za odnose z javnostmi. </w:t>
      </w:r>
    </w:p>
    <w:p w14:paraId="3E6588D4" w14:textId="77777777" w:rsidR="00695AE2" w:rsidRPr="00DF0641" w:rsidRDefault="00695AE2" w:rsidP="00695AE2">
      <w:pPr>
        <w:spacing w:line="240" w:lineRule="auto"/>
        <w:jc w:val="both"/>
        <w:rPr>
          <w:rFonts w:eastAsia="Aptos"/>
        </w:rPr>
      </w:pPr>
    </w:p>
    <w:p w14:paraId="583F0342" w14:textId="77777777" w:rsidR="00695AE2" w:rsidRPr="00DF0641" w:rsidRDefault="00695AE2" w:rsidP="00695AE2">
      <w:pPr>
        <w:spacing w:line="240" w:lineRule="auto"/>
        <w:jc w:val="both"/>
        <w:rPr>
          <w:rFonts w:eastAsia="Aptos"/>
        </w:rPr>
      </w:pPr>
      <w:r w:rsidRPr="00DF0641">
        <w:rPr>
          <w:rFonts w:eastAsia="Aptos"/>
        </w:rPr>
        <w:t xml:space="preserve">Postopki, ki so v medijih pogosto napačno interpretirani, so na primer predhodni postopki mirne rešitve spora po ZDOdv. Kdor namerava začeti pravdni ali drug postopek proti državi ali državnemu organu, mora </w:t>
      </w:r>
      <w:r>
        <w:rPr>
          <w:rFonts w:eastAsia="Aptos"/>
        </w:rPr>
        <w:t>D</w:t>
      </w:r>
      <w:r w:rsidRPr="00DF0641">
        <w:rPr>
          <w:rFonts w:eastAsia="Aptos"/>
        </w:rPr>
        <w:t>ržavnemu odvetništvu</w:t>
      </w:r>
      <w:r>
        <w:rPr>
          <w:rFonts w:eastAsia="Aptos"/>
        </w:rPr>
        <w:t xml:space="preserve"> RS</w:t>
      </w:r>
      <w:r w:rsidRPr="00DF0641">
        <w:rPr>
          <w:rFonts w:eastAsia="Aptos"/>
        </w:rPr>
        <w:t xml:space="preserve"> predhodno predlagati, naj se sporno razmerje reši na miren način pred uvedbo pravdnega ali drugega postopka</w:t>
      </w:r>
      <w:r>
        <w:rPr>
          <w:rFonts w:eastAsia="Aptos"/>
        </w:rPr>
        <w:t>.</w:t>
      </w:r>
      <w:r w:rsidRPr="00DF0641">
        <w:rPr>
          <w:rFonts w:eastAsia="Aptos"/>
        </w:rPr>
        <w:t xml:space="preserve"> </w:t>
      </w:r>
      <w:r w:rsidRPr="00DF0641">
        <w:rPr>
          <w:rFonts w:eastAsia="Aptos"/>
          <w:vanish/>
        </w:rPr>
        <w:t>Vrh obrazca</w:t>
      </w:r>
      <w:r w:rsidRPr="00DF0641">
        <w:rPr>
          <w:rFonts w:eastAsia="Aptos"/>
        </w:rPr>
        <w:t xml:space="preserve">Reševanje sporov na miren način je sicer ena od ključnih nalog in tudi zavez Državnega odvetništva RS, vendar je treba pri sklepanju poravnav upoštevati, da mora biti poravnava upravičena tako glede pravnega  temelja zahtevka kot po višini. Le takšna poravnava je namreč sprejemljiva tudi z vidika dolžnosti skrbnega razpolaganja s proračunskimi sredstvi, iz katerih so izplačane ugotovljene in naložene obveznosti države. Pri pošiljanju informacij in pojasnil glede predhodnih postopkov je predstavnik za odnose z javnostmi omejen z določilom 29. člena ZDOdv, po katerem so vsi podatki, ki izvirajo iz predhodnega postopka ali so povezani z njim,  zaupni. </w:t>
      </w:r>
    </w:p>
    <w:p w14:paraId="5E91C312" w14:textId="77777777" w:rsidR="00695AE2" w:rsidRPr="00DF0641" w:rsidRDefault="00695AE2" w:rsidP="00695AE2">
      <w:pPr>
        <w:pStyle w:val="Naslov5"/>
        <w:rPr>
          <w:b/>
        </w:rPr>
      </w:pPr>
      <w:bookmarkStart w:id="319" w:name="_Toc168844818"/>
      <w:bookmarkStart w:id="320" w:name="_Toc191561825"/>
      <w:bookmarkStart w:id="321" w:name="_Toc223093827"/>
      <w:r w:rsidRPr="00DF0641">
        <w:lastRenderedPageBreak/>
        <w:t>Državno odvetništvo RS in splošna javnost</w:t>
      </w:r>
      <w:bookmarkEnd w:id="319"/>
      <w:bookmarkEnd w:id="320"/>
      <w:bookmarkEnd w:id="321"/>
    </w:p>
    <w:p w14:paraId="18F56C26" w14:textId="77777777" w:rsidR="00695AE2" w:rsidRPr="00DF0641" w:rsidRDefault="00695AE2" w:rsidP="00695AE2">
      <w:pPr>
        <w:spacing w:line="240" w:lineRule="auto"/>
        <w:jc w:val="both"/>
        <w:rPr>
          <w:rFonts w:eastAsia="Calibri"/>
        </w:rPr>
      </w:pPr>
    </w:p>
    <w:p w14:paraId="1A42A2C8" w14:textId="77777777" w:rsidR="00695AE2" w:rsidRPr="00DF0641" w:rsidRDefault="00695AE2" w:rsidP="00695AE2">
      <w:pPr>
        <w:spacing w:line="240" w:lineRule="auto"/>
        <w:jc w:val="both"/>
        <w:rPr>
          <w:rFonts w:eastAsia="Aptos" w:cs="Aptos"/>
          <w:bCs/>
        </w:rPr>
      </w:pPr>
      <w:r w:rsidRPr="00DF0641">
        <w:rPr>
          <w:rFonts w:eastAsia="Aptos" w:cs="Aptos"/>
        </w:rPr>
        <w:t xml:space="preserve">Na Državno odvetništvo RS se obračajo posamezniki s svojimi dilemami in vprašanji ter nanj naslavljajo komentarje aktualnih tem, zahtevke, katerih rešitev ni v pristojnosti Državnega odvetništva RS, ali pa izražajo pričakovanja, da bo Državno odvetništvo RS v imenu pravičnosti in pravne države razrešilo sporna razmerja, v katerih so se znašli. Državno odvetništvo RS se tudi na takšne zadeve odziva tekoče in s pojasnilom, da Državno odvetništvo RS ni pristojno, da se na kakršen koli način vključi v sodne postopke, v katerih so stranke fizične ali pravne osebe oziroma subjekti, ki jih Državno odvetništvo RS po zakonu ne zastopa, ter ni pristojno, da preverja pravilnost in zakonitost poteka oziroma pravilnost odločitev sodišč. Presoja procesne in materialnopravne zakonitosti sodnih postopkov je namreč strankam teh postopkov zagotovljena v okviru sistema rednih in izrednih pravnih sredstev. </w:t>
      </w:r>
    </w:p>
    <w:p w14:paraId="096B963F" w14:textId="77777777" w:rsidR="00695AE2" w:rsidRPr="00DF0641" w:rsidRDefault="00695AE2" w:rsidP="00695AE2">
      <w:pPr>
        <w:spacing w:line="240" w:lineRule="auto"/>
        <w:jc w:val="both"/>
        <w:rPr>
          <w:rFonts w:eastAsia="Aptos" w:cs="Aptos"/>
        </w:rPr>
      </w:pPr>
    </w:p>
    <w:p w14:paraId="7F6F9C37" w14:textId="77777777" w:rsidR="00695AE2" w:rsidRPr="00DF0641" w:rsidRDefault="00695AE2" w:rsidP="00695AE2">
      <w:pPr>
        <w:spacing w:line="240" w:lineRule="auto"/>
        <w:jc w:val="both"/>
        <w:rPr>
          <w:rFonts w:eastAsia="Calibri"/>
        </w:rPr>
      </w:pPr>
      <w:r w:rsidRPr="00DF0641">
        <w:rPr>
          <w:rFonts w:eastAsia="Aptos" w:cs="Aptos"/>
        </w:rPr>
        <w:t xml:space="preserve">V letu 2025 je Državno odvetništvo RS prejelo 25 zaprosil in različnih vprašanj državljank ali državljanov. </w:t>
      </w:r>
    </w:p>
    <w:p w14:paraId="77C8E60F" w14:textId="77777777" w:rsidR="00695AE2" w:rsidRPr="00DF0641" w:rsidRDefault="00695AE2" w:rsidP="00695AE2">
      <w:pPr>
        <w:spacing w:line="240" w:lineRule="auto"/>
        <w:jc w:val="both"/>
        <w:rPr>
          <w:rFonts w:eastAsia="Calibri"/>
        </w:rPr>
      </w:pPr>
    </w:p>
    <w:p w14:paraId="712EC5DB" w14:textId="77777777" w:rsidR="00695AE2" w:rsidRPr="00781272" w:rsidRDefault="00695AE2" w:rsidP="00695AE2">
      <w:pPr>
        <w:pStyle w:val="Naslov4"/>
      </w:pPr>
      <w:bookmarkStart w:id="322" w:name="_Toc223093828"/>
      <w:r w:rsidRPr="00781272">
        <w:t>Medijsko poročanje o Državnem odvetništvu RS</w:t>
      </w:r>
      <w:bookmarkEnd w:id="322"/>
      <w:r w:rsidRPr="00781272">
        <w:t xml:space="preserve"> </w:t>
      </w:r>
    </w:p>
    <w:p w14:paraId="2A695EDE" w14:textId="77777777" w:rsidR="00695AE2" w:rsidRPr="00DF0641" w:rsidRDefault="00695AE2" w:rsidP="00695AE2">
      <w:pPr>
        <w:spacing w:line="240" w:lineRule="auto"/>
        <w:jc w:val="both"/>
        <w:rPr>
          <w:rFonts w:eastAsia="Calibri"/>
        </w:rPr>
      </w:pPr>
    </w:p>
    <w:p w14:paraId="27692B50" w14:textId="77777777" w:rsidR="00695AE2" w:rsidRPr="00DF0641" w:rsidRDefault="00695AE2" w:rsidP="00695AE2">
      <w:pPr>
        <w:pStyle w:val="Naslov5"/>
      </w:pPr>
      <w:bookmarkStart w:id="323" w:name="_Toc223093829"/>
      <w:r w:rsidRPr="00DF0641">
        <w:t>Uvod</w:t>
      </w:r>
      <w:bookmarkEnd w:id="323"/>
    </w:p>
    <w:p w14:paraId="08AF6C8A" w14:textId="77777777" w:rsidR="00695AE2" w:rsidRPr="00DF0641" w:rsidRDefault="00695AE2" w:rsidP="00695AE2">
      <w:pPr>
        <w:spacing w:line="240" w:lineRule="auto"/>
        <w:jc w:val="both"/>
        <w:rPr>
          <w:rFonts w:eastAsia="Calibri"/>
        </w:rPr>
      </w:pPr>
    </w:p>
    <w:p w14:paraId="4CE3A0C1" w14:textId="77777777" w:rsidR="00695AE2" w:rsidRPr="00DF0641" w:rsidRDefault="00695AE2" w:rsidP="00695AE2">
      <w:pPr>
        <w:spacing w:line="240" w:lineRule="auto"/>
        <w:jc w:val="both"/>
        <w:rPr>
          <w:rFonts w:eastAsia="Aptos" w:cs="Aptos"/>
        </w:rPr>
      </w:pPr>
      <w:r w:rsidRPr="00DF0641">
        <w:rPr>
          <w:rFonts w:eastAsia="Aptos" w:cs="Aptos"/>
        </w:rPr>
        <w:t xml:space="preserve">Državno odvetništvo RS pogosto pritegne medijsko pozornost zaradi svoje osrednje vloge v pravnih postopkih državnega in širše družbenega pomena. Kot zastopnik države pred domačimi, tujimi in mednarodnimi sodišči ter arbitražami namreč obravnava širok spekter zadev, ki vključujejo vprašanja človekovih pravic, javnih financ, varstva okolja in druga vprašanja, pomembna za javnost. Mediji poročajo o delovanju Državnega odvetništva RS tako glede specifičnih pravnih primerov kot v okviru širših diskusij o pravni državi, preglednosti delovanja in odgovornosti. </w:t>
      </w:r>
    </w:p>
    <w:p w14:paraId="539AF5E9" w14:textId="77777777" w:rsidR="00695AE2" w:rsidRPr="00DF0641" w:rsidRDefault="00695AE2" w:rsidP="00695AE2">
      <w:pPr>
        <w:spacing w:line="240" w:lineRule="auto"/>
        <w:jc w:val="both"/>
        <w:rPr>
          <w:rFonts w:eastAsia="Aptos" w:cs="Aptos"/>
        </w:rPr>
      </w:pPr>
    </w:p>
    <w:p w14:paraId="7AD8D7C3" w14:textId="77777777" w:rsidR="00695AE2" w:rsidRPr="00DF0641" w:rsidRDefault="00695AE2" w:rsidP="00695AE2">
      <w:pPr>
        <w:pStyle w:val="Naslov5"/>
      </w:pPr>
      <w:bookmarkStart w:id="324" w:name="_Toc223093830"/>
      <w:r w:rsidRPr="00DF0641">
        <w:t>Medijsko izpostavljene teme v letu 2025</w:t>
      </w:r>
      <w:bookmarkEnd w:id="324"/>
    </w:p>
    <w:p w14:paraId="6BDA5829" w14:textId="77777777" w:rsidR="00695AE2" w:rsidRPr="00DF0641" w:rsidRDefault="00695AE2" w:rsidP="00695AE2">
      <w:pPr>
        <w:spacing w:line="240" w:lineRule="auto"/>
        <w:jc w:val="both"/>
        <w:rPr>
          <w:rFonts w:eastAsia="Calibri"/>
        </w:rPr>
      </w:pPr>
    </w:p>
    <w:p w14:paraId="327514B5" w14:textId="77777777" w:rsidR="00695AE2" w:rsidRPr="00DF0641" w:rsidRDefault="00695AE2" w:rsidP="00695AE2">
      <w:pPr>
        <w:spacing w:line="240" w:lineRule="auto"/>
        <w:jc w:val="both"/>
        <w:rPr>
          <w:rFonts w:eastAsia="Aptos" w:cs="Aptos"/>
        </w:rPr>
      </w:pPr>
      <w:r w:rsidRPr="00DF0641">
        <w:rPr>
          <w:rFonts w:eastAsia="Aptos" w:cs="Aptos"/>
        </w:rPr>
        <w:t>Zadeve, ki jih obravnava Državno odvetništvo RS, so raznolike in številne in to se odraža tudi v prošnjah za odgovor s strani medijev.</w:t>
      </w:r>
    </w:p>
    <w:p w14:paraId="50A82850" w14:textId="77777777" w:rsidR="00695AE2" w:rsidRPr="00DF0641" w:rsidRDefault="00695AE2" w:rsidP="00695AE2">
      <w:pPr>
        <w:spacing w:line="240" w:lineRule="auto"/>
        <w:jc w:val="both"/>
        <w:rPr>
          <w:rFonts w:eastAsia="Aptos" w:cs="Aptos"/>
        </w:rPr>
      </w:pPr>
    </w:p>
    <w:p w14:paraId="5E1F669E" w14:textId="77777777" w:rsidR="00695AE2" w:rsidRPr="00DF0641" w:rsidRDefault="00695AE2" w:rsidP="00695AE2">
      <w:pPr>
        <w:spacing w:line="240" w:lineRule="auto"/>
        <w:jc w:val="both"/>
        <w:rPr>
          <w:rFonts w:eastAsia="Aptos" w:cs="Aptos"/>
        </w:rPr>
      </w:pPr>
      <w:r w:rsidRPr="00DF0641">
        <w:rPr>
          <w:rFonts w:eastAsia="Aptos" w:cs="Aptos"/>
        </w:rPr>
        <w:t xml:space="preserve">V letu 2025 je Državno odvetništvo RS od tiskanih, spletnih in televizijskih medijev prejelo 71  pisnih zaprosil za odgovore, kar je približno 45 odstotkov manj  kot leta 2024, ko jih je  prejelo 128. Zaprosila, ki običajno vsebujejo več kot eno vprašanje, so se glede na uredniško politiko, ki določenim temam daje prednost in prostor v svojem mediju, nanašala na različne primere. Vprašanja so usmerjena v pridobivanje informacij na primer o tem, v kakšni fazi je nek postopek, kdaj je pričakovati njegovo nadaljevanje, ali je zadeva pravnomočno končana, kako je z izidom zadovoljno Državno odvetništvo RS oziroma ali bo uporabilo še kakšna pravna sredstva. </w:t>
      </w:r>
    </w:p>
    <w:p w14:paraId="75B0A844" w14:textId="77777777" w:rsidR="00695AE2" w:rsidRPr="00DF0641" w:rsidRDefault="00695AE2" w:rsidP="00695AE2">
      <w:pPr>
        <w:spacing w:line="240" w:lineRule="auto"/>
        <w:jc w:val="both"/>
        <w:rPr>
          <w:rFonts w:eastAsia="Aptos" w:cs="Aptos"/>
        </w:rPr>
      </w:pPr>
    </w:p>
    <w:p w14:paraId="153435FC" w14:textId="77777777" w:rsidR="00695AE2" w:rsidRPr="00DF0641" w:rsidRDefault="00695AE2" w:rsidP="00695AE2">
      <w:pPr>
        <w:spacing w:line="240" w:lineRule="auto"/>
        <w:jc w:val="both"/>
        <w:rPr>
          <w:rFonts w:eastAsia="Aptos" w:cs="Aptos"/>
        </w:rPr>
      </w:pPr>
      <w:r w:rsidRPr="00DF0641">
        <w:rPr>
          <w:rFonts w:eastAsia="Aptos" w:cs="Aptos"/>
        </w:rPr>
        <w:t>Določene informacije ali določeni dokumenti, bodisi po ZDOdv, ZDIJZ, Splošni uredbi o varstvu podatkov, Konvenciji Sveta Evrope o dostopu do uradnih dokumentov ali po kakšni drugi zakonski podlagi</w:t>
      </w:r>
      <w:r>
        <w:rPr>
          <w:rFonts w:eastAsia="Aptos" w:cs="Aptos"/>
        </w:rPr>
        <w:t>,</w:t>
      </w:r>
      <w:r w:rsidRPr="00DF0641">
        <w:rPr>
          <w:rFonts w:eastAsia="Aptos" w:cs="Aptos"/>
        </w:rPr>
        <w:t xml:space="preserve"> niso javno dostopni. </w:t>
      </w:r>
    </w:p>
    <w:p w14:paraId="0F07D300" w14:textId="77777777" w:rsidR="00695AE2" w:rsidRPr="00DF0641" w:rsidRDefault="00695AE2" w:rsidP="00695AE2">
      <w:pPr>
        <w:spacing w:line="240" w:lineRule="auto"/>
        <w:jc w:val="both"/>
        <w:rPr>
          <w:rFonts w:eastAsia="Aptos" w:cs="Aptos"/>
        </w:rPr>
      </w:pPr>
    </w:p>
    <w:p w14:paraId="3A36614B" w14:textId="77777777" w:rsidR="00695AE2" w:rsidRPr="00DF0641" w:rsidRDefault="00695AE2" w:rsidP="00695AE2">
      <w:pPr>
        <w:spacing w:line="240" w:lineRule="auto"/>
        <w:jc w:val="both"/>
        <w:rPr>
          <w:rFonts w:eastAsia="Aptos" w:cs="Aptos"/>
        </w:rPr>
      </w:pPr>
      <w:r w:rsidRPr="00DF0641">
        <w:rPr>
          <w:rFonts w:eastAsia="Aptos" w:cs="Aptos"/>
        </w:rPr>
        <w:lastRenderedPageBreak/>
        <w:t>Med medijsko odmevnejšimi so praviloma primeri, ki obravnavajo vprašanja človekovih pravic in svoboščin, in sicer tako tisti, ki so obravnavani v okviru slovenskega pravosodja kot tudi pred Evropskim sodiščem</w:t>
      </w:r>
      <w:r>
        <w:rPr>
          <w:rFonts w:eastAsia="Aptos" w:cs="Aptos"/>
        </w:rPr>
        <w:t xml:space="preserve"> </w:t>
      </w:r>
      <w:r w:rsidRPr="00DF0641">
        <w:rPr>
          <w:rFonts w:eastAsia="Aptos" w:cs="Aptos"/>
        </w:rPr>
        <w:t>za človekove pravice, ter primeri</w:t>
      </w:r>
      <w:r>
        <w:rPr>
          <w:rFonts w:eastAsia="Aptos" w:cs="Aptos"/>
        </w:rPr>
        <w:t>,</w:t>
      </w:r>
      <w:r w:rsidRPr="00DF0641">
        <w:rPr>
          <w:rFonts w:eastAsia="Aptos" w:cs="Aptos"/>
        </w:rPr>
        <w:t xml:space="preserve"> povezani z aktualnim družbenim dogajanjem.  </w:t>
      </w:r>
    </w:p>
    <w:p w14:paraId="533F6039" w14:textId="77777777" w:rsidR="00695AE2" w:rsidRPr="00DF0641" w:rsidRDefault="00695AE2" w:rsidP="00695AE2">
      <w:pPr>
        <w:spacing w:line="240" w:lineRule="auto"/>
        <w:jc w:val="both"/>
        <w:rPr>
          <w:rFonts w:eastAsia="Calibri"/>
        </w:rPr>
      </w:pPr>
    </w:p>
    <w:p w14:paraId="415B4CB7" w14:textId="77777777" w:rsidR="00695AE2" w:rsidRPr="00DF0641" w:rsidRDefault="00695AE2" w:rsidP="00695AE2">
      <w:pPr>
        <w:pStyle w:val="Naslov4"/>
        <w:ind w:left="0" w:firstLine="0"/>
      </w:pPr>
      <w:bookmarkStart w:id="325" w:name="_Toc223093831"/>
      <w:r w:rsidRPr="00DF0641">
        <w:t>Intranet – k</w:t>
      </w:r>
      <w:r w:rsidRPr="00DF0641">
        <w:rPr>
          <w:rFonts w:eastAsia="Aptos"/>
        </w:rPr>
        <w:t>ljučno informacijsko stičišče za učinkovito obveščanje zaposlenih na Državnem odvetništvu RS</w:t>
      </w:r>
      <w:bookmarkEnd w:id="325"/>
    </w:p>
    <w:p w14:paraId="669AD26F" w14:textId="77777777" w:rsidR="00695AE2" w:rsidRPr="00DF0641" w:rsidRDefault="00695AE2" w:rsidP="00695AE2">
      <w:pPr>
        <w:pStyle w:val="Jasna"/>
      </w:pPr>
    </w:p>
    <w:p w14:paraId="5C87D0E0" w14:textId="77777777" w:rsidR="00695AE2" w:rsidRPr="00DF0641" w:rsidRDefault="00695AE2" w:rsidP="00695AE2">
      <w:pPr>
        <w:spacing w:line="240" w:lineRule="auto"/>
        <w:jc w:val="both"/>
        <w:rPr>
          <w:rFonts w:eastAsia="Aptos" w:cs="Aptos"/>
        </w:rPr>
      </w:pPr>
      <w:r w:rsidRPr="00DF0641">
        <w:rPr>
          <w:rFonts w:eastAsia="Aptos" w:cs="Aptos"/>
        </w:rPr>
        <w:t>Intranet znatno izboljšuje in krepi notranjo komunikacijo, kar je pripomoglo k boljši informiranosti in učinkovitosti zaposlenih. Na voljo so tehnična, vsebinska in uporabniška podpora, ki zaposlenim omogočajo prijazno digitalno izkušnjo, spodbujajo digitalno vključenost ter krepijo občutek povezanosti v kolektivu. Pretok informacij med sedežem Državnega odvetništva RS in zunanjimi oddelki je postal učinkovitejši, preglednost delovanja se je povečala, zaposleni pa se čutijo bolj vključene v tok obveščanja. Zaradi zmanjšanja obremenitve z elektronsko pošto se zaposleni lažje osredotočajo na svoje naloge. Uredniška ekipa intraneta nenehno zbira povratne informacije in predloge, ki jih vključuje v nadgradnjo platforme, s čimer izboljšuje uporabniško izkušnjo. Sproti posodobljene in urejene vsebine zagotavljajo, da intranet ostaja pomemben, zanimiv in uporaben osrednji vir informacij za vse zaposlene.</w:t>
      </w:r>
    </w:p>
    <w:p w14:paraId="6165186F" w14:textId="77777777" w:rsidR="00695AE2" w:rsidRPr="00DF0641" w:rsidRDefault="00695AE2" w:rsidP="00695AE2">
      <w:pPr>
        <w:spacing w:line="240" w:lineRule="auto"/>
        <w:jc w:val="both"/>
        <w:rPr>
          <w:rFonts w:eastAsia="Aptos" w:cs="Aptos"/>
        </w:rPr>
      </w:pPr>
    </w:p>
    <w:p w14:paraId="7E674C36" w14:textId="77777777" w:rsidR="00695AE2" w:rsidRPr="00DF0641" w:rsidRDefault="00695AE2" w:rsidP="00695AE2">
      <w:pPr>
        <w:spacing w:line="240" w:lineRule="auto"/>
        <w:jc w:val="both"/>
        <w:rPr>
          <w:rFonts w:eastAsia="Aptos" w:cs="Aptos"/>
        </w:rPr>
      </w:pPr>
      <w:r w:rsidRPr="00DF0641">
        <w:rPr>
          <w:rFonts w:eastAsia="Aptos" w:cs="Aptos"/>
        </w:rPr>
        <w:t>Skupaj je bilo v okviru intraneta v letu 2025 objavljenih 808 prispevkov, ki združujejo uradna obvestila Urada generalne državne odvetnice, odredbe, navodila, obrazce, obvestila o novih primerih, pomembnih zadevah, strokovne članke, novice o izobraževalnih dogodkih, projektih, aktualno poročanje medijev, nagovore vodstva in druge splošne informacije, ki koristijo zaposlenim pri tekočem opravljanju dela.</w:t>
      </w:r>
    </w:p>
    <w:p w14:paraId="5BE3B76A" w14:textId="77777777" w:rsidR="00695AE2" w:rsidRPr="00DF0641" w:rsidRDefault="00695AE2" w:rsidP="00695AE2">
      <w:pPr>
        <w:spacing w:line="240" w:lineRule="auto"/>
        <w:jc w:val="both"/>
        <w:rPr>
          <w:rFonts w:eastAsia="Aptos" w:cs="Aptos"/>
        </w:rPr>
      </w:pPr>
    </w:p>
    <w:p w14:paraId="4A004AD4" w14:textId="77777777" w:rsidR="00695AE2" w:rsidRPr="00DF0641" w:rsidRDefault="00695AE2" w:rsidP="00695AE2">
      <w:pPr>
        <w:spacing w:line="240" w:lineRule="auto"/>
        <w:jc w:val="both"/>
        <w:rPr>
          <w:rFonts w:eastAsia="Aptos" w:cs="Aptos"/>
        </w:rPr>
      </w:pPr>
      <w:r w:rsidRPr="00DF0641">
        <w:rPr>
          <w:rFonts w:eastAsia="Aptos" w:cs="Aptos"/>
        </w:rPr>
        <w:t>Državno odvetništvo RS bo nadaljevalo z razvojem orodij in praks, ki bodo še naprej omogočale, da bo intranet ostal zanesljivo in uporabnikom prijazno orodje interne komunikacije  za hitrejši in bolj pregleden pretok informacij med zaposlenimi.</w:t>
      </w:r>
    </w:p>
    <w:p w14:paraId="08438162" w14:textId="77777777" w:rsidR="00695AE2" w:rsidRPr="00DF0641" w:rsidRDefault="00695AE2" w:rsidP="00695AE2">
      <w:pPr>
        <w:spacing w:line="240" w:lineRule="auto"/>
        <w:jc w:val="both"/>
        <w:rPr>
          <w:rFonts w:eastAsia="Aptos" w:cs="Aptos"/>
        </w:rPr>
      </w:pPr>
    </w:p>
    <w:p w14:paraId="20C74254" w14:textId="77777777" w:rsidR="00695AE2" w:rsidRPr="00DF0641" w:rsidRDefault="00695AE2" w:rsidP="00695AE2">
      <w:pPr>
        <w:pStyle w:val="Naslov4"/>
      </w:pPr>
      <w:bookmarkStart w:id="326" w:name="_Toc223093832"/>
      <w:r w:rsidRPr="00DF0641">
        <w:t>Splet</w:t>
      </w:r>
      <w:bookmarkEnd w:id="326"/>
    </w:p>
    <w:p w14:paraId="17484D0F" w14:textId="77777777" w:rsidR="00695AE2" w:rsidRPr="00DF0641" w:rsidRDefault="00695AE2" w:rsidP="00695AE2">
      <w:pPr>
        <w:spacing w:line="240" w:lineRule="auto"/>
        <w:jc w:val="both"/>
        <w:rPr>
          <w:rFonts w:eastAsia="Calibri"/>
        </w:rPr>
      </w:pPr>
    </w:p>
    <w:p w14:paraId="4BC1094C" w14:textId="77777777" w:rsidR="00695AE2" w:rsidRPr="00DF0641" w:rsidRDefault="00695AE2" w:rsidP="00695AE2">
      <w:pPr>
        <w:pStyle w:val="Naslov5"/>
      </w:pPr>
      <w:bookmarkStart w:id="327" w:name="_Toc223093833"/>
      <w:r w:rsidRPr="00DF0641">
        <w:t>Spletna stran</w:t>
      </w:r>
      <w:bookmarkEnd w:id="327"/>
    </w:p>
    <w:p w14:paraId="478E8213" w14:textId="77777777" w:rsidR="00695AE2" w:rsidRPr="00DF0641" w:rsidRDefault="00695AE2" w:rsidP="00695AE2">
      <w:pPr>
        <w:spacing w:line="240" w:lineRule="auto"/>
        <w:jc w:val="both"/>
        <w:rPr>
          <w:rFonts w:eastAsia="Calibri"/>
        </w:rPr>
      </w:pPr>
    </w:p>
    <w:p w14:paraId="4120E819" w14:textId="77777777" w:rsidR="00695AE2" w:rsidRPr="00DF0641" w:rsidRDefault="00695AE2" w:rsidP="00695AE2">
      <w:pPr>
        <w:spacing w:line="240" w:lineRule="auto"/>
        <w:jc w:val="both"/>
        <w:rPr>
          <w:rFonts w:eastAsia="Aptos" w:cs="Aptos"/>
        </w:rPr>
      </w:pPr>
      <w:r w:rsidRPr="00DF0641">
        <w:rPr>
          <w:rFonts w:eastAsia="Aptos" w:cs="Aptos"/>
        </w:rPr>
        <w:t>V letu 2025 je Državno odvetništvo RS redno posodabljalo vsebino spletne strani z aktualnimi informacijami. Objavljeni so bili  razpisi delovnih mest, odločitve  Evropskega sodišča za človekove pravice, podatki o dejavnostih Državnega odvetništva RS, novosti s področja digitalizacije poslovanja in druga pomembna obvestila</w:t>
      </w:r>
    </w:p>
    <w:p w14:paraId="2674CEB7" w14:textId="77777777" w:rsidR="00695AE2" w:rsidRPr="00DF0641" w:rsidRDefault="00695AE2" w:rsidP="00695AE2">
      <w:pPr>
        <w:spacing w:line="240" w:lineRule="auto"/>
        <w:jc w:val="both"/>
        <w:rPr>
          <w:rFonts w:eastAsia="Aptos" w:cs="Aptos"/>
        </w:rPr>
      </w:pPr>
    </w:p>
    <w:p w14:paraId="6A2B0ED5" w14:textId="77777777" w:rsidR="00695AE2" w:rsidRPr="00DF0641" w:rsidRDefault="00695AE2" w:rsidP="00695AE2">
      <w:pPr>
        <w:spacing w:line="240" w:lineRule="auto"/>
        <w:jc w:val="both"/>
        <w:rPr>
          <w:rFonts w:eastAsia="Aptos" w:cs="Aptos"/>
        </w:rPr>
      </w:pPr>
      <w:r w:rsidRPr="00DF0641">
        <w:rPr>
          <w:rFonts w:eastAsia="Aptos" w:cs="Aptos"/>
        </w:rPr>
        <w:t>Državno odvetništvo RS nadaljuje z izboljšavami, ki omogočajo visoko  dostopnost spletne strani za ovirane skupine spletnih obiskovalcev, kjer po kriteriju orodja WAVE za oceno dostopnosti spletne strani za ovirane skupine uporabnikov, dosega ocene med 9.7/10 ter 10/10</w:t>
      </w:r>
      <w:r w:rsidRPr="00DF0641">
        <w:rPr>
          <w:rFonts w:eastAsia="Aptos" w:cs="Aptos"/>
          <w:color w:val="0D0D0D"/>
          <w:shd w:val="clear" w:color="auto" w:fill="FFFFFF"/>
        </w:rPr>
        <w:t>. Državno odvetništvo RS bo n</w:t>
      </w:r>
      <w:r w:rsidRPr="00DF0641">
        <w:rPr>
          <w:rFonts w:eastAsia="Aptos" w:cs="Aptos"/>
        </w:rPr>
        <w:t>adaljevalo proces digitalne preobrazbe spletne strani, da bi izboljšalo uporabniško izkušnjo ter javnosti zagotavljalo celostne in tekoče informacije o delu organa.</w:t>
      </w:r>
    </w:p>
    <w:p w14:paraId="10E4DEBE" w14:textId="77777777" w:rsidR="00695AE2" w:rsidRPr="00DF0641" w:rsidRDefault="00695AE2" w:rsidP="00695AE2">
      <w:pPr>
        <w:spacing w:line="240" w:lineRule="auto"/>
        <w:jc w:val="both"/>
        <w:rPr>
          <w:rFonts w:eastAsia="Calibri"/>
        </w:rPr>
      </w:pPr>
    </w:p>
    <w:p w14:paraId="3741DEF0" w14:textId="77777777" w:rsidR="00695AE2" w:rsidRPr="00DF0641" w:rsidRDefault="00695AE2" w:rsidP="00695AE2">
      <w:pPr>
        <w:pStyle w:val="Naslov5"/>
      </w:pPr>
      <w:bookmarkStart w:id="328" w:name="_Toc223093834"/>
      <w:r w:rsidRPr="00DF0641">
        <w:lastRenderedPageBreak/>
        <w:t>Pojavnost na družbenih omrežjih</w:t>
      </w:r>
      <w:bookmarkEnd w:id="328"/>
    </w:p>
    <w:p w14:paraId="751274B3" w14:textId="77777777" w:rsidR="00695AE2" w:rsidRPr="00DF0641" w:rsidRDefault="00695AE2" w:rsidP="00695AE2">
      <w:pPr>
        <w:spacing w:line="240" w:lineRule="auto"/>
        <w:jc w:val="both"/>
        <w:rPr>
          <w:rFonts w:eastAsia="Calibri"/>
        </w:rPr>
      </w:pPr>
    </w:p>
    <w:p w14:paraId="6013FD39" w14:textId="77777777" w:rsidR="00695AE2" w:rsidRPr="00DF0641" w:rsidRDefault="00695AE2" w:rsidP="00695AE2">
      <w:pPr>
        <w:spacing w:line="240" w:lineRule="auto"/>
        <w:jc w:val="both"/>
        <w:rPr>
          <w:rFonts w:eastAsia="Aptos" w:cs="Aptos"/>
        </w:rPr>
      </w:pPr>
      <w:r w:rsidRPr="00DF0641">
        <w:rPr>
          <w:rFonts w:eastAsia="Aptos" w:cs="Aptos"/>
        </w:rPr>
        <w:t>S ciljem večje prepoznavnosti in dosega različnih skupin javnosti je imelo Državno odvetništvo RS tudi v 2025 na omrežjih Facebook, X in LinkedIn  vzpostavljene profile in strani. Namen prisotnosti na družabnih omrežij je bil predvsem obveščanje javnosti o dejavnostih Državnega odvetništva RS in s tem utrjevanje poznavanja njegovega poslanstva kot varuha premoženjskih in drugih interesov države. Omrežja X, LinkedIn in Facebook so služila kot dodaten kanal za distribucijo informacij, tudi o razpisanih delovnih mestih.</w:t>
      </w:r>
    </w:p>
    <w:p w14:paraId="79E659D5" w14:textId="77777777" w:rsidR="00695AE2" w:rsidRPr="00DF0641" w:rsidRDefault="00695AE2" w:rsidP="00695AE2">
      <w:pPr>
        <w:spacing w:line="240" w:lineRule="auto"/>
        <w:jc w:val="both"/>
        <w:rPr>
          <w:rFonts w:eastAsia="Calibri"/>
        </w:rPr>
      </w:pPr>
    </w:p>
    <w:p w14:paraId="15113053" w14:textId="77777777" w:rsidR="00695AE2" w:rsidRPr="00DF0641" w:rsidRDefault="00695AE2" w:rsidP="00695AE2">
      <w:pPr>
        <w:pStyle w:val="Naslov4"/>
      </w:pPr>
      <w:bookmarkStart w:id="329" w:name="_Toc223093835"/>
      <w:r w:rsidRPr="00DF0641">
        <w:t>Prenova celostne grafične podobe</w:t>
      </w:r>
      <w:bookmarkEnd w:id="329"/>
      <w:r w:rsidRPr="00DF0641">
        <w:t xml:space="preserve"> </w:t>
      </w:r>
    </w:p>
    <w:p w14:paraId="4F77A204" w14:textId="77777777" w:rsidR="00695AE2" w:rsidRPr="00DF0641" w:rsidRDefault="00695AE2" w:rsidP="00695AE2">
      <w:pPr>
        <w:spacing w:line="240" w:lineRule="auto"/>
        <w:jc w:val="both"/>
        <w:rPr>
          <w:rFonts w:eastAsia="Times New Roman"/>
          <w:lang w:eastAsia="sl-SI"/>
        </w:rPr>
      </w:pPr>
    </w:p>
    <w:p w14:paraId="3B8F4055" w14:textId="77777777" w:rsidR="00695AE2" w:rsidRPr="00DF0641" w:rsidRDefault="00695AE2" w:rsidP="00695AE2">
      <w:pPr>
        <w:spacing w:line="240" w:lineRule="auto"/>
        <w:jc w:val="both"/>
        <w:rPr>
          <w:rFonts w:eastAsia="Calibri"/>
        </w:rPr>
      </w:pPr>
      <w:r w:rsidRPr="00DF0641">
        <w:rPr>
          <w:rFonts w:eastAsia="Calibri"/>
        </w:rPr>
        <w:t xml:space="preserve">V letu 2025 je bil začet projekt prenove celostne grafične podobe Državnega odvetništva RS, ki bo zagotovila sodobno in konsistentno vizualno identiteto.   </w:t>
      </w:r>
    </w:p>
    <w:p w14:paraId="01A3BE4C" w14:textId="77777777" w:rsidR="00695AE2" w:rsidRPr="00DF0641" w:rsidRDefault="00695AE2" w:rsidP="00695AE2">
      <w:pPr>
        <w:spacing w:line="240" w:lineRule="auto"/>
        <w:jc w:val="both"/>
        <w:rPr>
          <w:rFonts w:eastAsia="Calibri"/>
        </w:rPr>
      </w:pPr>
    </w:p>
    <w:p w14:paraId="01C80CAE" w14:textId="77777777" w:rsidR="00695AE2" w:rsidRPr="00DF0641" w:rsidRDefault="00695AE2" w:rsidP="00695AE2">
      <w:pPr>
        <w:pStyle w:val="Naslov4"/>
      </w:pPr>
      <w:bookmarkStart w:id="330" w:name="_Toc223093836"/>
      <w:r w:rsidRPr="00DF0641">
        <w:t>Pogled naprej</w:t>
      </w:r>
      <w:bookmarkEnd w:id="330"/>
    </w:p>
    <w:p w14:paraId="729B22FC" w14:textId="77777777" w:rsidR="00695AE2" w:rsidRPr="00DF0641" w:rsidRDefault="00695AE2" w:rsidP="00695AE2">
      <w:pPr>
        <w:spacing w:line="240" w:lineRule="auto"/>
        <w:jc w:val="both"/>
        <w:rPr>
          <w:rFonts w:eastAsia="Aptos" w:cs="Aptos"/>
        </w:rPr>
      </w:pPr>
    </w:p>
    <w:p w14:paraId="449A1697" w14:textId="77777777" w:rsidR="00695AE2" w:rsidRPr="00DF0641" w:rsidRDefault="00695AE2" w:rsidP="00695AE2">
      <w:pPr>
        <w:spacing w:line="240" w:lineRule="auto"/>
        <w:jc w:val="both"/>
        <w:rPr>
          <w:rFonts w:eastAsia="Times New Roman" w:cs="Aptos"/>
          <w:lang w:eastAsia="sl-SI"/>
        </w:rPr>
      </w:pPr>
      <w:r w:rsidRPr="00DF0641">
        <w:rPr>
          <w:rFonts w:eastAsia="Aptos" w:cs="Aptos"/>
        </w:rPr>
        <w:t>Tudi leto 2026 bo za Državno odvetništvo RS priložnost za nadaljnjo krepitev interne komunikacije, vzpostavljanje še bolj učinkovite komunikacije z mediji in izboljšanje prepoznavnosti dela pri ciljni in splošni javnosti.</w:t>
      </w:r>
      <w:r w:rsidRPr="00DF0641">
        <w:rPr>
          <w:rFonts w:eastAsia="Times New Roman" w:cs="Aptos"/>
          <w:lang w:eastAsia="sl-SI"/>
        </w:rPr>
        <w:t xml:space="preserve"> </w:t>
      </w:r>
    </w:p>
    <w:p w14:paraId="666185E1" w14:textId="77777777" w:rsidR="00695AE2" w:rsidRPr="00503014" w:rsidRDefault="00695AE2" w:rsidP="00695AE2">
      <w:pPr>
        <w:spacing w:line="240" w:lineRule="auto"/>
        <w:jc w:val="both"/>
        <w:rPr>
          <w:rFonts w:eastAsia="Calibri"/>
          <w:sz w:val="28"/>
          <w:szCs w:val="28"/>
        </w:rPr>
      </w:pPr>
      <w:bookmarkStart w:id="331" w:name="_Hlk219896075"/>
      <w:bookmarkEnd w:id="304"/>
      <w:bookmarkEnd w:id="305"/>
      <w:bookmarkEnd w:id="306"/>
    </w:p>
    <w:p w14:paraId="4659FF93" w14:textId="77777777" w:rsidR="00695AE2" w:rsidRPr="00503014" w:rsidRDefault="00695AE2" w:rsidP="00695AE2">
      <w:pPr>
        <w:pStyle w:val="Naslov3"/>
      </w:pPr>
      <w:bookmarkStart w:id="332" w:name="_Toc168844823"/>
      <w:bookmarkStart w:id="333" w:name="_Toc191561836"/>
      <w:bookmarkStart w:id="334" w:name="_Toc223093837"/>
      <w:bookmarkEnd w:id="331"/>
      <w:r w:rsidRPr="00503014">
        <w:t>Srečanja, obiski, dogodki in druge dejavnosti Državnega odvetništva RS</w:t>
      </w:r>
      <w:bookmarkEnd w:id="332"/>
      <w:bookmarkEnd w:id="333"/>
      <w:bookmarkEnd w:id="334"/>
      <w:r w:rsidRPr="00503014">
        <w:t xml:space="preserve"> </w:t>
      </w:r>
    </w:p>
    <w:p w14:paraId="05AE8764" w14:textId="77777777" w:rsidR="00695AE2" w:rsidRPr="00503014" w:rsidRDefault="00695AE2" w:rsidP="00695AE2">
      <w:pPr>
        <w:spacing w:line="240" w:lineRule="auto"/>
        <w:rPr>
          <w:rFonts w:eastAsia="Calibri"/>
          <w:sz w:val="28"/>
          <w:szCs w:val="28"/>
        </w:rPr>
      </w:pPr>
    </w:p>
    <w:p w14:paraId="138CCAC4" w14:textId="77777777" w:rsidR="00695AE2" w:rsidRPr="00503014" w:rsidRDefault="00695AE2" w:rsidP="00695AE2">
      <w:pPr>
        <w:pStyle w:val="Naslov4"/>
      </w:pPr>
      <w:bookmarkStart w:id="335" w:name="_Toc168844824"/>
      <w:bookmarkStart w:id="336" w:name="_Toc191561837"/>
      <w:bookmarkStart w:id="337" w:name="_Toc223093838"/>
      <w:r w:rsidRPr="00503014">
        <w:t>Uvod</w:t>
      </w:r>
      <w:bookmarkEnd w:id="335"/>
      <w:bookmarkEnd w:id="336"/>
      <w:bookmarkEnd w:id="337"/>
    </w:p>
    <w:p w14:paraId="1B4B86F7" w14:textId="77777777" w:rsidR="00695AE2" w:rsidRPr="00503014" w:rsidRDefault="00695AE2" w:rsidP="00695AE2">
      <w:pPr>
        <w:pStyle w:val="Jasna"/>
      </w:pPr>
    </w:p>
    <w:p w14:paraId="3B856954" w14:textId="77777777" w:rsidR="00695AE2" w:rsidRPr="00503014" w:rsidRDefault="00695AE2" w:rsidP="00695AE2">
      <w:pPr>
        <w:spacing w:line="240" w:lineRule="auto"/>
        <w:jc w:val="both"/>
        <w:rPr>
          <w:rFonts w:cstheme="minorHAnsi"/>
        </w:rPr>
      </w:pPr>
      <w:r w:rsidRPr="00503014">
        <w:rPr>
          <w:rFonts w:cstheme="minorHAnsi"/>
        </w:rPr>
        <w:t xml:space="preserve">V tem delu letnega poročila so strnjene ključne dejavnosti, dogodki in obiski Državnega odvetništva RS v letu 2025. </w:t>
      </w:r>
    </w:p>
    <w:p w14:paraId="08268CD1" w14:textId="77777777" w:rsidR="00695AE2" w:rsidRPr="00503014" w:rsidRDefault="00695AE2" w:rsidP="00695AE2">
      <w:pPr>
        <w:spacing w:line="240" w:lineRule="auto"/>
        <w:jc w:val="both"/>
        <w:rPr>
          <w:rFonts w:cstheme="minorHAnsi"/>
        </w:rPr>
      </w:pPr>
    </w:p>
    <w:p w14:paraId="49F4E479" w14:textId="77777777" w:rsidR="00695AE2" w:rsidRPr="00503014" w:rsidRDefault="00695AE2" w:rsidP="00695AE2">
      <w:pPr>
        <w:spacing w:line="240" w:lineRule="auto"/>
        <w:jc w:val="both"/>
        <w:rPr>
          <w:rFonts w:cstheme="minorHAnsi"/>
        </w:rPr>
      </w:pPr>
      <w:r w:rsidRPr="00503014">
        <w:rPr>
          <w:rFonts w:cstheme="minorHAnsi"/>
        </w:rPr>
        <w:t>V letu 2025 se je Državno odvetništvo RS osredotočilo na številne ključne naloge, katerih cilj je bil zagotoviti učinkovito delovanje institucije. To vključuje aktivno sodelovanje tako na mednarodnih kot domačih konferencah, redne delovne sestanke zastopanimi subjekti, udeležbo na sejah in posvetih ter prisostvovanje na okroglih mizah in drugih dejavnostih, na katerih so se predstavniki Državnega odvetništva RS srečavali in sodelovali z zunanjimi deležniki. Predstavniki Državnega odvetništva RS so sodelovali  tudi na več pomembnih zunanjih dogodkih. Vsi tovrstni dogodki bogatijo in dopolnjujejo raznovrstnost strokovnih dejavnosti ter poudarjajo pomen interdisciplinarnega dialoga in sodelovanja med različnimi vejami oblasti in strokovnimi skupnostmi.</w:t>
      </w:r>
    </w:p>
    <w:p w14:paraId="52EDD8C9" w14:textId="77777777" w:rsidR="00695AE2" w:rsidRPr="00503014" w:rsidRDefault="00695AE2" w:rsidP="00695AE2">
      <w:pPr>
        <w:spacing w:line="240" w:lineRule="auto"/>
        <w:jc w:val="both"/>
        <w:rPr>
          <w:rFonts w:cstheme="minorHAnsi"/>
        </w:rPr>
      </w:pPr>
    </w:p>
    <w:p w14:paraId="09A28744" w14:textId="77777777" w:rsidR="00695AE2" w:rsidRPr="00503014" w:rsidRDefault="00695AE2" w:rsidP="00695AE2">
      <w:pPr>
        <w:spacing w:line="240" w:lineRule="auto"/>
        <w:jc w:val="both"/>
        <w:rPr>
          <w:rFonts w:cstheme="minorHAnsi"/>
        </w:rPr>
      </w:pPr>
      <w:r w:rsidRPr="00503014">
        <w:rPr>
          <w:rFonts w:cstheme="minorHAnsi"/>
        </w:rPr>
        <w:t xml:space="preserve">V nadaljevanju sledi predstavitev dogodkov, na katerih je bilo delovanje Državnega odvetništva RS v središču pozornosti bodisi zaradi njegove specifične vloge v pravosodnem sistemu bodisi zaradi njegovega prispevka k razvoju pravnih praks in sodelovanja z drugimi institucijami. </w:t>
      </w:r>
    </w:p>
    <w:p w14:paraId="3B2BF2ED" w14:textId="77777777" w:rsidR="00695AE2" w:rsidRPr="00503014" w:rsidRDefault="00695AE2" w:rsidP="00695AE2">
      <w:pPr>
        <w:spacing w:line="240" w:lineRule="auto"/>
        <w:jc w:val="both"/>
        <w:rPr>
          <w:rFonts w:eastAsia="Calibri"/>
        </w:rPr>
      </w:pPr>
    </w:p>
    <w:p w14:paraId="201342EB" w14:textId="77777777" w:rsidR="00695AE2" w:rsidRPr="00503014" w:rsidRDefault="00695AE2" w:rsidP="00695AE2">
      <w:pPr>
        <w:pStyle w:val="Naslov4"/>
      </w:pPr>
      <w:bookmarkStart w:id="338" w:name="_Toc191561838"/>
      <w:bookmarkStart w:id="339" w:name="_Toc223093839"/>
      <w:r w:rsidRPr="00503014">
        <w:t>Srečanja, obiski, konference, seje, forumi, posveti in okrogle mize</w:t>
      </w:r>
      <w:bookmarkEnd w:id="338"/>
      <w:bookmarkEnd w:id="339"/>
      <w:r w:rsidRPr="00503014">
        <w:t xml:space="preserve"> </w:t>
      </w:r>
    </w:p>
    <w:p w14:paraId="1DFAFC87" w14:textId="77777777" w:rsidR="00695AE2" w:rsidRPr="00503014" w:rsidRDefault="00695AE2" w:rsidP="00695AE2">
      <w:pPr>
        <w:pStyle w:val="Jasna"/>
      </w:pPr>
    </w:p>
    <w:p w14:paraId="40B681A3" w14:textId="77777777" w:rsidR="00695AE2" w:rsidRPr="00503014" w:rsidRDefault="00695AE2" w:rsidP="00695AE2">
      <w:pPr>
        <w:pStyle w:val="Naslov5"/>
        <w:rPr>
          <w:rFonts w:eastAsia="Calibri"/>
        </w:rPr>
      </w:pPr>
      <w:bookmarkStart w:id="340" w:name="_Toc223093840"/>
      <w:r w:rsidRPr="00503014">
        <w:rPr>
          <w:rFonts w:eastAsia="Calibri"/>
        </w:rPr>
        <w:t>Srečanje z zamejskimi odvetniki (24. januar 2025)</w:t>
      </w:r>
      <w:bookmarkStart w:id="341" w:name="_Toc191561839"/>
      <w:bookmarkEnd w:id="340"/>
      <w:r w:rsidRPr="00503014">
        <w:rPr>
          <w:rFonts w:eastAsia="Calibri"/>
        </w:rPr>
        <w:t xml:space="preserve"> </w:t>
      </w:r>
      <w:bookmarkEnd w:id="341"/>
    </w:p>
    <w:p w14:paraId="349825B4" w14:textId="77777777" w:rsidR="00695AE2" w:rsidRPr="00503014" w:rsidRDefault="00695AE2" w:rsidP="00695AE2">
      <w:pPr>
        <w:pStyle w:val="Jasna"/>
      </w:pPr>
    </w:p>
    <w:p w14:paraId="4BEB3BEA" w14:textId="77777777" w:rsidR="00695AE2" w:rsidRPr="00503014" w:rsidRDefault="00695AE2" w:rsidP="00695AE2">
      <w:pPr>
        <w:spacing w:line="240" w:lineRule="auto"/>
        <w:jc w:val="both"/>
      </w:pPr>
      <w:r w:rsidRPr="00503014">
        <w:lastRenderedPageBreak/>
        <w:t>Predstavniki Državnega odvetništva RS so se v Proseku srečali z zamejskimi odvetniki iz Republike Italije. Namen srečanja je bil izmenjava strokovnih informacij o pravnih postopkih v Italiji, zlasti na področju nepremičnin, dedovanja in stvarnega prava.</w:t>
      </w:r>
    </w:p>
    <w:p w14:paraId="1A664B77" w14:textId="77777777" w:rsidR="00695AE2" w:rsidRDefault="00695AE2" w:rsidP="00695AE2">
      <w:pPr>
        <w:spacing w:line="240" w:lineRule="auto"/>
        <w:jc w:val="both"/>
        <w:rPr>
          <w:rFonts w:eastAsia="Times New Roman"/>
          <w:b/>
          <w:bCs/>
          <w:color w:val="007466"/>
          <w:kern w:val="24"/>
        </w:rPr>
      </w:pPr>
    </w:p>
    <w:p w14:paraId="6169C455" w14:textId="77777777" w:rsidR="00695AE2" w:rsidRPr="00503014" w:rsidRDefault="00695AE2" w:rsidP="00695AE2">
      <w:pPr>
        <w:spacing w:line="240" w:lineRule="auto"/>
        <w:jc w:val="both"/>
      </w:pPr>
      <w:r>
        <w:rPr>
          <w:rFonts w:eastAsia="Times New Roman"/>
          <w:kern w:val="24"/>
        </w:rPr>
        <w:t>P</w:t>
      </w:r>
      <w:r w:rsidRPr="00DD0332">
        <w:rPr>
          <w:rFonts w:eastAsia="Times New Roman"/>
          <w:kern w:val="24"/>
        </w:rPr>
        <w:t xml:space="preserve">odrobneje </w:t>
      </w:r>
      <w:r>
        <w:rPr>
          <w:rFonts w:eastAsia="Times New Roman"/>
          <w:kern w:val="24"/>
        </w:rPr>
        <w:t>o srečanju v</w:t>
      </w:r>
      <w:r w:rsidRPr="00DD0332">
        <w:rPr>
          <w:rFonts w:eastAsia="Times New Roman"/>
          <w:kern w:val="24"/>
        </w:rPr>
        <w:t xml:space="preserve"> tč. </w:t>
      </w:r>
      <w:r w:rsidRPr="00503014">
        <w:rPr>
          <w:rFonts w:eastAsia="Times New Roman"/>
          <w:kern w:val="24"/>
        </w:rPr>
        <w:t>4.5.8.2</w:t>
      </w:r>
      <w:r w:rsidRPr="00DD0332">
        <w:rPr>
          <w:rFonts w:eastAsia="Times New Roman"/>
          <w:kern w:val="24"/>
        </w:rPr>
        <w:t>.</w:t>
      </w:r>
    </w:p>
    <w:p w14:paraId="319DE23F" w14:textId="77777777" w:rsidR="00695AE2" w:rsidRPr="00503014" w:rsidRDefault="00695AE2" w:rsidP="00695AE2">
      <w:pPr>
        <w:spacing w:line="240" w:lineRule="auto"/>
      </w:pPr>
      <w:bookmarkStart w:id="342" w:name="_Toc168844827"/>
    </w:p>
    <w:p w14:paraId="10FD5DE9" w14:textId="77777777" w:rsidR="00695AE2" w:rsidRPr="00503014" w:rsidRDefault="00695AE2" w:rsidP="00695AE2">
      <w:pPr>
        <w:pStyle w:val="Naslov5"/>
        <w:rPr>
          <w:rFonts w:eastAsia="Calibri"/>
        </w:rPr>
      </w:pPr>
      <w:bookmarkStart w:id="343" w:name="_Toc223093841"/>
      <w:bookmarkEnd w:id="342"/>
      <w:r>
        <w:rPr>
          <w:rFonts w:eastAsia="Calibri"/>
        </w:rPr>
        <w:t>O</w:t>
      </w:r>
      <w:r w:rsidRPr="00503014">
        <w:rPr>
          <w:rFonts w:eastAsia="Calibri"/>
        </w:rPr>
        <w:t>tvorit</w:t>
      </w:r>
      <w:r>
        <w:rPr>
          <w:rFonts w:eastAsia="Calibri"/>
        </w:rPr>
        <w:t>e</w:t>
      </w:r>
      <w:r w:rsidRPr="00503014">
        <w:rPr>
          <w:rFonts w:eastAsia="Calibri"/>
        </w:rPr>
        <w:t>v sodnega leta Evropskega sodišča za človekove pravice (31. januar 2025)</w:t>
      </w:r>
      <w:bookmarkStart w:id="344" w:name="_Toc191561840"/>
      <w:bookmarkEnd w:id="343"/>
      <w:r w:rsidRPr="00503014">
        <w:rPr>
          <w:rFonts w:eastAsia="Calibri"/>
        </w:rPr>
        <w:t xml:space="preserve"> </w:t>
      </w:r>
      <w:bookmarkEnd w:id="344"/>
    </w:p>
    <w:p w14:paraId="63087102" w14:textId="77777777" w:rsidR="00695AE2" w:rsidRPr="00503014" w:rsidRDefault="00695AE2" w:rsidP="00695AE2">
      <w:pPr>
        <w:spacing w:line="240" w:lineRule="auto"/>
      </w:pPr>
    </w:p>
    <w:p w14:paraId="55E450DD" w14:textId="77777777" w:rsidR="00695AE2" w:rsidRPr="00503014" w:rsidRDefault="00695AE2" w:rsidP="00695AE2">
      <w:pPr>
        <w:spacing w:line="240" w:lineRule="auto"/>
        <w:jc w:val="both"/>
      </w:pPr>
      <w:r w:rsidRPr="00503014">
        <w:t>Generalna državna odvetnica dr. Ana Kerševan in vodja mednarodnega oddelka Državnega odvetništva RS mag. Nataša Pintar Gosenca sta se na vabilo predsednika dr. Marka Bošnjaka udeležili svečane otvoritve sodnega leta Evropskega sodišča za človekove pravice (ESČP) v Strasbourgu, pred katerim Republiko Slovenijo zastopajo državni odvetniki. Dogodek, ki se ga poleg visokih predstavnikov organov Sveta Evrope tradicionalno udeležujejo tudi predstavniki najvišjih sodišč iz 46 držav članic Sveta Evrope in zastopniki držav pred tem sodiščem, je priložnost za srečanje z različnimi domačimi in tujimi strokovnjaki na področju varovanja človekovih pravic in izmenjavo strokovnih mnenj.</w:t>
      </w:r>
    </w:p>
    <w:p w14:paraId="32FF00C8" w14:textId="77777777" w:rsidR="00695AE2" w:rsidRPr="00503014" w:rsidRDefault="00695AE2" w:rsidP="00695AE2">
      <w:pPr>
        <w:spacing w:line="240" w:lineRule="auto"/>
        <w:jc w:val="both"/>
      </w:pPr>
    </w:p>
    <w:p w14:paraId="7BCDD1F8" w14:textId="77777777" w:rsidR="00695AE2" w:rsidRPr="00503014" w:rsidRDefault="00695AE2" w:rsidP="00695AE2">
      <w:pPr>
        <w:spacing w:line="240" w:lineRule="auto"/>
        <w:jc w:val="both"/>
      </w:pPr>
      <w:r w:rsidRPr="00503014">
        <w:t xml:space="preserve">Na otvoritveni slovesnosti sta zbrane nagovorila predsednik ESČP dr. Marko Bošnjak in častni gost letošnje prireditve, Christophe Soulard, predsednik francoskega Kasacijskega sodišča. V svojih govorih sta poudarila pomen sodne neodvisnosti, vloge sodnikov pri varstvu človekovih pravic ter izzive, ki jih prinašajo sodobne družbene in tehnološke spremembe. </w:t>
      </w:r>
    </w:p>
    <w:p w14:paraId="21FD04B7" w14:textId="77777777" w:rsidR="00695AE2" w:rsidRPr="00503014" w:rsidRDefault="00695AE2" w:rsidP="00695AE2">
      <w:pPr>
        <w:spacing w:line="240" w:lineRule="auto"/>
      </w:pPr>
    </w:p>
    <w:p w14:paraId="02AAB06F" w14:textId="77777777" w:rsidR="00695AE2" w:rsidRPr="00503014" w:rsidRDefault="00695AE2" w:rsidP="00695AE2">
      <w:pPr>
        <w:pStyle w:val="Naslov5"/>
        <w:rPr>
          <w:rFonts w:eastAsia="Calibri"/>
          <w:b/>
        </w:rPr>
      </w:pPr>
      <w:bookmarkStart w:id="345" w:name="_Toc191561841"/>
      <w:bookmarkStart w:id="346" w:name="_Toc223093842"/>
      <w:r w:rsidRPr="00503014">
        <w:rPr>
          <w:rFonts w:eastAsia="Calibri"/>
        </w:rPr>
        <w:t>Otvoritev  sodnega leta 2025 na Vrhovnem sodišču RS (12. februar 2025)</w:t>
      </w:r>
      <w:bookmarkEnd w:id="345"/>
      <w:bookmarkEnd w:id="346"/>
    </w:p>
    <w:p w14:paraId="693F3E88" w14:textId="77777777" w:rsidR="00695AE2" w:rsidRPr="00503014" w:rsidRDefault="00695AE2" w:rsidP="00695AE2">
      <w:pPr>
        <w:pStyle w:val="Jasna"/>
      </w:pPr>
    </w:p>
    <w:p w14:paraId="3A4EC7B1" w14:textId="77777777" w:rsidR="00695AE2" w:rsidRPr="00503014" w:rsidRDefault="00695AE2" w:rsidP="00695AE2">
      <w:pPr>
        <w:spacing w:line="240" w:lineRule="auto"/>
        <w:jc w:val="both"/>
      </w:pPr>
      <w:r w:rsidRPr="00503014">
        <w:t>Na Vrhovnem sodišču RS je potekala tradicionalna otvoritev sodnega leta 2025, na kateri so predstavili rezultate poslovanja sodišč v preteklem letu ter prednostne naloge sodstva za prihodnost. Dogodka se je udeležila tudi generalna državna odvetnica dr. Ana Kerševan.</w:t>
      </w:r>
    </w:p>
    <w:p w14:paraId="7B4FAB70" w14:textId="77777777" w:rsidR="00695AE2" w:rsidRPr="00503014" w:rsidRDefault="00695AE2" w:rsidP="00695AE2">
      <w:pPr>
        <w:spacing w:line="240" w:lineRule="auto"/>
        <w:jc w:val="both"/>
      </w:pPr>
    </w:p>
    <w:p w14:paraId="3A70D53C" w14:textId="77777777" w:rsidR="00695AE2" w:rsidRPr="00503014" w:rsidRDefault="00695AE2" w:rsidP="00695AE2">
      <w:pPr>
        <w:spacing w:line="240" w:lineRule="auto"/>
        <w:jc w:val="both"/>
      </w:pPr>
      <w:r w:rsidRPr="00503014">
        <w:t>Slavnostni govornik je bil predsednik Kasacijskega sodišča Francije Christophe Soulard.</w:t>
      </w:r>
    </w:p>
    <w:p w14:paraId="15B127DB" w14:textId="77777777" w:rsidR="00695AE2" w:rsidRPr="00503014" w:rsidRDefault="00695AE2" w:rsidP="00695AE2">
      <w:pPr>
        <w:pStyle w:val="Jasna"/>
      </w:pPr>
      <w:bookmarkStart w:id="347" w:name="_Toc168844830"/>
    </w:p>
    <w:p w14:paraId="4852B3DB" w14:textId="77777777" w:rsidR="00695AE2" w:rsidRPr="00503014" w:rsidRDefault="00695AE2" w:rsidP="00695AE2">
      <w:pPr>
        <w:pStyle w:val="Naslov5"/>
        <w:ind w:left="0" w:firstLine="0"/>
        <w:rPr>
          <w:rFonts w:eastAsia="Calibri"/>
        </w:rPr>
      </w:pPr>
      <w:bookmarkStart w:id="348" w:name="_Toc223093843"/>
      <w:bookmarkEnd w:id="347"/>
      <w:r w:rsidRPr="00503014">
        <w:rPr>
          <w:rFonts w:eastAsia="Calibri"/>
        </w:rPr>
        <w:t>Državno odvetništvo RS na informativnih dnevih na pravnih fakultetah (14. in 15. februar 2025)</w:t>
      </w:r>
      <w:bookmarkStart w:id="349" w:name="_Toc191561842"/>
      <w:bookmarkEnd w:id="348"/>
      <w:r w:rsidRPr="00503014">
        <w:rPr>
          <w:rFonts w:eastAsia="Calibri"/>
        </w:rPr>
        <w:t xml:space="preserve"> </w:t>
      </w:r>
      <w:bookmarkEnd w:id="349"/>
    </w:p>
    <w:p w14:paraId="27CAB459" w14:textId="77777777" w:rsidR="00695AE2" w:rsidRPr="00503014" w:rsidRDefault="00695AE2" w:rsidP="00695AE2">
      <w:pPr>
        <w:spacing w:line="240" w:lineRule="auto"/>
      </w:pPr>
    </w:p>
    <w:p w14:paraId="2675815E" w14:textId="77777777" w:rsidR="00695AE2" w:rsidRPr="00503014" w:rsidRDefault="00695AE2" w:rsidP="00695AE2">
      <w:pPr>
        <w:spacing w:line="240" w:lineRule="auto"/>
        <w:jc w:val="both"/>
      </w:pPr>
      <w:r w:rsidRPr="00503014">
        <w:t xml:space="preserve">Državno odvetništvo RS je sodelovalo na informativnih dnevih Pravne fakultete Univerze v Ljubljani in Pravne fakultete Univerze v Mariboru, namenjenih predstavitvi študija prava in pravniških poklicev bodočim študentom. Predstavniki Državnega odvetništva RS so dijakom in študentom približali delo državnih odvetnikov, karierne možnosti ter vlogo institucije pri zaščiti interesov države. </w:t>
      </w:r>
    </w:p>
    <w:p w14:paraId="04F0AE1F" w14:textId="77777777" w:rsidR="00695AE2" w:rsidRPr="00503014" w:rsidRDefault="00695AE2" w:rsidP="00695AE2">
      <w:pPr>
        <w:spacing w:line="240" w:lineRule="auto"/>
        <w:jc w:val="both"/>
      </w:pPr>
    </w:p>
    <w:p w14:paraId="20548CDE" w14:textId="77777777" w:rsidR="00695AE2" w:rsidRPr="00503014" w:rsidRDefault="00695AE2" w:rsidP="00695AE2">
      <w:pPr>
        <w:spacing w:line="240" w:lineRule="auto"/>
        <w:jc w:val="both"/>
        <w:rPr>
          <w:rFonts w:eastAsia="Calibri"/>
        </w:rPr>
      </w:pPr>
      <w:r w:rsidRPr="00503014">
        <w:t xml:space="preserve">Na Pravni fakulteti Univerze v Ljubljani je generalna državna odvetnica dr. Ana Kerševan sodelovala na okrogli mizi o pravniškem poklicu, kjer je skupaj z drugimi uglednimi pravnimi strokovnjaki poudarila pomen praktičnih izkušenj, intelektualne prilagodljivosti in inovativnosti v pravniški stroki. </w:t>
      </w:r>
    </w:p>
    <w:p w14:paraId="66ACDD90" w14:textId="77777777" w:rsidR="00695AE2" w:rsidRPr="00503014" w:rsidRDefault="00695AE2" w:rsidP="00695AE2">
      <w:pPr>
        <w:spacing w:line="240" w:lineRule="auto"/>
        <w:jc w:val="both"/>
      </w:pPr>
    </w:p>
    <w:p w14:paraId="10BCD101" w14:textId="77777777" w:rsidR="00695AE2" w:rsidRPr="00503014" w:rsidRDefault="00695AE2" w:rsidP="00695AE2">
      <w:pPr>
        <w:spacing w:line="240" w:lineRule="auto"/>
        <w:jc w:val="both"/>
      </w:pPr>
      <w:r w:rsidRPr="00503014">
        <w:t>Na Pravni fakulteti Univerze v Mariboru je višja državna odvetnica Lucija Gorišek Perc, vodja Zunanjega oddelka državnega odvetništva v Mariboru, predstavila delo Državnega odvetništva RS ter izzive pravne prakse.</w:t>
      </w:r>
      <w:bookmarkStart w:id="350" w:name="_Toc168844831"/>
      <w:bookmarkStart w:id="351" w:name="_Hlk189144308"/>
    </w:p>
    <w:p w14:paraId="5335D9C6" w14:textId="77777777" w:rsidR="00695AE2" w:rsidRPr="00503014" w:rsidRDefault="00695AE2" w:rsidP="00695AE2">
      <w:pPr>
        <w:pStyle w:val="Naslov5"/>
        <w:rPr>
          <w:rFonts w:eastAsia="Calibri"/>
        </w:rPr>
      </w:pPr>
      <w:bookmarkStart w:id="352" w:name="_Toc223093844"/>
      <w:bookmarkEnd w:id="350"/>
      <w:bookmarkEnd w:id="351"/>
      <w:r w:rsidRPr="00503014">
        <w:rPr>
          <w:rFonts w:eastAsia="Calibri"/>
        </w:rPr>
        <w:lastRenderedPageBreak/>
        <w:t>Dnevi Državnega odvetništva RS 2025 (12. in 13. maj 2025)</w:t>
      </w:r>
      <w:bookmarkEnd w:id="352"/>
      <w:r w:rsidRPr="00503014">
        <w:rPr>
          <w:rFonts w:eastAsia="Calibri"/>
        </w:rPr>
        <w:t xml:space="preserve">  </w:t>
      </w:r>
    </w:p>
    <w:p w14:paraId="53F05D51" w14:textId="77777777" w:rsidR="00695AE2" w:rsidRPr="00503014" w:rsidRDefault="00695AE2" w:rsidP="00695AE2">
      <w:pPr>
        <w:spacing w:line="240" w:lineRule="auto"/>
        <w:jc w:val="both"/>
      </w:pPr>
    </w:p>
    <w:p w14:paraId="4738C4D7" w14:textId="77777777" w:rsidR="00695AE2" w:rsidRPr="00503014" w:rsidRDefault="00695AE2" w:rsidP="00695AE2">
      <w:pPr>
        <w:spacing w:line="240" w:lineRule="auto"/>
        <w:jc w:val="both"/>
      </w:pPr>
      <w:r w:rsidRPr="00503014">
        <w:t xml:space="preserve">Dnevi Državnega odvetništva RS </w:t>
      </w:r>
      <w:r>
        <w:t>2025 so potekali v</w:t>
      </w:r>
      <w:r w:rsidRPr="00503014">
        <w:t xml:space="preserve"> Mariboru</w:t>
      </w:r>
      <w:r>
        <w:t xml:space="preserve">, njihova osrednja tema pa je bila </w:t>
      </w:r>
      <w:r w:rsidRPr="00503014">
        <w:rPr>
          <w:i/>
          <w:iCs/>
        </w:rPr>
        <w:t>Država kot nosilka pogodbenih in finančnih obveznosti</w:t>
      </w:r>
      <w:r w:rsidRPr="00503014">
        <w:t>, s poudarkom na pravnem varstvu javnega interesa in odgovornem upravljanju državnega premoženja.</w:t>
      </w:r>
    </w:p>
    <w:p w14:paraId="67E452D4" w14:textId="77777777" w:rsidR="00695AE2" w:rsidRPr="00503014" w:rsidRDefault="00695AE2" w:rsidP="00695AE2">
      <w:pPr>
        <w:spacing w:line="240" w:lineRule="auto"/>
        <w:jc w:val="both"/>
      </w:pPr>
    </w:p>
    <w:p w14:paraId="3D4A9058" w14:textId="77777777" w:rsidR="00695AE2" w:rsidRPr="00503014" w:rsidRDefault="00695AE2" w:rsidP="00695AE2">
      <w:pPr>
        <w:spacing w:line="240" w:lineRule="auto"/>
        <w:jc w:val="both"/>
      </w:pPr>
      <w:r w:rsidRPr="00503014">
        <w:t>Dogodek je prispeval k strokovni krepitvi institucije, utrditvi njenega ugleda ter nadaljnjemu razvoju učinkovitega, odgovornega in sodobnega pravnega zastopanja države.</w:t>
      </w:r>
    </w:p>
    <w:p w14:paraId="70904713" w14:textId="77777777" w:rsidR="00695AE2" w:rsidRPr="00503014" w:rsidRDefault="00695AE2" w:rsidP="00695AE2">
      <w:pPr>
        <w:pStyle w:val="Jasna"/>
      </w:pPr>
      <w:bookmarkStart w:id="353" w:name="_Toc191561849"/>
    </w:p>
    <w:p w14:paraId="6A038C33" w14:textId="77777777" w:rsidR="00695AE2" w:rsidRDefault="00695AE2" w:rsidP="00695AE2">
      <w:pPr>
        <w:spacing w:line="240" w:lineRule="auto"/>
        <w:jc w:val="both"/>
      </w:pPr>
      <w:bookmarkStart w:id="354" w:name="_Toc168844837"/>
      <w:bookmarkStart w:id="355" w:name="_Toc191561848"/>
      <w:bookmarkStart w:id="356" w:name="_Hlk189837746"/>
      <w:bookmarkEnd w:id="353"/>
      <w:r>
        <w:t>Podrobneje o dogodku v tč. 3.1.2.2.</w:t>
      </w:r>
    </w:p>
    <w:p w14:paraId="25267ABD" w14:textId="77777777" w:rsidR="00695AE2" w:rsidRPr="00503014" w:rsidRDefault="00695AE2" w:rsidP="00695AE2">
      <w:pPr>
        <w:spacing w:line="240" w:lineRule="auto"/>
        <w:jc w:val="both"/>
      </w:pPr>
    </w:p>
    <w:p w14:paraId="503F61F3" w14:textId="77777777" w:rsidR="00695AE2" w:rsidRPr="00503014" w:rsidRDefault="00695AE2" w:rsidP="00695AE2">
      <w:pPr>
        <w:pStyle w:val="Naslov5"/>
        <w:ind w:left="0" w:firstLine="0"/>
        <w:rPr>
          <w:rFonts w:eastAsia="Calibri"/>
        </w:rPr>
      </w:pPr>
      <w:bookmarkStart w:id="357" w:name="_Toc223093845"/>
      <w:bookmarkEnd w:id="354"/>
      <w:bookmarkEnd w:id="355"/>
      <w:r w:rsidRPr="00503014">
        <w:rPr>
          <w:rFonts w:eastAsia="Calibri"/>
        </w:rPr>
        <w:t>Študijski obisk delegacije albanskega državnega odvetništva v Republiki Sloveniji (18., 19. in 20. junij 2025)</w:t>
      </w:r>
      <w:bookmarkEnd w:id="357"/>
    </w:p>
    <w:bookmarkEnd w:id="356"/>
    <w:p w14:paraId="2A9D9772" w14:textId="77777777" w:rsidR="00695AE2" w:rsidRPr="00503014" w:rsidRDefault="00695AE2" w:rsidP="00695AE2">
      <w:pPr>
        <w:spacing w:line="240" w:lineRule="auto"/>
        <w:jc w:val="both"/>
      </w:pPr>
    </w:p>
    <w:p w14:paraId="7AC7C707" w14:textId="77777777" w:rsidR="00695AE2" w:rsidRDefault="00695AE2" w:rsidP="00695AE2">
      <w:pPr>
        <w:spacing w:line="240" w:lineRule="auto"/>
        <w:jc w:val="both"/>
      </w:pPr>
      <w:r w:rsidRPr="00503014">
        <w:t>Državno odvetništvo RS je v okviru evropskega projekta za podporo pravosodnim institucijam v državah nečlanicah Evropske unije med 18. in 20. junijem 2025 gostilo delegacijo albanskih državnih odvetnikov. Namen tridnevnega študijskega obiska je bil izmenjava dobrih praks na področju usklajevanja sodnih praks z evropskimi standardi ter varstva človekovih pravic.</w:t>
      </w:r>
    </w:p>
    <w:p w14:paraId="5D2B56D8" w14:textId="77777777" w:rsidR="00695AE2" w:rsidRDefault="00695AE2" w:rsidP="00695AE2">
      <w:pPr>
        <w:spacing w:line="240" w:lineRule="auto"/>
        <w:jc w:val="both"/>
      </w:pPr>
    </w:p>
    <w:p w14:paraId="62AF8DAF" w14:textId="77777777" w:rsidR="00695AE2" w:rsidRPr="00503014" w:rsidRDefault="00695AE2" w:rsidP="00695AE2">
      <w:pPr>
        <w:spacing w:line="240" w:lineRule="auto"/>
        <w:jc w:val="both"/>
      </w:pPr>
      <w:r>
        <w:t>Podrobneje o obisku v tč. 4.5.8.3.</w:t>
      </w:r>
    </w:p>
    <w:p w14:paraId="03DB5E06" w14:textId="77777777" w:rsidR="00695AE2" w:rsidRPr="00503014" w:rsidRDefault="00695AE2" w:rsidP="00695AE2">
      <w:pPr>
        <w:spacing w:line="240" w:lineRule="auto"/>
        <w:jc w:val="both"/>
      </w:pPr>
    </w:p>
    <w:p w14:paraId="11B2D1CB" w14:textId="77777777" w:rsidR="00695AE2" w:rsidRPr="00503014" w:rsidRDefault="00695AE2" w:rsidP="00695AE2">
      <w:pPr>
        <w:pStyle w:val="Naslov5"/>
        <w:ind w:left="0" w:firstLine="0"/>
        <w:rPr>
          <w:rFonts w:eastAsia="Calibri"/>
        </w:rPr>
      </w:pPr>
      <w:bookmarkStart w:id="358" w:name="_Toc223093846"/>
      <w:r w:rsidRPr="00503014">
        <w:rPr>
          <w:rFonts w:eastAsia="Calibri"/>
        </w:rPr>
        <w:t>Gostovanje tujih študentov v sodelovanju s Pravno fakulteto Univerze v Mariboru (9. september 2025)</w:t>
      </w:r>
      <w:bookmarkEnd w:id="358"/>
    </w:p>
    <w:p w14:paraId="14270269" w14:textId="77777777" w:rsidR="00695AE2" w:rsidRPr="00503014" w:rsidRDefault="00695AE2" w:rsidP="00695AE2">
      <w:pPr>
        <w:spacing w:line="240" w:lineRule="auto"/>
        <w:jc w:val="both"/>
      </w:pPr>
    </w:p>
    <w:p w14:paraId="37942952" w14:textId="77777777" w:rsidR="00695AE2" w:rsidRPr="00503014" w:rsidRDefault="00695AE2" w:rsidP="00695AE2">
      <w:pPr>
        <w:spacing w:line="240" w:lineRule="auto"/>
        <w:jc w:val="both"/>
      </w:pPr>
      <w:r w:rsidRPr="00503014">
        <w:t xml:space="preserve">V okviru sodelovanja s Pravno fakulteto Univerze v Mariboru sta Državno odvetništvo RS obiskala dva ameriška študenta na mednarodni izmenjavi podiplomskega študija. Spremljal ju je mentor mag. Matej Makovec Rožmarin. Mednarodni oddelek jima je po predstavitvi konkretnega dejanskega primera dodelil nalogo, ki sta jo uspešno naslovila. </w:t>
      </w:r>
    </w:p>
    <w:p w14:paraId="4A020AF3" w14:textId="77777777" w:rsidR="00695AE2" w:rsidRPr="00503014" w:rsidRDefault="00695AE2" w:rsidP="00695AE2">
      <w:pPr>
        <w:spacing w:line="240" w:lineRule="auto"/>
        <w:jc w:val="both"/>
      </w:pPr>
    </w:p>
    <w:p w14:paraId="4B6AF627" w14:textId="77777777" w:rsidR="00695AE2" w:rsidRPr="00503014" w:rsidRDefault="00695AE2" w:rsidP="00695AE2">
      <w:pPr>
        <w:pStyle w:val="Naslov5"/>
        <w:ind w:left="0" w:firstLine="0"/>
        <w:rPr>
          <w:rFonts w:eastAsia="Calibri"/>
        </w:rPr>
      </w:pPr>
      <w:bookmarkStart w:id="359" w:name="_Toc223093847"/>
      <w:r w:rsidRPr="00503014">
        <w:rPr>
          <w:rFonts w:eastAsia="Calibri"/>
        </w:rPr>
        <w:t>Sodelovanje v programu EJTN 2025 – sprejem tujih sodnikov in pravosodnega osebja (17. september 2025)</w:t>
      </w:r>
      <w:bookmarkEnd w:id="359"/>
    </w:p>
    <w:p w14:paraId="617202E5" w14:textId="77777777" w:rsidR="00695AE2" w:rsidRPr="00503014" w:rsidRDefault="00695AE2" w:rsidP="00695AE2">
      <w:pPr>
        <w:spacing w:line="240" w:lineRule="auto"/>
        <w:jc w:val="both"/>
      </w:pPr>
    </w:p>
    <w:p w14:paraId="6DE5E507" w14:textId="77777777" w:rsidR="00695AE2" w:rsidRPr="00503014" w:rsidRDefault="00695AE2" w:rsidP="00695AE2">
      <w:pPr>
        <w:spacing w:line="240" w:lineRule="auto"/>
        <w:jc w:val="both"/>
      </w:pPr>
      <w:r w:rsidRPr="00503014">
        <w:t>V okviru programa izmenjav za sodnike in pravosodno osebje EJTN 2025 je Državno odvetništvo RS gostilo udeležence iz Romunije, Španije, Finske, Češke in Grčije. Namen obiska je bil predstavitev vloge, organizacije in delovanja Državnega odvetništva RS ter izmenjava strokovnih izkušenj.</w:t>
      </w:r>
    </w:p>
    <w:p w14:paraId="27903594" w14:textId="77777777" w:rsidR="00695AE2" w:rsidRPr="00503014" w:rsidRDefault="00695AE2" w:rsidP="00695AE2">
      <w:pPr>
        <w:spacing w:line="240" w:lineRule="auto"/>
        <w:jc w:val="both"/>
      </w:pPr>
    </w:p>
    <w:p w14:paraId="6264484E" w14:textId="77777777" w:rsidR="00695AE2" w:rsidRPr="00503014" w:rsidRDefault="00695AE2" w:rsidP="00695AE2">
      <w:pPr>
        <w:spacing w:line="240" w:lineRule="auto"/>
        <w:jc w:val="both"/>
      </w:pPr>
      <w:r>
        <w:t>Podrobneje o izmenjavi v tč. 3.2.</w:t>
      </w:r>
    </w:p>
    <w:p w14:paraId="3C36B480" w14:textId="77777777" w:rsidR="00695AE2" w:rsidRPr="00503014" w:rsidRDefault="00695AE2" w:rsidP="00695AE2">
      <w:pPr>
        <w:pStyle w:val="Jasna"/>
      </w:pPr>
    </w:p>
    <w:p w14:paraId="19B75603" w14:textId="77777777" w:rsidR="00695AE2" w:rsidRPr="00503014" w:rsidRDefault="00695AE2" w:rsidP="00695AE2">
      <w:pPr>
        <w:pStyle w:val="Naslov5"/>
        <w:rPr>
          <w:rFonts w:eastAsia="Calibri"/>
        </w:rPr>
      </w:pPr>
      <w:bookmarkStart w:id="360" w:name="_Toc223093848"/>
      <w:r w:rsidRPr="00503014">
        <w:rPr>
          <w:rFonts w:eastAsia="Calibri"/>
        </w:rPr>
        <w:t>Dan pravosodja (4. november 2025)</w:t>
      </w:r>
      <w:bookmarkEnd w:id="360"/>
    </w:p>
    <w:p w14:paraId="296B7DD1" w14:textId="77777777" w:rsidR="00695AE2" w:rsidRPr="00503014" w:rsidRDefault="00695AE2" w:rsidP="00695AE2">
      <w:pPr>
        <w:spacing w:line="240" w:lineRule="auto"/>
        <w:jc w:val="both"/>
      </w:pPr>
    </w:p>
    <w:p w14:paraId="1BC694C4" w14:textId="77777777" w:rsidR="00695AE2" w:rsidRPr="00503014" w:rsidRDefault="00695AE2" w:rsidP="00695AE2">
      <w:pPr>
        <w:spacing w:line="240" w:lineRule="auto"/>
        <w:jc w:val="both"/>
      </w:pPr>
      <w:r w:rsidRPr="00503014">
        <w:t xml:space="preserve">Ob Dnevu pravosodja je Državno odvetništvo RS izreklo posebno priznanje sodelavkam in sodelavcem za njihov izjemen prispevek k delovanju organa ter razvoju pravosodja. Med več kot dvesto zaposlenimi so bila priznanja podeljena posameznikom, ki so s svojim dolgoletnim, strokovnim in predanim delom pomembno zaznamovali delovanje Državnega odvetništva RS oziroma nekdanjega Državnega pravobranilstva RS. </w:t>
      </w:r>
    </w:p>
    <w:p w14:paraId="2C45F4E0" w14:textId="77777777" w:rsidR="00695AE2" w:rsidRPr="00503014" w:rsidRDefault="00695AE2" w:rsidP="00695AE2">
      <w:pPr>
        <w:spacing w:line="240" w:lineRule="auto"/>
        <w:jc w:val="both"/>
      </w:pPr>
    </w:p>
    <w:p w14:paraId="12D00EC4" w14:textId="77777777" w:rsidR="00695AE2" w:rsidRPr="00503014" w:rsidRDefault="00695AE2" w:rsidP="00695AE2">
      <w:pPr>
        <w:spacing w:line="240" w:lineRule="auto"/>
        <w:jc w:val="both"/>
      </w:pPr>
      <w:r w:rsidRPr="00503014">
        <w:lastRenderedPageBreak/>
        <w:t>Prejemniki priznanj (po abecednem vrstnem redu):</w:t>
      </w:r>
    </w:p>
    <w:p w14:paraId="52D3436D" w14:textId="77777777" w:rsidR="00695AE2" w:rsidRPr="00503014" w:rsidRDefault="00695AE2" w:rsidP="00695AE2">
      <w:pPr>
        <w:numPr>
          <w:ilvl w:val="0"/>
          <w:numId w:val="95"/>
        </w:numPr>
        <w:spacing w:line="240" w:lineRule="auto"/>
        <w:contextualSpacing/>
        <w:jc w:val="both"/>
      </w:pPr>
      <w:r w:rsidRPr="00503014">
        <w:t>Antonija Grahek, višja državna odvetnica (v pokoju) – medalja za življenjsko delo,</w:t>
      </w:r>
    </w:p>
    <w:p w14:paraId="0DCE9EB8" w14:textId="77777777" w:rsidR="00695AE2" w:rsidRPr="00503014" w:rsidRDefault="00695AE2" w:rsidP="00695AE2">
      <w:pPr>
        <w:numPr>
          <w:ilvl w:val="0"/>
          <w:numId w:val="95"/>
        </w:numPr>
        <w:spacing w:line="240" w:lineRule="auto"/>
        <w:contextualSpacing/>
        <w:jc w:val="both"/>
      </w:pPr>
      <w:r w:rsidRPr="00503014">
        <w:t>Matejka Kukenberger, referentka vpisničarka (v pokoju) – diploma za življenjsko delo,</w:t>
      </w:r>
    </w:p>
    <w:p w14:paraId="4AAB9E75" w14:textId="77777777" w:rsidR="00695AE2" w:rsidRPr="00503014" w:rsidRDefault="00695AE2" w:rsidP="00695AE2">
      <w:pPr>
        <w:numPr>
          <w:ilvl w:val="0"/>
          <w:numId w:val="95"/>
        </w:numPr>
        <w:spacing w:line="240" w:lineRule="auto"/>
        <w:contextualSpacing/>
        <w:jc w:val="both"/>
      </w:pPr>
      <w:r w:rsidRPr="00503014">
        <w:t>Marija Osolnik Šenica, višja državna odvetnica (v pokoju) – medalja za življenjsko delo,</w:t>
      </w:r>
    </w:p>
    <w:p w14:paraId="34EACF63" w14:textId="77777777" w:rsidR="00695AE2" w:rsidRPr="00503014" w:rsidRDefault="00695AE2" w:rsidP="00695AE2">
      <w:pPr>
        <w:numPr>
          <w:ilvl w:val="0"/>
          <w:numId w:val="95"/>
        </w:numPr>
        <w:spacing w:line="240" w:lineRule="auto"/>
        <w:contextualSpacing/>
        <w:jc w:val="both"/>
      </w:pPr>
      <w:r w:rsidRPr="00503014">
        <w:t>Angela (Ela) Rozina, referentka vpisničarka (v pokoju) – diploma za življenjsko delo,</w:t>
      </w:r>
    </w:p>
    <w:p w14:paraId="2F22DD7C" w14:textId="77777777" w:rsidR="00695AE2" w:rsidRPr="00503014" w:rsidRDefault="00695AE2" w:rsidP="00695AE2">
      <w:pPr>
        <w:numPr>
          <w:ilvl w:val="0"/>
          <w:numId w:val="95"/>
        </w:numPr>
        <w:spacing w:line="240" w:lineRule="auto"/>
        <w:contextualSpacing/>
        <w:jc w:val="both"/>
      </w:pPr>
      <w:r w:rsidRPr="00503014">
        <w:t>Marko Turk, skrbnik inventarja (v pokoju) – medalja za življenjsko delo,</w:t>
      </w:r>
    </w:p>
    <w:p w14:paraId="6797B3B0" w14:textId="77777777" w:rsidR="00695AE2" w:rsidRPr="00503014" w:rsidRDefault="00695AE2" w:rsidP="00695AE2">
      <w:pPr>
        <w:numPr>
          <w:ilvl w:val="0"/>
          <w:numId w:val="95"/>
        </w:numPr>
        <w:spacing w:line="240" w:lineRule="auto"/>
        <w:contextualSpacing/>
        <w:jc w:val="both"/>
      </w:pPr>
      <w:r w:rsidRPr="00503014">
        <w:t>Jasna Vitez, državna odvetnica na Zunanjem oddelku državnega odvetništva v Kopru – diploma za nadpovprečne delovne uspehe na področju pravosodja.</w:t>
      </w:r>
    </w:p>
    <w:p w14:paraId="41D55861" w14:textId="77777777" w:rsidR="00695AE2" w:rsidRPr="00503014" w:rsidRDefault="00695AE2" w:rsidP="00695AE2">
      <w:pPr>
        <w:spacing w:line="240" w:lineRule="auto"/>
        <w:jc w:val="both"/>
      </w:pPr>
    </w:p>
    <w:p w14:paraId="30AC5B3A" w14:textId="77777777" w:rsidR="00695AE2" w:rsidRPr="00503014" w:rsidRDefault="00695AE2" w:rsidP="00695AE2">
      <w:pPr>
        <w:spacing w:line="240" w:lineRule="auto"/>
        <w:jc w:val="both"/>
      </w:pPr>
      <w:r w:rsidRPr="00503014">
        <w:t xml:space="preserve">Podeljena priznanja so izraz spoštovanja do dolgoletnega strokovnega dela, osebne predanosti in pomembnega prispevka k varovanju zakonitosti, javnega interesa ter ugledu Državnega odvetništva RS.   </w:t>
      </w:r>
    </w:p>
    <w:p w14:paraId="5F349FAD" w14:textId="77777777" w:rsidR="00695AE2" w:rsidRPr="00503014" w:rsidRDefault="00695AE2" w:rsidP="00695AE2">
      <w:pPr>
        <w:spacing w:line="240" w:lineRule="auto"/>
        <w:jc w:val="both"/>
      </w:pPr>
    </w:p>
    <w:p w14:paraId="00DEA75D" w14:textId="77777777" w:rsidR="00695AE2" w:rsidRPr="00503014" w:rsidRDefault="00695AE2" w:rsidP="00695AE2">
      <w:pPr>
        <w:pStyle w:val="Naslov5"/>
        <w:rPr>
          <w:rFonts w:eastAsia="Calibri"/>
        </w:rPr>
      </w:pPr>
      <w:bookmarkStart w:id="361" w:name="_Toc223093849"/>
      <w:r w:rsidRPr="00503014">
        <w:rPr>
          <w:rFonts w:eastAsia="Calibri"/>
        </w:rPr>
        <w:t>Šola Državnega odvetništva RS 2025 (13. in 14. november 2025)</w:t>
      </w:r>
      <w:bookmarkEnd w:id="361"/>
    </w:p>
    <w:p w14:paraId="78C74365" w14:textId="77777777" w:rsidR="00695AE2" w:rsidRPr="00503014" w:rsidRDefault="00695AE2" w:rsidP="00695AE2">
      <w:pPr>
        <w:spacing w:line="240" w:lineRule="auto"/>
        <w:jc w:val="both"/>
      </w:pPr>
    </w:p>
    <w:p w14:paraId="0F7164C5" w14:textId="77777777" w:rsidR="00695AE2" w:rsidRDefault="00695AE2" w:rsidP="00695AE2">
      <w:pPr>
        <w:spacing w:line="240" w:lineRule="auto"/>
        <w:jc w:val="both"/>
      </w:pPr>
      <w:r w:rsidRPr="00503014">
        <w:t>Državno odvetništvo RS in Center za izobraževanje v pravosodju sta 13. in 14. novembra 2025 v Postojni uspešno izvedla tradicionalno Šolo Državnega odvetništva RS, ki je tudi tokrat beležila visoko udeležbo. Program je povezal prispevke gostujočih strokovnjakov ter predstavnikov Državnega odvetništva RS, ki so v okviru programa šole obravnavali aktualna vprašanja z različnih pravnih področij, predvsem tistih, na katerih je v okviru svojih pristojnosti dejavno Državno odvetništvo RS.</w:t>
      </w:r>
    </w:p>
    <w:p w14:paraId="0C3387F3" w14:textId="77777777" w:rsidR="00695AE2" w:rsidRDefault="00695AE2" w:rsidP="00695AE2">
      <w:pPr>
        <w:spacing w:line="240" w:lineRule="auto"/>
        <w:jc w:val="both"/>
      </w:pPr>
    </w:p>
    <w:p w14:paraId="2FF33977" w14:textId="77777777" w:rsidR="00695AE2" w:rsidRPr="00503014" w:rsidRDefault="00695AE2" w:rsidP="00695AE2">
      <w:pPr>
        <w:spacing w:line="240" w:lineRule="auto"/>
        <w:jc w:val="both"/>
      </w:pPr>
      <w:r>
        <w:t>Podrobneje o dogodku v tč. 3.1.2.3.</w:t>
      </w:r>
    </w:p>
    <w:p w14:paraId="20F048F3" w14:textId="77777777" w:rsidR="00695AE2" w:rsidRPr="00503014" w:rsidRDefault="00695AE2" w:rsidP="00695AE2">
      <w:pPr>
        <w:spacing w:line="240" w:lineRule="auto"/>
        <w:jc w:val="both"/>
      </w:pPr>
    </w:p>
    <w:p w14:paraId="3D2B4707" w14:textId="77777777" w:rsidR="00695AE2" w:rsidRPr="00503014" w:rsidRDefault="00695AE2" w:rsidP="00695AE2">
      <w:pPr>
        <w:pStyle w:val="Naslov5"/>
        <w:rPr>
          <w:rFonts w:eastAsia="Calibri"/>
        </w:rPr>
      </w:pPr>
      <w:bookmarkStart w:id="362" w:name="_Toc223093850"/>
      <w:r w:rsidRPr="00503014">
        <w:rPr>
          <w:rFonts w:eastAsia="Calibri"/>
        </w:rPr>
        <w:t>Srečanje s predstavniki MORS (20. november 2025)</w:t>
      </w:r>
      <w:bookmarkEnd w:id="362"/>
    </w:p>
    <w:p w14:paraId="4050AC96" w14:textId="77777777" w:rsidR="00695AE2" w:rsidRPr="00503014" w:rsidRDefault="00695AE2" w:rsidP="00695AE2">
      <w:pPr>
        <w:spacing w:line="240" w:lineRule="auto"/>
        <w:jc w:val="both"/>
      </w:pPr>
    </w:p>
    <w:p w14:paraId="71F9D68C" w14:textId="77777777" w:rsidR="00695AE2" w:rsidRPr="00503014" w:rsidRDefault="00695AE2" w:rsidP="00695AE2">
      <w:pPr>
        <w:spacing w:line="240" w:lineRule="auto"/>
        <w:jc w:val="both"/>
      </w:pPr>
      <w:r w:rsidRPr="00503014">
        <w:t xml:space="preserve">Na povabilo Ministrstva za obrambo Republike Slovenije je delegacija Državnega odvetništva RS obiskala Park vojaške zgodovine Pivka. Na dogodku so se izmenjala mnenja in pogledi na različna odprta vprašanja ter dobre prakse. </w:t>
      </w:r>
    </w:p>
    <w:p w14:paraId="18A8B3D2" w14:textId="77777777" w:rsidR="00695AE2" w:rsidRDefault="00695AE2" w:rsidP="00695AE2">
      <w:pPr>
        <w:spacing w:line="240" w:lineRule="auto"/>
        <w:jc w:val="both"/>
      </w:pPr>
    </w:p>
    <w:p w14:paraId="1B07359D" w14:textId="77777777" w:rsidR="00695AE2" w:rsidRPr="00503014" w:rsidRDefault="00695AE2" w:rsidP="00695AE2">
      <w:pPr>
        <w:pStyle w:val="Naslov5"/>
        <w:ind w:left="0" w:firstLine="0"/>
        <w:rPr>
          <w:rFonts w:eastAsia="Calibri"/>
        </w:rPr>
      </w:pPr>
      <w:bookmarkStart w:id="363" w:name="_Toc223093851"/>
      <w:r w:rsidRPr="00503014">
        <w:rPr>
          <w:rFonts w:eastAsia="Calibri"/>
        </w:rPr>
        <w:t xml:space="preserve">Strokovni obiski </w:t>
      </w:r>
      <w:r>
        <w:rPr>
          <w:rFonts w:eastAsia="Calibri"/>
        </w:rPr>
        <w:t xml:space="preserve">na </w:t>
      </w:r>
      <w:r w:rsidRPr="00503014">
        <w:rPr>
          <w:rFonts w:eastAsia="Calibri"/>
        </w:rPr>
        <w:t>Državne</w:t>
      </w:r>
      <w:r>
        <w:rPr>
          <w:rFonts w:eastAsia="Calibri"/>
        </w:rPr>
        <w:t>m</w:t>
      </w:r>
      <w:r w:rsidRPr="00503014">
        <w:rPr>
          <w:rFonts w:eastAsia="Calibri"/>
        </w:rPr>
        <w:t xml:space="preserve"> odvetništv</w:t>
      </w:r>
      <w:r>
        <w:rPr>
          <w:rFonts w:eastAsia="Calibri"/>
        </w:rPr>
        <w:t>u</w:t>
      </w:r>
      <w:r w:rsidRPr="00503014">
        <w:rPr>
          <w:rFonts w:eastAsia="Calibri"/>
        </w:rPr>
        <w:t xml:space="preserve"> Republike Hrvaške v okviru regionalne izmenjave – Bjelovar (27. in 28. oktober 2025), Pula (3. in 4. november 2025) in Sisak (27. in 28. november 2025)</w:t>
      </w:r>
      <w:bookmarkEnd w:id="363"/>
    </w:p>
    <w:p w14:paraId="7EA095F5" w14:textId="77777777" w:rsidR="00695AE2" w:rsidRPr="00503014" w:rsidRDefault="00695AE2" w:rsidP="00695AE2">
      <w:pPr>
        <w:pStyle w:val="Jasna"/>
      </w:pPr>
    </w:p>
    <w:p w14:paraId="71A5D49B" w14:textId="77777777" w:rsidR="00695AE2" w:rsidRPr="00503014" w:rsidRDefault="00695AE2" w:rsidP="00695AE2">
      <w:pPr>
        <w:spacing w:line="240" w:lineRule="auto"/>
        <w:jc w:val="both"/>
      </w:pPr>
      <w:r w:rsidRPr="00503014">
        <w:t>Predstavniki Državnega odvetništva RS so se udeležili regionalne izmenjave na Državnem odvetništvu Republike Hrvaške. V okviru treh strokovnih obiskov, ki so omogočili poglobljen vpogled v organizacijo in delovanje hrvaškega državnega odvetništva, predvsem na lokalni ravni, so si slovenski in hrvaški državni odvetniki izmenjali izkušnje in primere dobre prakse.</w:t>
      </w:r>
    </w:p>
    <w:p w14:paraId="01DA4136" w14:textId="77777777" w:rsidR="00695AE2" w:rsidRPr="00503014" w:rsidRDefault="00695AE2" w:rsidP="00695AE2">
      <w:pPr>
        <w:spacing w:line="240" w:lineRule="auto"/>
        <w:jc w:val="both"/>
      </w:pPr>
    </w:p>
    <w:p w14:paraId="2D0474AF" w14:textId="77777777" w:rsidR="00695AE2" w:rsidRDefault="00695AE2" w:rsidP="00695AE2">
      <w:pPr>
        <w:spacing w:line="240" w:lineRule="auto"/>
        <w:jc w:val="both"/>
      </w:pPr>
      <w:r w:rsidRPr="00503014">
        <w:t>Obiski so prispevali h krepitvi strokovnega sodelovanja in izmenjavi znanja med Državnim odvetništvom Republike Slovenije in hrvaškimi kolegi.</w:t>
      </w:r>
    </w:p>
    <w:p w14:paraId="1EFD1CAB" w14:textId="77777777" w:rsidR="00695AE2" w:rsidRDefault="00695AE2" w:rsidP="00695AE2">
      <w:pPr>
        <w:spacing w:line="240" w:lineRule="auto"/>
        <w:jc w:val="both"/>
      </w:pPr>
    </w:p>
    <w:p w14:paraId="6F419459" w14:textId="77777777" w:rsidR="00695AE2" w:rsidRPr="00503014" w:rsidRDefault="00695AE2" w:rsidP="00695AE2">
      <w:pPr>
        <w:spacing w:line="240" w:lineRule="auto"/>
        <w:jc w:val="both"/>
        <w:rPr>
          <w:color w:val="007466"/>
        </w:rPr>
      </w:pPr>
      <w:r>
        <w:t>Podrobneje o obiskih v tč. 4.5.8.5.</w:t>
      </w:r>
    </w:p>
    <w:p w14:paraId="41E51E6E" w14:textId="77777777" w:rsidR="00695AE2" w:rsidRPr="00503014" w:rsidRDefault="00695AE2" w:rsidP="00695AE2">
      <w:pPr>
        <w:spacing w:line="240" w:lineRule="auto"/>
        <w:jc w:val="both"/>
      </w:pPr>
    </w:p>
    <w:p w14:paraId="0DCD44CB" w14:textId="77777777" w:rsidR="00695AE2" w:rsidRPr="00503014" w:rsidRDefault="00695AE2" w:rsidP="00695AE2">
      <w:pPr>
        <w:pStyle w:val="Naslov5"/>
        <w:rPr>
          <w:rFonts w:eastAsia="Calibri"/>
        </w:rPr>
      </w:pPr>
      <w:bookmarkStart w:id="364" w:name="_Toc223093852"/>
      <w:r w:rsidRPr="00503014">
        <w:rPr>
          <w:rFonts w:eastAsia="Calibri"/>
        </w:rPr>
        <w:t>Sodelovanje na dogodku Karierni izzivi mladih pravnikov (8. december 2025)</w:t>
      </w:r>
      <w:bookmarkEnd w:id="364"/>
    </w:p>
    <w:p w14:paraId="16D4E9A1" w14:textId="77777777" w:rsidR="00695AE2" w:rsidRPr="00503014" w:rsidRDefault="00695AE2" w:rsidP="00695AE2">
      <w:pPr>
        <w:spacing w:line="240" w:lineRule="auto"/>
        <w:jc w:val="both"/>
      </w:pPr>
    </w:p>
    <w:p w14:paraId="01137CB7" w14:textId="77777777" w:rsidR="00695AE2" w:rsidRPr="00503014" w:rsidRDefault="00695AE2" w:rsidP="00695AE2">
      <w:pPr>
        <w:spacing w:line="240" w:lineRule="auto"/>
        <w:jc w:val="both"/>
      </w:pPr>
      <w:r w:rsidRPr="00503014">
        <w:lastRenderedPageBreak/>
        <w:t xml:space="preserve">Na Pravni fakulteti Univerze v Mariboru je v organizaciji Študentskega sveta Pravne fakultete Univerze v Mariboru potekal dogodek z naslovom </w:t>
      </w:r>
      <w:r w:rsidRPr="00503014">
        <w:rPr>
          <w:i/>
          <w:iCs/>
        </w:rPr>
        <w:t>Karierni izzivi mladih pravnikov</w:t>
      </w:r>
      <w:r w:rsidRPr="00503014">
        <w:t>. Na dogodku, ki je bil zasnovan kot okrogla miza, so poleg moderatorke – prodekanice za študentska vprašanja sodelovali štirje mlajši pravniki, sodnik, odvetnik, docent in kandidat za državnega odvetnika</w:t>
      </w:r>
      <w:r>
        <w:t xml:space="preserve"> Jure Pirc</w:t>
      </w:r>
      <w:r w:rsidRPr="00503014">
        <w:t>, ki je zaposlen na Zunanjem oddelku državnega odvetništva v Mariboru. Dogodek je bil namenjen študentom, ki bodo svojo karierno pot šele oblikovali, razpravljajoči pa so se obiskovalcem trudili ponuditi vpogled v izzive na začetku svoje karierne poti. Poleg dobrega znanja prava, ki je ključno, so se vsi vabljeni strinjali da so mehke veščine in pa veselje do dela pomembne za premagovanje začetnih ovir. Dogodek je bil tudi dobra priložnost za predstavitev dela državnega odvetnika, ki ni le zagovarjanje dejanj države, temveč tudi delovanje v smeri uresničitve načela pravne države in preprečevanja  očitnih zlorab pravic.</w:t>
      </w:r>
    </w:p>
    <w:p w14:paraId="63A426EF" w14:textId="77777777" w:rsidR="00695AE2" w:rsidRPr="00503014" w:rsidRDefault="00695AE2" w:rsidP="00695AE2">
      <w:pPr>
        <w:spacing w:line="240" w:lineRule="auto"/>
        <w:jc w:val="both"/>
      </w:pPr>
    </w:p>
    <w:p w14:paraId="2B769058" w14:textId="77777777" w:rsidR="00695AE2" w:rsidRPr="00503014" w:rsidRDefault="00695AE2" w:rsidP="00695AE2">
      <w:pPr>
        <w:pStyle w:val="Naslov5"/>
        <w:ind w:left="0" w:firstLine="0"/>
        <w:rPr>
          <w:rFonts w:eastAsia="Calibri"/>
        </w:rPr>
      </w:pPr>
      <w:bookmarkStart w:id="365" w:name="_Toc223093853"/>
      <w:r w:rsidRPr="00503014">
        <w:rPr>
          <w:rFonts w:eastAsia="Calibri"/>
        </w:rPr>
        <w:t>Srečanje generalne državne odvetnice in ministrice za pravosodje (17. december 2025)</w:t>
      </w:r>
      <w:bookmarkEnd w:id="365"/>
      <w:r w:rsidRPr="00503014">
        <w:rPr>
          <w:rFonts w:eastAsia="Calibri"/>
        </w:rPr>
        <w:t xml:space="preserve"> </w:t>
      </w:r>
    </w:p>
    <w:p w14:paraId="7E8C4606" w14:textId="77777777" w:rsidR="00695AE2" w:rsidRPr="00503014" w:rsidRDefault="00695AE2" w:rsidP="00695AE2">
      <w:pPr>
        <w:spacing w:line="240" w:lineRule="auto"/>
        <w:jc w:val="both"/>
      </w:pPr>
    </w:p>
    <w:p w14:paraId="66674E03" w14:textId="77777777" w:rsidR="00695AE2" w:rsidRPr="00503014" w:rsidRDefault="00695AE2" w:rsidP="00695AE2">
      <w:pPr>
        <w:spacing w:line="240" w:lineRule="auto"/>
        <w:jc w:val="both"/>
      </w:pPr>
      <w:r w:rsidRPr="00503014">
        <w:t>Na povabilo generalne državne odvetnice dr. Ane Kerševan je Državno odvetništvo RS obiskala ministrica za pravosodje mag. Andreja Kokalj. Sogovornici sta se v pogovoru dotaknili pomembnejših skupnih zadev s področja skupnega delokroga in zarisali pot sodelovanja obeh organov za naslednje mesece. To je v preteklosti po oceni obeh predstojnic potekalo tvorno. Ministrica se je državnim odvetnicam in odvetnikom zahvalila za dobro opravljeno delo ter doprinos v različnih delovnih skupinah. Pomen podpore ministrstva pri pomembnejših vidikih dela in poslovanja Državnega odvetništva RS pa je izrazila tudi generalna državna odvetnica.</w:t>
      </w:r>
    </w:p>
    <w:p w14:paraId="2428B06B" w14:textId="77777777" w:rsidR="00695AE2" w:rsidRPr="00503014" w:rsidRDefault="00695AE2" w:rsidP="00695AE2">
      <w:pPr>
        <w:spacing w:line="240" w:lineRule="auto"/>
        <w:jc w:val="both"/>
      </w:pPr>
    </w:p>
    <w:p w14:paraId="4804BEDB" w14:textId="77777777" w:rsidR="00695AE2" w:rsidRPr="00503014" w:rsidRDefault="00695AE2" w:rsidP="00695AE2">
      <w:pPr>
        <w:spacing w:line="240" w:lineRule="auto"/>
        <w:jc w:val="both"/>
      </w:pPr>
      <w:r w:rsidRPr="00503014">
        <w:t>Ministrica je potrdila, da bo delovna skupina, ki jo je Ministrstvo za pravosodje ustanovilo v zvezi s pripravo novele ZDOdv, tudi pod novim vodstvom ministrstva delo nadaljevala z izdelavo poročila o dosedanjem delu, ki bo temeljilo na skupnih vsebinskih izhodiščih iz leta 2024 in bo predstavljalo podlago za nadaljnje delo delovne skupine. Sklepno sta sogovornici poudarili pomen odprtega dialoga med organoma in se zavezali, da ga bosta krepili tudi v prihodnje.</w:t>
      </w:r>
    </w:p>
    <w:p w14:paraId="791AA40F" w14:textId="77777777" w:rsidR="00695AE2" w:rsidRPr="00503014" w:rsidRDefault="00695AE2" w:rsidP="00695AE2">
      <w:pPr>
        <w:spacing w:line="240" w:lineRule="auto"/>
        <w:jc w:val="both"/>
        <w:rPr>
          <w:rFonts w:eastAsia="Calibri"/>
          <w:color w:val="007466"/>
        </w:rPr>
      </w:pPr>
    </w:p>
    <w:p w14:paraId="0E14BEC0" w14:textId="77777777" w:rsidR="00695AE2" w:rsidRPr="00503014" w:rsidRDefault="00695AE2" w:rsidP="00695AE2">
      <w:pPr>
        <w:pStyle w:val="Naslov5"/>
        <w:ind w:left="0" w:firstLine="0"/>
        <w:rPr>
          <w:rFonts w:eastAsia="Calibri"/>
        </w:rPr>
      </w:pPr>
      <w:bookmarkStart w:id="366" w:name="_Toc223093854"/>
      <w:r w:rsidRPr="00503014">
        <w:rPr>
          <w:rFonts w:eastAsia="Calibri"/>
        </w:rPr>
        <w:t>Udeležba na slavnostni seji Ustavnega sodišča Republike Slovenije (18. december 2025)</w:t>
      </w:r>
      <w:bookmarkEnd w:id="366"/>
      <w:r w:rsidRPr="00503014">
        <w:rPr>
          <w:rFonts w:eastAsia="Calibri"/>
        </w:rPr>
        <w:t xml:space="preserve"> </w:t>
      </w:r>
    </w:p>
    <w:p w14:paraId="4CE6836C" w14:textId="77777777" w:rsidR="00695AE2" w:rsidRPr="00503014" w:rsidRDefault="00695AE2" w:rsidP="00695AE2">
      <w:pPr>
        <w:spacing w:line="240" w:lineRule="auto"/>
        <w:jc w:val="both"/>
      </w:pPr>
    </w:p>
    <w:p w14:paraId="424C9E80" w14:textId="77777777" w:rsidR="00695AE2" w:rsidRPr="00503014" w:rsidRDefault="00695AE2" w:rsidP="00695AE2">
      <w:pPr>
        <w:spacing w:line="240" w:lineRule="auto"/>
        <w:jc w:val="both"/>
      </w:pPr>
      <w:r w:rsidRPr="00503014">
        <w:t>Ustavno sodišče je 18. decembra 2025 s slavnostno sejo tradicionalno obeležilo Dan ustavnosti, ki ga praznujemo v spomin na sprejetje Ustave RS 23. decembra 1991. Slavnostna seja je bila namenjena počastitvi temeljnega državnega praznika ter ponovnemu razmisleku o vrednotah, na katerih temelji slovenska ustavna ureditev.</w:t>
      </w:r>
    </w:p>
    <w:p w14:paraId="10696D4B" w14:textId="77777777" w:rsidR="00695AE2" w:rsidRPr="00503014" w:rsidRDefault="00695AE2" w:rsidP="00695AE2">
      <w:pPr>
        <w:spacing w:line="240" w:lineRule="auto"/>
        <w:jc w:val="both"/>
      </w:pPr>
    </w:p>
    <w:p w14:paraId="37929317" w14:textId="77777777" w:rsidR="00695AE2" w:rsidRPr="00503014" w:rsidRDefault="00695AE2" w:rsidP="00695AE2">
      <w:pPr>
        <w:spacing w:line="240" w:lineRule="auto"/>
        <w:jc w:val="both"/>
      </w:pPr>
      <w:r w:rsidRPr="00503014">
        <w:t>Slavnostna govornica je bila sodnica Mednarodnega kazenskega sodišča Beti Hohler. V svojem nagovoru je poudarila pomen ustave kot najvišjega pravnega akta, ki izraža skupno zavezo svobodi, demokraciji, pravni državi ter spoštovanju človekovih pravic in temeljnih svoboščin.</w:t>
      </w:r>
    </w:p>
    <w:p w14:paraId="0D219FB7" w14:textId="77777777" w:rsidR="00695AE2" w:rsidRPr="00503014" w:rsidRDefault="00695AE2" w:rsidP="00695AE2">
      <w:pPr>
        <w:spacing w:line="240" w:lineRule="auto"/>
        <w:jc w:val="both"/>
      </w:pPr>
    </w:p>
    <w:p w14:paraId="5DF8F876" w14:textId="77777777" w:rsidR="00695AE2" w:rsidRPr="00503014" w:rsidRDefault="00695AE2" w:rsidP="00695AE2">
      <w:pPr>
        <w:spacing w:line="240" w:lineRule="auto"/>
        <w:jc w:val="both"/>
        <w:rPr>
          <w:rFonts w:eastAsia="Calibri"/>
        </w:rPr>
      </w:pPr>
      <w:r w:rsidRPr="00503014">
        <w:t xml:space="preserve">Ob dnevu ustavnosti je bilo poudarjeno, da nas 23. december vsako leto spomni na čas, ko smo kot skupnost z jasno voljo in odgovornostjo temeljne vrednote države zapisali v ustavo. Ta nas povezuje v raznolikosti, zavezuje k sobivanju, ki temelji na spoštovanju, solidarnosti in dialogu, ter nas usmerja v času sprememb in izzivov pri gradnji odprte, pravične in vključujoče </w:t>
      </w:r>
      <w:r w:rsidRPr="00503014">
        <w:lastRenderedPageBreak/>
        <w:t>družbe. Ustava obenem opominja, da moč države izvira iz spoštovanja dostojanstva posameznika in skrbi za skupno dobro.</w:t>
      </w:r>
    </w:p>
    <w:p w14:paraId="33609D8F" w14:textId="77777777" w:rsidR="00695AE2" w:rsidRPr="008C095A" w:rsidRDefault="00695AE2" w:rsidP="00695AE2">
      <w:pPr>
        <w:pStyle w:val="Jasna"/>
        <w:rPr>
          <w:sz w:val="28"/>
          <w:szCs w:val="28"/>
        </w:rPr>
      </w:pPr>
      <w:bookmarkStart w:id="367" w:name="_Toc168844856"/>
    </w:p>
    <w:p w14:paraId="1C8956DC" w14:textId="77777777" w:rsidR="00695AE2" w:rsidRPr="00503014" w:rsidRDefault="00695AE2" w:rsidP="00695AE2">
      <w:pPr>
        <w:pStyle w:val="Naslov3"/>
      </w:pPr>
      <w:bookmarkStart w:id="368" w:name="_Toc191561854"/>
      <w:bookmarkStart w:id="369" w:name="_Toc223093855"/>
      <w:r w:rsidRPr="00503014">
        <w:t>Sodelovanje zunanjih strokovnjakov in tujih odvetnikov</w:t>
      </w:r>
      <w:bookmarkEnd w:id="367"/>
      <w:bookmarkEnd w:id="368"/>
      <w:bookmarkEnd w:id="369"/>
      <w:r w:rsidRPr="00503014">
        <w:t xml:space="preserve"> </w:t>
      </w:r>
    </w:p>
    <w:p w14:paraId="5BD5FC94" w14:textId="77777777" w:rsidR="00695AE2" w:rsidRPr="00503014" w:rsidRDefault="00695AE2" w:rsidP="00695AE2">
      <w:pPr>
        <w:spacing w:line="240" w:lineRule="auto"/>
        <w:jc w:val="both"/>
        <w:rPr>
          <w:rFonts w:eastAsia="Calibri"/>
          <w:b/>
          <w:bCs/>
          <w:color w:val="007466"/>
        </w:rPr>
      </w:pPr>
      <w:bookmarkStart w:id="370" w:name="_Hlk219881209"/>
    </w:p>
    <w:p w14:paraId="3B479E9F" w14:textId="77777777" w:rsidR="00695AE2" w:rsidRPr="00503014" w:rsidRDefault="00695AE2" w:rsidP="00695AE2">
      <w:pPr>
        <w:pStyle w:val="Naslov4"/>
      </w:pPr>
      <w:bookmarkStart w:id="371" w:name="_Toc223093856"/>
      <w:bookmarkEnd w:id="370"/>
      <w:r w:rsidRPr="00503014">
        <w:t>Sodelovanje zunanjih strokovnjakov</w:t>
      </w:r>
      <w:bookmarkEnd w:id="371"/>
    </w:p>
    <w:p w14:paraId="459CFFF8" w14:textId="77777777" w:rsidR="00695AE2" w:rsidRPr="00503014" w:rsidRDefault="00695AE2" w:rsidP="00695AE2">
      <w:pPr>
        <w:spacing w:line="240" w:lineRule="auto"/>
        <w:jc w:val="both"/>
        <w:rPr>
          <w:rFonts w:eastAsia="Calibri"/>
          <w:b/>
          <w:bCs/>
          <w:color w:val="007466"/>
        </w:rPr>
      </w:pPr>
    </w:p>
    <w:p w14:paraId="3314AE80" w14:textId="77777777" w:rsidR="00695AE2" w:rsidRPr="00503014" w:rsidRDefault="00695AE2" w:rsidP="00695AE2">
      <w:pPr>
        <w:spacing w:line="240" w:lineRule="auto"/>
        <w:jc w:val="both"/>
        <w:rPr>
          <w:rFonts w:eastAsia="Calibri"/>
        </w:rPr>
      </w:pPr>
      <w:r w:rsidRPr="00503014">
        <w:rPr>
          <w:rFonts w:eastAsia="Calibri"/>
        </w:rPr>
        <w:t>Z določbo 15. člena ZDOdv je dana ustrezna pravna podlaga za možnost sodelovanja zunanjih strokovnjakov, na primer izvedencev, cenilcev in podobno, ki v okviru reševanja posamezne zadeve državnemu odvetniku zagotavljajo strokovno pomoč s področij davčne, finančne, računovodske, medicinske stroke in drugih strok, ki je potrebna za strokovno, kakovostno in učinkovito obravnavanje posamezne zadeve.</w:t>
      </w:r>
    </w:p>
    <w:p w14:paraId="3B77436F" w14:textId="77777777" w:rsidR="00695AE2" w:rsidRPr="00503014" w:rsidRDefault="00695AE2" w:rsidP="00695AE2">
      <w:pPr>
        <w:spacing w:line="240" w:lineRule="auto"/>
        <w:jc w:val="both"/>
        <w:rPr>
          <w:rFonts w:eastAsia="Calibri"/>
        </w:rPr>
      </w:pPr>
    </w:p>
    <w:p w14:paraId="6962D87B" w14:textId="77777777" w:rsidR="00695AE2" w:rsidRPr="00503014" w:rsidRDefault="00695AE2" w:rsidP="00695AE2">
      <w:pPr>
        <w:spacing w:line="240" w:lineRule="auto"/>
        <w:jc w:val="both"/>
        <w:rPr>
          <w:rFonts w:eastAsia="Calibri"/>
        </w:rPr>
      </w:pPr>
      <w:r w:rsidRPr="00503014">
        <w:rPr>
          <w:rFonts w:eastAsia="Calibri"/>
        </w:rPr>
        <w:t>ZDOdv v prvem odstavku 15. člena določa, da sme državni odvetnik v posamezni zadevi pritegniti k sodelovanju zunanje strokovnjake, če oceni, da potrebuje njihovo pomoč glede posameznih strokovnih vprašanj in bo to pripomoglo k hitrejši razjasnitvi zadeve. Državno odvetništvo RS vodi in na svoji spletni strani redno objavlja evidenco tovrstnih zadev z navedbo strokovnjakov, ki so v posamezni zadevi sodelovali z državnim odvetnikom, kar vzpostavlja večjo preglednost poslovanja organa.</w:t>
      </w:r>
    </w:p>
    <w:p w14:paraId="1017DAC0" w14:textId="77777777" w:rsidR="00695AE2" w:rsidRPr="00503014" w:rsidRDefault="00695AE2" w:rsidP="00695AE2">
      <w:pPr>
        <w:spacing w:line="240" w:lineRule="auto"/>
        <w:jc w:val="both"/>
        <w:rPr>
          <w:rFonts w:eastAsia="Calibri"/>
        </w:rPr>
      </w:pPr>
    </w:p>
    <w:p w14:paraId="7E2FB916" w14:textId="77777777" w:rsidR="00695AE2" w:rsidRPr="00503014" w:rsidRDefault="00695AE2" w:rsidP="00695AE2">
      <w:pPr>
        <w:spacing w:line="240" w:lineRule="auto"/>
        <w:jc w:val="both"/>
        <w:rPr>
          <w:rFonts w:eastAsia="Calibri"/>
          <w:color w:val="000000"/>
        </w:rPr>
      </w:pPr>
      <w:bookmarkStart w:id="372" w:name="_Hlk189224093"/>
      <w:bookmarkStart w:id="373" w:name="_Hlk189587732"/>
      <w:r w:rsidRPr="00503014">
        <w:rPr>
          <w:rFonts w:eastAsia="Calibri"/>
        </w:rPr>
        <w:t>V letu 2025 je Državno odvetništvo RS pritegnilo k sodelovanju zunanje strokovnjake v 8 zadevah: vključenih je bilo 13 različnih strokovnjakov, za njihovo sodelovanje je Državno odvetništvo RS odštelo</w:t>
      </w:r>
      <w:r w:rsidRPr="00503014">
        <w:rPr>
          <w:rFonts w:eastAsia="Calibri"/>
          <w:color w:val="000000"/>
        </w:rPr>
        <w:t xml:space="preserve"> 910.896,27 evra.</w:t>
      </w:r>
      <w:bookmarkEnd w:id="372"/>
      <w:r w:rsidRPr="00503014">
        <w:rPr>
          <w:rFonts w:eastAsia="Calibri"/>
          <w:color w:val="000000"/>
        </w:rPr>
        <w:t xml:space="preserve"> </w:t>
      </w:r>
      <w:r w:rsidRPr="00503014">
        <w:rPr>
          <w:rFonts w:eastAsia="Calibri"/>
        </w:rPr>
        <w:t>Strošek za zunanje strokovnjake je primerljiv znesku za preteklo leto, vendar bistveno višji v primerjavi s predhodnimi leti, ker so bili v obeh aktivnih postopkih mednarodnih arbitraž vključeni zunanji strokovnjaki za visoko strokovna področja</w:t>
      </w:r>
      <w:r w:rsidRPr="00503014">
        <w:rPr>
          <w:rFonts w:eastAsia="Calibri"/>
          <w:color w:val="000000"/>
        </w:rPr>
        <w:t xml:space="preserve"> in je Državno odvetništvo RS samo v arbitražnih zadevah za zunanje strokovnjake plačalo 899.812,25 evrov</w:t>
      </w:r>
      <w:r w:rsidRPr="00503014">
        <w:rPr>
          <w:rFonts w:eastAsia="Calibri"/>
        </w:rPr>
        <w:t xml:space="preserve">. </w:t>
      </w:r>
      <w:r w:rsidRPr="00503014">
        <w:rPr>
          <w:rFonts w:eastAsia="Calibri"/>
          <w:color w:val="000000"/>
        </w:rPr>
        <w:t>V postopkih pred domačimi in ESČP sodiščem pa je bilo plačali 11.084,02 evrov, kar je znesek, popolnoma primerljiv zneskom iz preteklih let.</w:t>
      </w:r>
    </w:p>
    <w:bookmarkEnd w:id="373"/>
    <w:p w14:paraId="07DC69D2" w14:textId="77777777" w:rsidR="00695AE2" w:rsidRPr="00503014" w:rsidRDefault="00695AE2" w:rsidP="00695AE2">
      <w:pPr>
        <w:spacing w:line="240" w:lineRule="auto"/>
        <w:jc w:val="both"/>
        <w:rPr>
          <w:rFonts w:eastAsia="Calibri"/>
          <w:color w:val="000000"/>
        </w:rPr>
      </w:pPr>
    </w:p>
    <w:p w14:paraId="2DD45543" w14:textId="77777777" w:rsidR="00695AE2" w:rsidRPr="00503014" w:rsidRDefault="00695AE2" w:rsidP="00695AE2">
      <w:pPr>
        <w:spacing w:line="240" w:lineRule="auto"/>
        <w:jc w:val="both"/>
        <w:rPr>
          <w:rFonts w:eastAsia="Calibri"/>
        </w:rPr>
      </w:pPr>
      <w:r w:rsidRPr="00503014">
        <w:rPr>
          <w:rFonts w:eastAsia="Calibri"/>
        </w:rPr>
        <w:t xml:space="preserve">Strokovni pomočniki so državnim odvetnikom nudili pomoč pri zadevah glede vprašanj, ki terjajo specifično znanje z raznih strokovnih področij, s katerim državni odvetniki ne razpolagajo (na primer pri podaji pripomb na izvedenska mnenja ali pri pripravi vprašanj za sodne izvedence). </w:t>
      </w:r>
    </w:p>
    <w:p w14:paraId="45D7B91E" w14:textId="77777777" w:rsidR="00695AE2" w:rsidRPr="00503014" w:rsidRDefault="00695AE2" w:rsidP="00695AE2">
      <w:pPr>
        <w:spacing w:line="240" w:lineRule="auto"/>
        <w:jc w:val="both"/>
        <w:rPr>
          <w:rFonts w:eastAsia="Calibri"/>
        </w:rPr>
      </w:pPr>
    </w:p>
    <w:p w14:paraId="7FE57C33" w14:textId="77777777" w:rsidR="00695AE2" w:rsidRPr="00503014" w:rsidRDefault="00695AE2" w:rsidP="00695AE2">
      <w:pPr>
        <w:pStyle w:val="Naslov4"/>
      </w:pPr>
      <w:bookmarkStart w:id="374" w:name="_Toc168844858"/>
      <w:bookmarkStart w:id="375" w:name="_Toc191561856"/>
      <w:bookmarkStart w:id="376" w:name="_Toc223093857"/>
      <w:r w:rsidRPr="00503014">
        <w:t>Vključitev druge strokovno usposobljene domače ali tuje pravne ali fizične osebe</w:t>
      </w:r>
      <w:bookmarkStart w:id="377" w:name="_Hlk219896211"/>
      <w:bookmarkEnd w:id="374"/>
      <w:bookmarkEnd w:id="375"/>
      <w:bookmarkEnd w:id="376"/>
      <w:r w:rsidRPr="00503014">
        <w:t xml:space="preserve"> </w:t>
      </w:r>
    </w:p>
    <w:p w14:paraId="21DABB99" w14:textId="77777777" w:rsidR="00695AE2" w:rsidRPr="00503014" w:rsidRDefault="00695AE2" w:rsidP="00695AE2">
      <w:pPr>
        <w:tabs>
          <w:tab w:val="left" w:pos="5670"/>
        </w:tabs>
        <w:spacing w:line="240" w:lineRule="auto"/>
        <w:jc w:val="both"/>
        <w:rPr>
          <w:rFonts w:eastAsia="Calibri"/>
          <w:bCs/>
        </w:rPr>
      </w:pPr>
    </w:p>
    <w:p w14:paraId="5F5B94DA" w14:textId="77777777" w:rsidR="00695AE2" w:rsidRPr="00503014" w:rsidRDefault="00695AE2" w:rsidP="00695AE2">
      <w:pPr>
        <w:tabs>
          <w:tab w:val="left" w:pos="5670"/>
        </w:tabs>
        <w:spacing w:line="240" w:lineRule="auto"/>
        <w:jc w:val="both"/>
        <w:rPr>
          <w:rFonts w:eastAsia="Calibri"/>
          <w:bCs/>
        </w:rPr>
      </w:pPr>
      <w:r w:rsidRPr="00503014">
        <w:rPr>
          <w:rFonts w:eastAsia="Calibri"/>
          <w:bCs/>
        </w:rPr>
        <w:t>Po 19. in 20. členu ZDOdv je vključitev strokovnjakov za zastopanje pred tujimi sodišči in tujimi arbitražami ter mednarodnimi sodišči in mednarodnimi arbitražami možno tako, da Vlada RS na predlog generalnega državnega odvetnika kadar obstajajo dejanske ali pravne ovire, zaradi katerih državni odvetnik ne more zastopati, pooblasti drugo strokovno usposobljeno osebo oziroma jo vključi za pomoč pri zastopanju.</w:t>
      </w:r>
    </w:p>
    <w:p w14:paraId="576A58D8" w14:textId="77777777" w:rsidR="00695AE2" w:rsidRPr="00503014" w:rsidRDefault="00695AE2" w:rsidP="00695AE2">
      <w:pPr>
        <w:tabs>
          <w:tab w:val="left" w:pos="5670"/>
        </w:tabs>
        <w:spacing w:line="240" w:lineRule="auto"/>
        <w:jc w:val="both"/>
        <w:rPr>
          <w:rFonts w:eastAsia="Calibri"/>
        </w:rPr>
      </w:pPr>
    </w:p>
    <w:p w14:paraId="25DF34A8" w14:textId="77777777" w:rsidR="00695AE2" w:rsidRPr="00503014" w:rsidRDefault="00695AE2" w:rsidP="00695AE2">
      <w:pPr>
        <w:tabs>
          <w:tab w:val="left" w:pos="5670"/>
        </w:tabs>
        <w:spacing w:line="240" w:lineRule="auto"/>
        <w:jc w:val="both"/>
        <w:rPr>
          <w:rFonts w:eastAsia="Calibri"/>
        </w:rPr>
      </w:pPr>
      <w:r w:rsidRPr="00503014">
        <w:rPr>
          <w:rFonts w:eastAsia="Calibri"/>
          <w:bCs/>
        </w:rPr>
        <w:t>Z namenom kakovostnega in učinkovitega zastopanja Republike Slovenije v vsebinskem in procesnem smislu kot tudi z vidika skrbi za njene premoženjske interese je bilo t</w:t>
      </w:r>
      <w:r w:rsidRPr="00503014">
        <w:rPr>
          <w:rFonts w:eastAsia="Calibri"/>
        </w:rPr>
        <w:t xml:space="preserve">udi v letu 2025 izvedenih nekaj postopkov za pomoč druge strokovno usposobljene domače ali tuje pravne ali fizične osebe pred tujimi in mednarodnimi sodišči in arbitražami, ko zaradi dejanskih ali pravnih ovir državni odvetniki ne morejo opravljati nalog zastopanja. Postopki izbire se izvajajo </w:t>
      </w:r>
      <w:r w:rsidRPr="00503014">
        <w:rPr>
          <w:rFonts w:eastAsia="Calibri"/>
        </w:rPr>
        <w:lastRenderedPageBreak/>
        <w:t>v skladu z internim aktom, to je Protokolom za izbiro fizične ali pravne osebe za zastopanje v tujini, za izbiro je imenovana komisija.</w:t>
      </w:r>
    </w:p>
    <w:p w14:paraId="7EF3D0DE" w14:textId="77777777" w:rsidR="00695AE2" w:rsidRPr="00503014" w:rsidRDefault="00695AE2" w:rsidP="00695AE2">
      <w:pPr>
        <w:tabs>
          <w:tab w:val="left" w:pos="5670"/>
        </w:tabs>
        <w:spacing w:line="240" w:lineRule="auto"/>
        <w:jc w:val="both"/>
        <w:rPr>
          <w:rFonts w:eastAsia="Calibri"/>
        </w:rPr>
      </w:pPr>
    </w:p>
    <w:p w14:paraId="6AA0CB8F" w14:textId="77777777" w:rsidR="00695AE2" w:rsidRPr="00503014" w:rsidRDefault="00695AE2" w:rsidP="00695AE2">
      <w:pPr>
        <w:spacing w:line="240" w:lineRule="auto"/>
        <w:jc w:val="both"/>
        <w:rPr>
          <w:rFonts w:eastAsia="Calibri"/>
        </w:rPr>
      </w:pPr>
      <w:r w:rsidRPr="00503014">
        <w:rPr>
          <w:rFonts w:eastAsia="Calibri"/>
        </w:rPr>
        <w:t>V zvezi s tem se sicer odpira več vprašanj pravne in dejanske narave. Prva taka težava je izbira odvetnika za zastopanje v tujini, ki je podvrženo protokolu, na podlagi katerega je treba pridobiti tri ponudbe in potem izbrati glede na prejete ponudbe, brez poznavanja referenc odvetnikov v tujini, na podlagi ponujene cene. Druga težava, ki jo je treba poudariti, je kvaliteta sodelovanja z odvetnikom v tujini. Državni odvetniki namreč ne poznamo tujega postopka, materialnega prava in terminologije, zato v teh postopkih ne moremo odigrati ključne vloge zastopnika, pač pa lahko le koordiniramo potek postopka in delujemo na ravni zaupanja v korektnost in pravilnost zastopanja Republike Slovenije v tujini. Tretja težava je pridobivanje morebitnih potrebnih podatkov izven postopka, za katerega je Vlada RS pooblastila tujega odvetnika za zastopanje. Večkrat se namreč zgodi, da bi potrebovali zgolj določene informacije o poteku postopkov v tujini oziroma fazi, v kateri se postopek nahaja, pristojnih organih, ki vodijo določene postopke, listine, za katere ocenjujemo, da bi nam koristile kot dokaz v postopku, vendar bi za to potrebovali pooblaščenega odvetnika na splošno in ne le v konkretni zadevi. Take možnosti trenutno nimamo, kar velikokrat predstavlja vsaj oviro, če ne že zastoj oziroma slabše možnosti za uspeh pri zastopanju.</w:t>
      </w:r>
    </w:p>
    <w:p w14:paraId="35AE10FB" w14:textId="77777777" w:rsidR="00695AE2" w:rsidRPr="00503014" w:rsidRDefault="00695AE2" w:rsidP="00695AE2">
      <w:pPr>
        <w:spacing w:line="240" w:lineRule="auto"/>
        <w:ind w:right="28"/>
        <w:jc w:val="both"/>
        <w:rPr>
          <w:rFonts w:eastAsia="Calibri"/>
        </w:rPr>
      </w:pPr>
    </w:p>
    <w:p w14:paraId="71CE3377" w14:textId="77777777" w:rsidR="00695AE2" w:rsidRPr="00503014" w:rsidRDefault="00695AE2" w:rsidP="00695AE2">
      <w:pPr>
        <w:spacing w:line="240" w:lineRule="auto"/>
        <w:ind w:right="28"/>
        <w:jc w:val="both"/>
        <w:rPr>
          <w:rFonts w:eastAsia="Calibri"/>
        </w:rPr>
      </w:pPr>
      <w:r w:rsidRPr="00503014">
        <w:rPr>
          <w:rFonts w:eastAsia="Calibri"/>
        </w:rPr>
        <w:t xml:space="preserve">Za zadeve, ki se nanašajo na izterjavo terjatev, ki jih ima Republika Slovenija do dolžnikov s prebivališčem, sedežem in/ali izvršilnimi sredstvi v drugi državi, so se za zastopanje Republike Slovenije pred upravnimi in sodnimi organi v tujini nadaljevale aktivnosti tudi v letu 2025. </w:t>
      </w:r>
    </w:p>
    <w:p w14:paraId="0E99449C" w14:textId="77777777" w:rsidR="00695AE2" w:rsidRPr="00503014" w:rsidRDefault="00695AE2" w:rsidP="00695AE2">
      <w:pPr>
        <w:spacing w:line="240" w:lineRule="auto"/>
        <w:ind w:right="28"/>
        <w:jc w:val="both"/>
        <w:rPr>
          <w:rFonts w:eastAsia="Calibri"/>
          <w:highlight w:val="yellow"/>
        </w:rPr>
      </w:pPr>
    </w:p>
    <w:p w14:paraId="28E9C933" w14:textId="77777777" w:rsidR="00695AE2" w:rsidRPr="00503014" w:rsidRDefault="00695AE2" w:rsidP="00695AE2">
      <w:pPr>
        <w:spacing w:line="240" w:lineRule="auto"/>
        <w:ind w:right="28"/>
        <w:jc w:val="both"/>
        <w:rPr>
          <w:rFonts w:eastAsia="Calibri"/>
        </w:rPr>
      </w:pPr>
      <w:r w:rsidRPr="00503014">
        <w:rPr>
          <w:rFonts w:eastAsia="Calibri"/>
        </w:rPr>
        <w:t xml:space="preserve">Državno odvetništvo RS je imelo v letu 2025 za zastopanje Republike Slovenije pred upravnimi in sodnimi organi v postopkih za izterjavo terjatev, ki jih ima Republika Slovenija do dolžnikov s prebivališčem, sedežem in/ali izvršilnimi sredstvi v drugi državi, sklenjene pogodbe z odvetniki iz Republike Hrvaške, Republike Srbije, Bosne in Hercegovine ter Romunije. </w:t>
      </w:r>
    </w:p>
    <w:p w14:paraId="2BD869AB" w14:textId="77777777" w:rsidR="00695AE2" w:rsidRPr="00503014" w:rsidRDefault="00695AE2" w:rsidP="00695AE2">
      <w:pPr>
        <w:spacing w:line="240" w:lineRule="auto"/>
        <w:ind w:right="28"/>
        <w:jc w:val="both"/>
        <w:rPr>
          <w:rFonts w:eastAsia="Calibri"/>
        </w:rPr>
      </w:pPr>
    </w:p>
    <w:p w14:paraId="285A8B2E" w14:textId="77777777" w:rsidR="00695AE2" w:rsidRPr="00503014" w:rsidRDefault="00695AE2" w:rsidP="00695AE2">
      <w:pPr>
        <w:spacing w:line="240" w:lineRule="auto"/>
        <w:ind w:right="28"/>
        <w:jc w:val="both"/>
        <w:rPr>
          <w:rFonts w:eastAsia="Calibri"/>
        </w:rPr>
      </w:pPr>
      <w:r w:rsidRPr="00503014">
        <w:rPr>
          <w:rFonts w:eastAsia="Calibri"/>
        </w:rPr>
        <w:t xml:space="preserve">Postopki izbire odvetnikov se bodo po potrebi nadaljevali tudi za druge države, v katerih imajo dolžniki z dolgom do Republike Slovenije prebivališče, sedež in/ali izvršilna sredstva. </w:t>
      </w:r>
    </w:p>
    <w:p w14:paraId="349A372F" w14:textId="77777777" w:rsidR="00695AE2" w:rsidRPr="00503014" w:rsidRDefault="00695AE2" w:rsidP="00695AE2">
      <w:pPr>
        <w:spacing w:line="240" w:lineRule="auto"/>
        <w:ind w:right="28"/>
        <w:jc w:val="both"/>
        <w:rPr>
          <w:rFonts w:eastAsia="Calibri"/>
        </w:rPr>
      </w:pPr>
    </w:p>
    <w:p w14:paraId="1B43C6E4" w14:textId="77777777" w:rsidR="00695AE2" w:rsidRPr="00503014" w:rsidRDefault="00695AE2" w:rsidP="00695AE2">
      <w:pPr>
        <w:spacing w:line="240" w:lineRule="auto"/>
        <w:ind w:right="28"/>
        <w:jc w:val="both"/>
        <w:rPr>
          <w:rFonts w:eastAsia="Calibri"/>
        </w:rPr>
      </w:pPr>
      <w:r w:rsidRPr="00503014">
        <w:rPr>
          <w:rFonts w:eastAsia="Calibri"/>
        </w:rPr>
        <w:t>V letu 2025 sta na področju mednarodnih arbitraž intenzivno tekla dva postopka, v obeh je vključena tuja odvetniška ekipa, ki državnim odvetnikom nudi pomoč, ker gre za postopke s svojevrstnimi pravili. Izbor odvetniške ekipe je bil izveden že v predhodnih letih, delo poteka ustaljeno, komunikacija je utečena.</w:t>
      </w:r>
    </w:p>
    <w:p w14:paraId="1231D0E1" w14:textId="77777777" w:rsidR="00695AE2" w:rsidRPr="00503014" w:rsidRDefault="00695AE2" w:rsidP="00695AE2">
      <w:pPr>
        <w:spacing w:line="240" w:lineRule="auto"/>
        <w:ind w:right="28"/>
        <w:jc w:val="both"/>
        <w:rPr>
          <w:rFonts w:eastAsia="Calibri"/>
          <w:sz w:val="28"/>
          <w:szCs w:val="28"/>
        </w:rPr>
      </w:pPr>
    </w:p>
    <w:p w14:paraId="1C26F61F" w14:textId="77777777" w:rsidR="00695AE2" w:rsidRPr="00503014" w:rsidRDefault="00695AE2" w:rsidP="00695AE2">
      <w:pPr>
        <w:pStyle w:val="Naslov3"/>
      </w:pPr>
      <w:bookmarkStart w:id="378" w:name="_Toc168844859"/>
      <w:bookmarkStart w:id="379" w:name="_Toc191561857"/>
      <w:bookmarkStart w:id="380" w:name="_Toc223093858"/>
      <w:bookmarkEnd w:id="377"/>
      <w:r w:rsidRPr="00503014">
        <w:t>Informacije javnega značaja</w:t>
      </w:r>
      <w:bookmarkEnd w:id="378"/>
      <w:bookmarkEnd w:id="379"/>
      <w:bookmarkEnd w:id="380"/>
      <w:r w:rsidRPr="00503014">
        <w:t xml:space="preserve"> </w:t>
      </w:r>
    </w:p>
    <w:p w14:paraId="1DBCC773" w14:textId="77777777" w:rsidR="00695AE2" w:rsidRPr="00503014" w:rsidRDefault="00695AE2" w:rsidP="00695AE2">
      <w:pPr>
        <w:jc w:val="both"/>
        <w:rPr>
          <w:rFonts w:eastAsia="Times New Roman"/>
          <w:b/>
          <w:bCs/>
          <w:sz w:val="28"/>
          <w:szCs w:val="28"/>
        </w:rPr>
      </w:pPr>
    </w:p>
    <w:p w14:paraId="6E3C457D" w14:textId="77777777" w:rsidR="00695AE2" w:rsidRPr="00503014" w:rsidRDefault="00695AE2" w:rsidP="00695AE2">
      <w:pPr>
        <w:spacing w:line="240" w:lineRule="auto"/>
        <w:jc w:val="both"/>
        <w:rPr>
          <w:rFonts w:eastAsia="Times New Roman"/>
        </w:rPr>
      </w:pPr>
      <w:r w:rsidRPr="00503014">
        <w:rPr>
          <w:rFonts w:eastAsia="Times New Roman"/>
        </w:rPr>
        <w:t xml:space="preserve">V skladu s 37. členom Zakona o dostopu do informacij javnega značaja (v nadaljevanju: </w:t>
      </w:r>
      <w:hyperlink r:id="rId46" w:history="1">
        <w:r w:rsidRPr="00503014">
          <w:rPr>
            <w:rFonts w:eastAsia="Times New Roman"/>
          </w:rPr>
          <w:t>ZDIJZ</w:t>
        </w:r>
      </w:hyperlink>
      <w:r w:rsidRPr="00503014">
        <w:rPr>
          <w:rFonts w:eastAsia="Times New Roman"/>
        </w:rPr>
        <w:t xml:space="preserve">) morajo državni organi in organi lokalnih skupnosti pripraviti letno poročilo o svojem izvajanju tega zakona ter ga poslati Ministrstvu za javno upravo. Vsebina letnega poročila je določena v 27. členu </w:t>
      </w:r>
      <w:hyperlink r:id="rId47" w:history="1">
        <w:r w:rsidRPr="00503014">
          <w:rPr>
            <w:rFonts w:eastAsia="Times New Roman"/>
          </w:rPr>
          <w:t>Uredbe o posredovanju in ponovni uporabi informacij javnega značaja</w:t>
        </w:r>
      </w:hyperlink>
      <w:r w:rsidRPr="00503014">
        <w:rPr>
          <w:rFonts w:eastAsia="Times New Roman"/>
        </w:rPr>
        <w:t>.</w:t>
      </w:r>
    </w:p>
    <w:p w14:paraId="1942CDE4" w14:textId="77777777" w:rsidR="00695AE2" w:rsidRPr="00503014" w:rsidRDefault="00695AE2" w:rsidP="00695AE2">
      <w:pPr>
        <w:tabs>
          <w:tab w:val="left" w:pos="1440"/>
        </w:tabs>
        <w:spacing w:line="240" w:lineRule="auto"/>
        <w:jc w:val="both"/>
      </w:pPr>
    </w:p>
    <w:p w14:paraId="32E15282" w14:textId="77777777" w:rsidR="00695AE2" w:rsidRPr="00503014" w:rsidRDefault="00695AE2" w:rsidP="00695AE2">
      <w:pPr>
        <w:tabs>
          <w:tab w:val="left" w:pos="1440"/>
        </w:tabs>
        <w:spacing w:line="240" w:lineRule="auto"/>
        <w:jc w:val="both"/>
        <w:rPr>
          <w:color w:val="000000"/>
        </w:rPr>
      </w:pPr>
      <w:r w:rsidRPr="00503014">
        <w:t xml:space="preserve">Državno odvetništvo RS je imelo v letu 2025 v delu skupno 219 zahtev za dostop do informacij javnega značaja, od teh je bilo 208 zahtev prejetih v letu 2025, 11 zahtev pa je bilo prenesenih iz leta 2024. </w:t>
      </w:r>
      <w:r w:rsidRPr="00503014">
        <w:rPr>
          <w:color w:val="000000"/>
        </w:rPr>
        <w:t xml:space="preserve">Iz letnega poročila o izvajanju ZDIJZ za leto 2025 izhaja, da je Državno odvetništvo RS v preteklem letu rešilo skupno </w:t>
      </w:r>
      <w:r w:rsidRPr="00503014">
        <w:t xml:space="preserve">197 zahtev (11, prenesenih iz leta 2024 in 186, prejetih v </w:t>
      </w:r>
      <w:r w:rsidRPr="00503014">
        <w:lastRenderedPageBreak/>
        <w:t>letu 2025)</w:t>
      </w:r>
      <w:r w:rsidRPr="00503014">
        <w:rPr>
          <w:color w:val="000000"/>
        </w:rPr>
        <w:t xml:space="preserve">, kar je </w:t>
      </w:r>
      <w:r w:rsidRPr="00503014">
        <w:t>322,9</w:t>
      </w:r>
      <w:r w:rsidRPr="00503014">
        <w:rPr>
          <w:color w:val="000000"/>
        </w:rPr>
        <w:t xml:space="preserve"> odstotkov več kot v letu 2024, ko je bilo rešenih 61 zahtev, </w:t>
      </w:r>
      <w:r w:rsidRPr="00503014">
        <w:t xml:space="preserve">1515,4 odstotkov več kot v letu 2023, ko je bilo rešenih 13 zahtev </w:t>
      </w:r>
      <w:r w:rsidRPr="00503014">
        <w:rPr>
          <w:color w:val="000000"/>
        </w:rPr>
        <w:t xml:space="preserve">in </w:t>
      </w:r>
      <w:r w:rsidRPr="00503014">
        <w:t xml:space="preserve">1094,5 </w:t>
      </w:r>
      <w:r w:rsidRPr="00503014">
        <w:rPr>
          <w:color w:val="000000"/>
        </w:rPr>
        <w:t xml:space="preserve">odstotkov več kot v letu 2022, ko je bilo rešenih 18 zahtev. </w:t>
      </w:r>
    </w:p>
    <w:p w14:paraId="0927254A" w14:textId="77777777" w:rsidR="00695AE2" w:rsidRPr="00503014" w:rsidRDefault="00695AE2" w:rsidP="00695AE2">
      <w:pPr>
        <w:tabs>
          <w:tab w:val="left" w:pos="1440"/>
        </w:tabs>
        <w:spacing w:line="240" w:lineRule="auto"/>
        <w:jc w:val="both"/>
        <w:rPr>
          <w:color w:val="000000"/>
        </w:rPr>
      </w:pPr>
    </w:p>
    <w:p w14:paraId="3DCE361D" w14:textId="77777777" w:rsidR="00695AE2" w:rsidRPr="00503014" w:rsidRDefault="00695AE2" w:rsidP="00695AE2">
      <w:pPr>
        <w:tabs>
          <w:tab w:val="left" w:pos="1440"/>
        </w:tabs>
        <w:spacing w:line="240" w:lineRule="auto"/>
        <w:jc w:val="both"/>
      </w:pPr>
      <w:r w:rsidRPr="00503014">
        <w:rPr>
          <w:color w:val="000000"/>
        </w:rPr>
        <w:t xml:space="preserve">Od skupno rešenih 197 zahtev je bilo v celoti ugodeno 18 zahtevam (9,14 odstotkov), 6 zahtevam (3,04 odstotkov) je bilo delno ugodeno oziroma je bil delno zavrnjen dostop, 151 zahtev prosilcev (76,65 odstotkov) je bilo v celoti zavrnjenih, v 22 zadevah pa je bil izdan sklep o zavrženju zahteve (11,17 odstotkov).  </w:t>
      </w:r>
    </w:p>
    <w:p w14:paraId="2AFED326" w14:textId="77777777" w:rsidR="00695AE2" w:rsidRPr="00503014" w:rsidRDefault="00695AE2" w:rsidP="00695AE2">
      <w:pPr>
        <w:tabs>
          <w:tab w:val="left" w:pos="1440"/>
        </w:tabs>
        <w:spacing w:line="240" w:lineRule="auto"/>
        <w:jc w:val="both"/>
        <w:rPr>
          <w:rFonts w:eastAsia="Calibri"/>
        </w:rPr>
      </w:pPr>
    </w:p>
    <w:p w14:paraId="0CF71FC4" w14:textId="77777777" w:rsidR="00695AE2" w:rsidRPr="00503014" w:rsidRDefault="00695AE2" w:rsidP="00695AE2">
      <w:pPr>
        <w:tabs>
          <w:tab w:val="left" w:pos="1440"/>
        </w:tabs>
        <w:spacing w:line="240" w:lineRule="auto"/>
        <w:jc w:val="both"/>
        <w:rPr>
          <w:rFonts w:eastAsia="Calibri"/>
        </w:rPr>
      </w:pPr>
      <w:bookmarkStart w:id="381" w:name="_Hlk221707814"/>
      <w:r w:rsidRPr="00503014">
        <w:rPr>
          <w:rFonts w:eastAsia="Calibri"/>
        </w:rPr>
        <w:t>Skupno število primerov, v katerih je Državno odvetništvo RS delno ali v celoti zavrnilo zahtevo prosilca, je bilo 157, zahteve pa so bile zavrnjene iz naslednjih razlogov (enega ali več razlogov):</w:t>
      </w:r>
    </w:p>
    <w:bookmarkEnd w:id="381"/>
    <w:p w14:paraId="7F8A5633"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v 48 primerih Državno odvetništvo RS z informacijami javnega značaja, na podlagi katerih bi prosilcu glede te zahteve lahko ugodilo, ni razpolagalo (nista bila izpolnjena drugi in tretji pogoj iz 4. člena ZDIJZ);</w:t>
      </w:r>
    </w:p>
    <w:p w14:paraId="7919E4F9"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v 29 primerih ni šlo za informacijo, ki bi izvirala iz delovnega področja organa (prvi odstavek 4. člena ZDIJZ);</w:t>
      </w:r>
    </w:p>
    <w:p w14:paraId="71722DCC"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v enem primeru je šlo za podatek, ki je na podlagi zakona, ki ureja tajne podatke, opredeljen kot tajen (1. točka prvega odstavka 6. člena ZDIJZ);</w:t>
      </w:r>
    </w:p>
    <w:p w14:paraId="4453E95D"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v 22 primerih so se zahtevane informacije nanašale na varovane osebne podatke (3. točka prvega odstavka 6. člena ZDIJZ);</w:t>
      </w:r>
    </w:p>
    <w:p w14:paraId="622C712C"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 xml:space="preserve">v enem primeru je šlo za podatek, katerega razkritje bi pomenilo kršitev zaupnosti davčnega postopka ali davčne tajnosti, skladno z zakonom, ki ureja davčni postopek (5. točka prvega odstavka 6. člena ZDIJZ); </w:t>
      </w:r>
    </w:p>
    <w:p w14:paraId="5DFE7D66"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 xml:space="preserve">v dveh primerih je bil </w:t>
      </w:r>
      <w:r w:rsidRPr="00503014">
        <w:rPr>
          <w:color w:val="000000"/>
          <w:shd w:val="clear" w:color="auto" w:fill="FFFFFF"/>
        </w:rPr>
        <w:t>podatek pridobljen ali sestavljen zaradi pravdnega postopka in bi njegovo razkritje škodovalo njegovi izvedbi v povezavi s</w:t>
      </w:r>
      <w:r w:rsidRPr="00503014">
        <w:t xml:space="preserve"> predhodnim postopkom po ZDOdv </w:t>
      </w:r>
      <w:bookmarkStart w:id="382" w:name="_Hlk221188659"/>
      <w:r w:rsidRPr="00503014">
        <w:t>(8. točka prvega odstavka 6. člena ZDIJZ)</w:t>
      </w:r>
      <w:bookmarkEnd w:id="382"/>
      <w:r w:rsidRPr="00503014">
        <w:t>;</w:t>
      </w:r>
    </w:p>
    <w:p w14:paraId="071D98C9"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v enem primeru je šlo za podatek iz dokumenta, ki je bil v postopku izdelave in je bil še predmet posvetovanja v organu, njegovo razkritje pa bi povzročilo napačno razumevanje njegove vsebine (</w:t>
      </w:r>
      <w:r w:rsidRPr="00503014">
        <w:rPr>
          <w:rFonts w:eastAsia="Calibri"/>
        </w:rPr>
        <w:t>9. točka prvega odstavka 6. člena ZDIJZ)</w:t>
      </w:r>
      <w:r w:rsidRPr="00503014">
        <w:t xml:space="preserve">; </w:t>
      </w:r>
    </w:p>
    <w:p w14:paraId="157B0B9F"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t>v 13 primerih so se zahtevane informacije nanašale na notranje delovanje/dejavnost organa (</w:t>
      </w:r>
      <w:r w:rsidRPr="00503014">
        <w:rPr>
          <w:rFonts w:eastAsia="Calibri"/>
        </w:rPr>
        <w:t>11. točka prvega odstavka 6. člena ZDIJZ);</w:t>
      </w:r>
    </w:p>
    <w:p w14:paraId="2C7999DF" w14:textId="77777777" w:rsidR="00695AE2" w:rsidRPr="00503014" w:rsidRDefault="00695AE2" w:rsidP="00695AE2">
      <w:pPr>
        <w:numPr>
          <w:ilvl w:val="0"/>
          <w:numId w:val="89"/>
        </w:numPr>
        <w:tabs>
          <w:tab w:val="left" w:pos="1440"/>
        </w:tabs>
        <w:spacing w:line="240" w:lineRule="auto"/>
        <w:contextualSpacing/>
        <w:jc w:val="both"/>
        <w:rPr>
          <w:rFonts w:eastAsia="Calibri"/>
        </w:rPr>
      </w:pPr>
      <w:r w:rsidRPr="00503014">
        <w:rPr>
          <w:rFonts w:eastAsia="Calibri"/>
        </w:rPr>
        <w:t>v 52 primerih pa je šlo za zahteve šikanoznega značaja (peti odstavek 5. člena ZDIJZ).</w:t>
      </w:r>
      <w:r w:rsidRPr="00503014">
        <w:t xml:space="preserve"> </w:t>
      </w:r>
    </w:p>
    <w:p w14:paraId="5010C1F3" w14:textId="77777777" w:rsidR="00695AE2" w:rsidRPr="00503014" w:rsidRDefault="00695AE2" w:rsidP="00695AE2">
      <w:pPr>
        <w:tabs>
          <w:tab w:val="left" w:pos="1440"/>
        </w:tabs>
        <w:spacing w:line="240" w:lineRule="auto"/>
        <w:jc w:val="both"/>
        <w:rPr>
          <w:rFonts w:eastAsia="Calibri"/>
        </w:rPr>
      </w:pPr>
    </w:p>
    <w:p w14:paraId="2DED5B20" w14:textId="77777777" w:rsidR="00695AE2" w:rsidRPr="00503014" w:rsidRDefault="00695AE2" w:rsidP="00695AE2">
      <w:pPr>
        <w:tabs>
          <w:tab w:val="left" w:pos="1440"/>
        </w:tabs>
        <w:spacing w:line="240" w:lineRule="auto"/>
        <w:contextualSpacing/>
        <w:jc w:val="both"/>
        <w:rPr>
          <w:rFonts w:eastAsia="Calibri"/>
        </w:rPr>
      </w:pPr>
      <w:r w:rsidRPr="00503014">
        <w:rPr>
          <w:rFonts w:eastAsia="Calibri"/>
        </w:rPr>
        <w:t xml:space="preserve">Pri Informacijskem pooblaščencu je bilo v letu 2025 vloženih skupno 89 pritožb, od katerih je Informacijski pooblaščenec v 69 zadevah pritožbo v celoti zavrnil, v eni zadevi je pritožbi delno ugodil oziroma jo delno zavrnil, v eni zadevi pa je Informacijski pooblaščenec pritožbo zavrgel. </w:t>
      </w:r>
    </w:p>
    <w:p w14:paraId="05CD97EC" w14:textId="77777777" w:rsidR="00695AE2" w:rsidRPr="00503014" w:rsidRDefault="00695AE2" w:rsidP="00695AE2">
      <w:pPr>
        <w:tabs>
          <w:tab w:val="left" w:pos="1440"/>
        </w:tabs>
        <w:spacing w:line="240" w:lineRule="auto"/>
        <w:contextualSpacing/>
        <w:jc w:val="both"/>
        <w:rPr>
          <w:rFonts w:eastAsia="Calibri"/>
          <w:sz w:val="28"/>
          <w:szCs w:val="28"/>
        </w:rPr>
      </w:pPr>
    </w:p>
    <w:p w14:paraId="3B49DC2D" w14:textId="77777777" w:rsidR="00695AE2" w:rsidRPr="00503014" w:rsidRDefault="00695AE2" w:rsidP="00695AE2">
      <w:pPr>
        <w:pStyle w:val="Naslov3"/>
      </w:pPr>
      <w:bookmarkStart w:id="383" w:name="_Toc223093859"/>
      <w:r w:rsidRPr="00503014">
        <w:t>Področje varstva osebnih podatkov</w:t>
      </w:r>
      <w:bookmarkEnd w:id="383"/>
      <w:r w:rsidRPr="00503014">
        <w:t xml:space="preserve"> </w:t>
      </w:r>
    </w:p>
    <w:p w14:paraId="1B9080F8" w14:textId="77777777" w:rsidR="00695AE2" w:rsidRPr="000F5854" w:rsidRDefault="00695AE2" w:rsidP="00695AE2">
      <w:pPr>
        <w:pStyle w:val="Jasna"/>
        <w:rPr>
          <w:sz w:val="28"/>
          <w:szCs w:val="28"/>
        </w:rPr>
      </w:pPr>
    </w:p>
    <w:p w14:paraId="11B05CAC" w14:textId="77777777" w:rsidR="00695AE2" w:rsidRPr="00503014" w:rsidRDefault="00695AE2" w:rsidP="00695AE2">
      <w:pPr>
        <w:spacing w:line="240" w:lineRule="auto"/>
        <w:jc w:val="both"/>
      </w:pPr>
      <w:r w:rsidRPr="00503014">
        <w:rPr>
          <w:color w:val="000000" w:themeColor="text1"/>
        </w:rPr>
        <w:t xml:space="preserve">Državno odvetništvo RS pri izvajanju </w:t>
      </w:r>
      <w:r w:rsidRPr="00503014">
        <w:t>nalog na področju varstva premoženjskih in drugih pravic in interesov države prek pravnega zastopanja pred sodišči in upravnimi organi v Republiki Sloveniji, pred tujimi sodišči in tujimi arbitražami ter pred mednarodnimi sodišči in mednarodnimi arbitražami, opravljanju nalog pravnega svetovanja, mirnega reševanja sporov v predhodnem postopku in drugih nalog, določenih z ZDOdv ali drugimi zakoni, obravnava tudi osebne podatke.</w:t>
      </w:r>
    </w:p>
    <w:p w14:paraId="35DFFD44" w14:textId="77777777" w:rsidR="00695AE2" w:rsidRPr="00503014" w:rsidRDefault="00695AE2" w:rsidP="00695AE2">
      <w:pPr>
        <w:shd w:val="clear" w:color="auto" w:fill="FFFFFF"/>
        <w:spacing w:line="240" w:lineRule="auto"/>
        <w:jc w:val="both"/>
        <w:rPr>
          <w:rFonts w:eastAsia="Times New Roman"/>
          <w:lang w:eastAsia="sl-SI"/>
        </w:rPr>
      </w:pPr>
    </w:p>
    <w:p w14:paraId="6D03D7D1" w14:textId="77777777" w:rsidR="00695AE2" w:rsidRPr="00503014" w:rsidRDefault="00695AE2" w:rsidP="00695AE2">
      <w:pPr>
        <w:shd w:val="clear" w:color="auto" w:fill="FFFFFF"/>
        <w:spacing w:line="240" w:lineRule="auto"/>
        <w:jc w:val="both"/>
        <w:rPr>
          <w:rFonts w:eastAsia="Times New Roman"/>
          <w:lang w:eastAsia="sl-SI"/>
        </w:rPr>
      </w:pPr>
      <w:r w:rsidRPr="00503014">
        <w:rPr>
          <w:rFonts w:eastAsia="Times New Roman"/>
          <w:lang w:eastAsia="sl-SI"/>
        </w:rPr>
        <w:lastRenderedPageBreak/>
        <w:t xml:space="preserve">Obravnava osebnih podatkov temelji na določbi točke e) prvega odstavka člena 6 Splošne uredbe o varstvu podatkov (Uredba (EU) 2016/679 Evropskega parlamenta in Sveta z dne 27. aprila 2016 o varstvu posameznikov pri obdelavi osebnih podatkov in o prostem pretoku takih podatkov ter o razveljavitvi Direktive 95/46/ES; GDPR), ki določa, da je obdelava osebnih podatkov zakonita, če je potrebna za opravljanje naloge v javnem interesu ali pri izvajanju javne oblasti, dodeljene upravljavcu. Način ravnanja z osebnimi podatki ter organizacijski, fizični, tehnični postopki in ukrepi zavarovanja osebnih podatkov so določeni v členih od 138 do 143 Pravilnika o poslovanju državnega odvetništva. </w:t>
      </w:r>
      <w:bookmarkStart w:id="384" w:name="_Hlk135994455"/>
      <w:r w:rsidRPr="00503014">
        <w:rPr>
          <w:rFonts w:eastAsia="Times New Roman"/>
          <w:lang w:eastAsia="sl-SI"/>
        </w:rPr>
        <w:t>Zaradi obravnavanja in reševanja posamezne zadeve ima Državno odvetništvo RS, v skladu s 7. členom ZDOdv, pravico do brezplačnega dostopa oziroma brezplačnega neposrednega elektronskega dostopa do informatiziranih vpisnikov sodišč in vseh javnih knjig, registrov in uradnih evidenc, ki jih upravljajo organi javnega sektorja v informatizirani obliki. V navedene zbirke podatkov Državno odvetništvo RS dostopa z navedbo namena dostopa in opravilne številke, pod katero se na Državnem odvetništvu RS zadeva vodi. Državno odvetništvo RS lahko v podatke iz zbirk podatkov vpogleda, jih kopira, prepiše ali izpiše in naprej obdeluje v postopkih, v katerih izvršuje svoje zakonsko določene pristojnosti.</w:t>
      </w:r>
      <w:bookmarkEnd w:id="384"/>
      <w:r w:rsidRPr="00503014">
        <w:rPr>
          <w:rFonts w:eastAsia="Times New Roman"/>
          <w:lang w:eastAsia="sl-SI"/>
        </w:rPr>
        <w:t xml:space="preserve"> Gre za zbiranje osebnih podatkov, ki so nujno potrebni za pripravo procesnih aktov v sodnih postopkih, v katerih Državno odvetništvo RS  na eni strani nastopa kot zastopnik države oziroma državnih organov, na drugi strani pa so stranke fizične osebe.</w:t>
      </w:r>
    </w:p>
    <w:p w14:paraId="477B5D05" w14:textId="77777777" w:rsidR="00695AE2" w:rsidRPr="00503014" w:rsidRDefault="00695AE2" w:rsidP="00695AE2">
      <w:pPr>
        <w:spacing w:line="240" w:lineRule="auto"/>
        <w:jc w:val="both"/>
        <w:rPr>
          <w:rFonts w:eastAsia="Times New Roman"/>
        </w:rPr>
      </w:pPr>
    </w:p>
    <w:p w14:paraId="62AC5877" w14:textId="77777777" w:rsidR="00695AE2" w:rsidRPr="00503014" w:rsidRDefault="00695AE2" w:rsidP="00695AE2">
      <w:pPr>
        <w:spacing w:line="240" w:lineRule="auto"/>
        <w:jc w:val="both"/>
        <w:rPr>
          <w:rFonts w:eastAsia="Times New Roman"/>
        </w:rPr>
      </w:pPr>
      <w:r w:rsidRPr="00503014">
        <w:rPr>
          <w:rFonts w:eastAsia="Times New Roman"/>
        </w:rPr>
        <w:t>V letu 2025 je Državno odvetništvo RS sprejelo Oceno učinkov na varstvo podatkov za Informacijski sistem Feniks, v kateri so obdelana tveganja in določeni ukrepi za zmanjšanje ugotovljenih tveganj.</w:t>
      </w:r>
    </w:p>
    <w:p w14:paraId="08CAAA4C" w14:textId="77777777" w:rsidR="00695AE2" w:rsidRPr="000F5854" w:rsidRDefault="00695AE2" w:rsidP="00695AE2">
      <w:pPr>
        <w:pStyle w:val="Jasna"/>
        <w:rPr>
          <w:sz w:val="28"/>
          <w:szCs w:val="28"/>
        </w:rPr>
      </w:pPr>
    </w:p>
    <w:p w14:paraId="61F3C9A6" w14:textId="77777777" w:rsidR="00695AE2" w:rsidRPr="00503014" w:rsidRDefault="00695AE2" w:rsidP="00695AE2">
      <w:pPr>
        <w:pStyle w:val="Naslov3"/>
      </w:pPr>
      <w:bookmarkStart w:id="385" w:name="_Toc223093860"/>
      <w:r w:rsidRPr="00503014">
        <w:t>Področje ravnanja in varovanja tajnih podatkov</w:t>
      </w:r>
      <w:bookmarkEnd w:id="385"/>
      <w:r w:rsidRPr="00503014">
        <w:t xml:space="preserve"> </w:t>
      </w:r>
    </w:p>
    <w:p w14:paraId="608BCD4E" w14:textId="77777777" w:rsidR="00695AE2" w:rsidRPr="00503014" w:rsidRDefault="00695AE2" w:rsidP="00695AE2">
      <w:pPr>
        <w:tabs>
          <w:tab w:val="left" w:pos="1440"/>
        </w:tabs>
        <w:spacing w:line="240" w:lineRule="auto"/>
        <w:contextualSpacing/>
        <w:jc w:val="both"/>
        <w:rPr>
          <w:rFonts w:eastAsia="Calibri"/>
        </w:rPr>
      </w:pPr>
    </w:p>
    <w:p w14:paraId="6E5007AB" w14:textId="77777777" w:rsidR="00695AE2" w:rsidRPr="00503014" w:rsidRDefault="00695AE2" w:rsidP="00695AE2">
      <w:pPr>
        <w:shd w:val="clear" w:color="auto" w:fill="FFFFFF"/>
        <w:spacing w:line="240" w:lineRule="auto"/>
        <w:jc w:val="both"/>
      </w:pPr>
      <w:r w:rsidRPr="00503014">
        <w:t xml:space="preserve">Državno odvetništvo RS se pri izvajanju nalog pravnega zastopanja pred sodišči in upravnimi organi v Republiki Sloveniji, pred tujimi sodišči in tujimi arbitražami ter pred mednarodnimi sodišči in mednarodnimi arbitražami, pravnega svetovanja, mirnega reševanja sporov v predhodnem postopku in drugih nalog, določenih z ZDOdv ali drugimi zakoni srečuje tudi s podatki in dokumenti, ki vsebujejo tajne podatke v smislu Zakona o tajnih podatkih (v nadaljevanju: ZTP). Državno odvetništvo RS je v zvezi z obravnavo tajnih podatkov v juliju 2024 izdalo interno Navodilo o obravnavanju in varovanju tajnih podatkov. </w:t>
      </w:r>
    </w:p>
    <w:p w14:paraId="0F431F43" w14:textId="77777777" w:rsidR="00695AE2" w:rsidRPr="00503014" w:rsidRDefault="00695AE2" w:rsidP="00695AE2">
      <w:pPr>
        <w:shd w:val="clear" w:color="auto" w:fill="FFFFFF"/>
        <w:spacing w:line="240" w:lineRule="auto"/>
        <w:jc w:val="both"/>
        <w:rPr>
          <w:rFonts w:eastAsia="Times New Roman"/>
          <w:lang w:eastAsia="sl-SI"/>
        </w:rPr>
      </w:pPr>
    </w:p>
    <w:p w14:paraId="1D1315CC" w14:textId="77777777" w:rsidR="00695AE2" w:rsidRPr="00503014" w:rsidRDefault="00695AE2" w:rsidP="00695AE2">
      <w:pPr>
        <w:shd w:val="clear" w:color="auto" w:fill="FFFFFF"/>
        <w:spacing w:line="240" w:lineRule="auto"/>
        <w:jc w:val="both"/>
        <w:rPr>
          <w:rFonts w:eastAsia="Times New Roman"/>
          <w:lang w:eastAsia="sl-SI"/>
        </w:rPr>
      </w:pPr>
      <w:r w:rsidRPr="00503014">
        <w:rPr>
          <w:rFonts w:eastAsia="Times New Roman"/>
          <w:lang w:eastAsia="sl-SI"/>
        </w:rPr>
        <w:t xml:space="preserve">Osebe, ki na Državnem odvetništvu RS dostopajo do tajnih podatkov, so: </w:t>
      </w:r>
    </w:p>
    <w:p w14:paraId="0037FF64" w14:textId="77777777" w:rsidR="00695AE2" w:rsidRPr="00503014" w:rsidRDefault="00695AE2" w:rsidP="00695AE2">
      <w:pPr>
        <w:numPr>
          <w:ilvl w:val="0"/>
          <w:numId w:val="90"/>
        </w:numPr>
        <w:shd w:val="clear" w:color="auto" w:fill="FFFFFF"/>
        <w:spacing w:line="240" w:lineRule="auto"/>
        <w:jc w:val="both"/>
        <w:rPr>
          <w:rFonts w:eastAsia="Times New Roman"/>
          <w:lang w:eastAsia="sl-SI"/>
        </w:rPr>
      </w:pPr>
      <w:r w:rsidRPr="00503014">
        <w:rPr>
          <w:rFonts w:eastAsia="Times New Roman"/>
          <w:lang w:eastAsia="sl-SI"/>
        </w:rPr>
        <w:t>generalni državni odvetnik in namestnik generalnega državnega odvetnika za čas opravljanja funkcije (prvi in drugi odstavek 3. člena ZTP),</w:t>
      </w:r>
    </w:p>
    <w:p w14:paraId="7F4D4F5B" w14:textId="77777777" w:rsidR="00695AE2" w:rsidRPr="00503014" w:rsidRDefault="00695AE2" w:rsidP="00695AE2">
      <w:pPr>
        <w:numPr>
          <w:ilvl w:val="0"/>
          <w:numId w:val="90"/>
        </w:numPr>
        <w:shd w:val="clear" w:color="auto" w:fill="FFFFFF"/>
        <w:spacing w:line="240" w:lineRule="auto"/>
        <w:jc w:val="both"/>
        <w:rPr>
          <w:rFonts w:eastAsia="Times New Roman"/>
          <w:lang w:eastAsia="sl-SI"/>
        </w:rPr>
      </w:pPr>
      <w:r w:rsidRPr="00503014">
        <w:rPr>
          <w:rFonts w:eastAsia="Times New Roman"/>
          <w:lang w:eastAsia="sl-SI"/>
        </w:rPr>
        <w:t>zaposleni, k imajo dovoljenje za dostop do tajnih podatkov v skladu z ZTP.</w:t>
      </w:r>
    </w:p>
    <w:p w14:paraId="53EA4075" w14:textId="77777777" w:rsidR="00695AE2" w:rsidRPr="00503014" w:rsidRDefault="00695AE2" w:rsidP="00695AE2">
      <w:pPr>
        <w:shd w:val="clear" w:color="auto" w:fill="FFFFFF"/>
        <w:spacing w:line="240" w:lineRule="auto"/>
        <w:jc w:val="both"/>
      </w:pPr>
    </w:p>
    <w:p w14:paraId="5CB7AE08" w14:textId="77777777" w:rsidR="00695AE2" w:rsidRPr="00503014" w:rsidRDefault="00695AE2" w:rsidP="00695AE2">
      <w:pPr>
        <w:shd w:val="clear" w:color="auto" w:fill="FFFFFF"/>
        <w:spacing w:line="240" w:lineRule="auto"/>
        <w:jc w:val="both"/>
        <w:rPr>
          <w:lang w:eastAsia="sl-SI"/>
        </w:rPr>
      </w:pPr>
      <w:r w:rsidRPr="00503014">
        <w:t xml:space="preserve">V letu 2025 so bi zaposleni, </w:t>
      </w:r>
      <w:r w:rsidRPr="00503014">
        <w:rPr>
          <w:shd w:val="clear" w:color="auto" w:fill="FFFFFF"/>
          <w:lang w:eastAsia="sl-SI"/>
        </w:rPr>
        <w:t>ki imajo dostop do tajnih podatkov in obravnavajo tajne podatke stopnje tajnosti ZAUPNO ali višje stopnje, napoteni na dodatno </w:t>
      </w:r>
      <w:r w:rsidRPr="00503014">
        <w:rPr>
          <w:lang w:eastAsia="sl-SI"/>
        </w:rPr>
        <w:t>letno </w:t>
      </w:r>
      <w:r w:rsidRPr="00503014">
        <w:rPr>
          <w:shd w:val="clear" w:color="auto" w:fill="FFFFFF"/>
          <w:lang w:eastAsia="sl-SI"/>
        </w:rPr>
        <w:t>usposabljanje s področja obravnavanja in varovanja tajnih podatkov</w:t>
      </w:r>
      <w:r w:rsidRPr="00503014">
        <w:rPr>
          <w:lang w:eastAsia="sl-SI"/>
        </w:rPr>
        <w:t>.</w:t>
      </w:r>
    </w:p>
    <w:p w14:paraId="0D9C4778" w14:textId="77777777" w:rsidR="00695AE2" w:rsidRPr="00503014" w:rsidRDefault="00695AE2" w:rsidP="00695AE2">
      <w:pPr>
        <w:shd w:val="clear" w:color="auto" w:fill="FFFFFF"/>
        <w:spacing w:line="240" w:lineRule="auto"/>
        <w:jc w:val="both"/>
        <w:rPr>
          <w:rFonts w:eastAsia="Times New Roman"/>
          <w:lang w:eastAsia="sl-SI"/>
        </w:rPr>
      </w:pPr>
    </w:p>
    <w:p w14:paraId="3F6E82E9" w14:textId="77777777" w:rsidR="00695AE2" w:rsidRPr="00503014" w:rsidRDefault="00695AE2" w:rsidP="00695AE2">
      <w:pPr>
        <w:shd w:val="clear" w:color="auto" w:fill="FFFFFF"/>
        <w:spacing w:line="240" w:lineRule="auto"/>
        <w:jc w:val="both"/>
        <w:rPr>
          <w:rFonts w:eastAsia="Times New Roman"/>
          <w:lang w:eastAsia="sl-SI"/>
        </w:rPr>
      </w:pPr>
      <w:r w:rsidRPr="00503014">
        <w:rPr>
          <w:rFonts w:eastAsia="Times New Roman"/>
          <w:lang w:eastAsia="sl-SI"/>
        </w:rPr>
        <w:t>Na podlagi 41. člena ZTP in 5. člena Uredbe o notranjem nadzoru nad izvajanjem zakona o tajnih podatkih in predpisov, izdanih na njegovi podlagi (Uradni list RS, št. 106/02) ter Letnim načrtom notranjih nadzorov je bil tudi v letu 2025 izveden tematski notranji nadzor nad izvajanjem ZTP in predpisi, izdanimi na njegovi podlagi.</w:t>
      </w:r>
    </w:p>
    <w:p w14:paraId="75947E1A" w14:textId="77777777" w:rsidR="00695AE2" w:rsidRPr="00503014" w:rsidRDefault="00695AE2" w:rsidP="00695AE2">
      <w:pPr>
        <w:pStyle w:val="Naslov3"/>
        <w:rPr>
          <w:lang w:eastAsia="sl-SI"/>
        </w:rPr>
      </w:pPr>
      <w:bookmarkStart w:id="386" w:name="_Toc168844861"/>
      <w:bookmarkStart w:id="387" w:name="_Toc191561858"/>
      <w:bookmarkStart w:id="388" w:name="_Toc223093861"/>
      <w:r w:rsidRPr="00503014">
        <w:rPr>
          <w:lang w:eastAsia="sl-SI"/>
        </w:rPr>
        <w:lastRenderedPageBreak/>
        <w:t>Standardi profesionalne etike državnih odvetnikov</w:t>
      </w:r>
      <w:bookmarkEnd w:id="386"/>
      <w:bookmarkEnd w:id="387"/>
      <w:bookmarkEnd w:id="388"/>
    </w:p>
    <w:p w14:paraId="5CB6A5E0" w14:textId="77777777" w:rsidR="00695AE2" w:rsidRPr="00503014" w:rsidRDefault="00695AE2" w:rsidP="00695AE2">
      <w:pPr>
        <w:spacing w:line="240" w:lineRule="auto"/>
        <w:rPr>
          <w:rFonts w:eastAsia="Calibri"/>
          <w:sz w:val="28"/>
          <w:szCs w:val="28"/>
        </w:rPr>
      </w:pPr>
    </w:p>
    <w:p w14:paraId="66067B15"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 xml:space="preserve">Z namenom zagotavljanja najvišjih standardov delovanja Državnega odvetništva RS na področju varovanja premoženjskih in ustavnih interesov Republike Slovenije ter zaščite javnega interesa so bili na Državnem odvetništvu RS sprejeti Standardi profesionalne etike državnih odvetnikov. </w:t>
      </w:r>
    </w:p>
    <w:p w14:paraId="21ACC65F" w14:textId="77777777" w:rsidR="00695AE2" w:rsidRPr="00503014" w:rsidRDefault="00695AE2" w:rsidP="00695AE2">
      <w:pPr>
        <w:spacing w:line="240" w:lineRule="auto"/>
        <w:jc w:val="both"/>
        <w:rPr>
          <w:rFonts w:eastAsia="Times New Roman"/>
          <w:lang w:eastAsia="sl-SI"/>
        </w:rPr>
      </w:pPr>
    </w:p>
    <w:p w14:paraId="7C42FA02"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Standardi profesionalne etike se uporabljajo za generalnega državnega odvetnika, namestnika</w:t>
      </w:r>
      <w:r w:rsidRPr="00503014">
        <w:rPr>
          <w:rFonts w:eastAsia="Calibri"/>
          <w:lang w:eastAsia="sl-SI"/>
        </w:rPr>
        <w:t xml:space="preserve"> generalnega državnega odvetnika</w:t>
      </w:r>
      <w:r w:rsidRPr="00503014">
        <w:rPr>
          <w:rFonts w:eastAsia="Times New Roman"/>
          <w:lang w:eastAsia="sl-SI"/>
        </w:rPr>
        <w:t xml:space="preserve">, višje državne odvetnike </w:t>
      </w:r>
      <w:r w:rsidRPr="00503014">
        <w:rPr>
          <w:rFonts w:eastAsia="Calibri"/>
          <w:lang w:eastAsia="sl-SI"/>
        </w:rPr>
        <w:t xml:space="preserve">in </w:t>
      </w:r>
      <w:r w:rsidRPr="00503014">
        <w:rPr>
          <w:rFonts w:eastAsia="Times New Roman"/>
          <w:lang w:eastAsia="sl-SI"/>
        </w:rPr>
        <w:t>državne odvetnike</w:t>
      </w:r>
      <w:r w:rsidRPr="00503014">
        <w:rPr>
          <w:rFonts w:eastAsia="Calibri"/>
          <w:lang w:eastAsia="sl-SI"/>
        </w:rPr>
        <w:t xml:space="preserve"> ter smiselno tudi za </w:t>
      </w:r>
      <w:r w:rsidRPr="00503014">
        <w:rPr>
          <w:rFonts w:eastAsia="Times New Roman"/>
          <w:lang w:eastAsia="sl-SI"/>
        </w:rPr>
        <w:t>kandidate za državne odvetnike, pravnike in pripravnike v okviru Državnega odvetništva RS</w:t>
      </w:r>
      <w:r w:rsidRPr="00503014">
        <w:rPr>
          <w:rFonts w:eastAsia="Calibri"/>
          <w:lang w:eastAsia="sl-SI"/>
        </w:rPr>
        <w:t>.</w:t>
      </w:r>
    </w:p>
    <w:p w14:paraId="307E1437" w14:textId="77777777" w:rsidR="00695AE2" w:rsidRPr="00503014" w:rsidRDefault="00695AE2" w:rsidP="00695AE2">
      <w:pPr>
        <w:spacing w:line="240" w:lineRule="auto"/>
        <w:jc w:val="both"/>
        <w:rPr>
          <w:rFonts w:eastAsia="Times New Roman"/>
          <w:lang w:eastAsia="sl-SI"/>
        </w:rPr>
      </w:pPr>
    </w:p>
    <w:p w14:paraId="6FDA54A0" w14:textId="77777777" w:rsidR="00695AE2" w:rsidRDefault="00695AE2" w:rsidP="00695AE2">
      <w:pPr>
        <w:spacing w:line="240" w:lineRule="auto"/>
        <w:jc w:val="both"/>
        <w:rPr>
          <w:rFonts w:eastAsia="Times New Roman"/>
          <w:lang w:eastAsia="sl-SI"/>
        </w:rPr>
      </w:pPr>
      <w:r w:rsidRPr="00503014">
        <w:rPr>
          <w:rFonts w:eastAsia="Times New Roman"/>
          <w:lang w:eastAsia="sl-SI"/>
        </w:rPr>
        <w:t>Gre za zapis temeljnih načel, pravil in</w:t>
      </w:r>
      <w:r w:rsidRPr="00503014">
        <w:rPr>
          <w:rFonts w:eastAsia="Times New Roman"/>
        </w:rPr>
        <w:t xml:space="preserve"> vodil, po katerih se ravnajo prej navedene osebe in so izraz njihovega odnosa do pomembnih etičnih in moralnih načel ravnanja in vedenja. </w:t>
      </w:r>
      <w:r w:rsidRPr="00503014">
        <w:rPr>
          <w:rFonts w:eastAsia="Times New Roman"/>
          <w:lang w:eastAsia="sl-SI"/>
        </w:rPr>
        <w:t>Ti standardi imajo ključno vlogo pri ohranjanju ugleda države in državnega odvetništva kot samostojnega in neodvisnega državnega organa ter prispevajo h krepitvi zaupanja javnosti v pravosodne institucije in vrednote pravne države.</w:t>
      </w:r>
    </w:p>
    <w:p w14:paraId="25ED6561" w14:textId="77777777" w:rsidR="00695AE2" w:rsidRDefault="00695AE2" w:rsidP="00695AE2">
      <w:pPr>
        <w:spacing w:line="240" w:lineRule="auto"/>
        <w:jc w:val="both"/>
        <w:rPr>
          <w:rFonts w:eastAsia="Times New Roman"/>
          <w:lang w:eastAsia="sl-SI"/>
        </w:rPr>
      </w:pPr>
    </w:p>
    <w:p w14:paraId="1F56F968" w14:textId="77777777" w:rsidR="00695AE2" w:rsidRPr="00503014" w:rsidRDefault="00695AE2" w:rsidP="00695AE2">
      <w:pPr>
        <w:pStyle w:val="Naslov3"/>
        <w:rPr>
          <w:lang w:eastAsia="sl-SI"/>
        </w:rPr>
      </w:pPr>
      <w:bookmarkStart w:id="389" w:name="_Toc223093862"/>
      <w:r>
        <w:rPr>
          <w:lang w:eastAsia="sl-SI"/>
        </w:rPr>
        <w:t>Skrb za okolje</w:t>
      </w:r>
      <w:bookmarkEnd w:id="389"/>
    </w:p>
    <w:p w14:paraId="66AAC2FA" w14:textId="77777777" w:rsidR="00695AE2" w:rsidRPr="00503014" w:rsidRDefault="00695AE2" w:rsidP="00695AE2">
      <w:pPr>
        <w:spacing w:line="240" w:lineRule="auto"/>
        <w:jc w:val="both"/>
        <w:rPr>
          <w:rFonts w:eastAsia="Times New Roman"/>
          <w:lang w:eastAsia="sl-SI"/>
        </w:rPr>
      </w:pPr>
    </w:p>
    <w:p w14:paraId="4006D380" w14:textId="77777777" w:rsidR="00695AE2" w:rsidRPr="00503014" w:rsidRDefault="00695AE2" w:rsidP="00695AE2">
      <w:pPr>
        <w:spacing w:line="240" w:lineRule="auto"/>
        <w:jc w:val="both"/>
        <w:rPr>
          <w:rFonts w:eastAsia="Times New Roman"/>
          <w:bCs/>
        </w:rPr>
      </w:pPr>
      <w:r w:rsidRPr="00503014">
        <w:rPr>
          <w:rFonts w:eastAsia="Times New Roman"/>
          <w:bCs/>
        </w:rPr>
        <w:t xml:space="preserve">Državno odvetništvo RS veliko skrb posveča varovanju okolja. V ta namen je bila v Standarde profesionalne etike državnih odvetnikov vključena posebna določba o tem, da mora biti državni odvetnik okoljsko ozaveščen, da ima odgovoren odnos do okolja in da s svojim zgledom promovira skrb za okolje in deluje okolju prijazno. </w:t>
      </w:r>
    </w:p>
    <w:p w14:paraId="60ECB7CE" w14:textId="77777777" w:rsidR="00695AE2" w:rsidRPr="00503014" w:rsidRDefault="00695AE2" w:rsidP="00695AE2">
      <w:pPr>
        <w:spacing w:line="240" w:lineRule="auto"/>
        <w:jc w:val="both"/>
        <w:rPr>
          <w:rFonts w:eastAsia="Times New Roman"/>
          <w:bCs/>
        </w:rPr>
      </w:pPr>
    </w:p>
    <w:p w14:paraId="74543FA9" w14:textId="77777777" w:rsidR="00695AE2" w:rsidRPr="00DD3077" w:rsidRDefault="00695AE2" w:rsidP="00695AE2">
      <w:pPr>
        <w:spacing w:line="240" w:lineRule="auto"/>
        <w:jc w:val="both"/>
        <w:rPr>
          <w:rFonts w:eastAsia="Times New Roman"/>
          <w:lang w:eastAsia="sl-SI"/>
        </w:rPr>
      </w:pPr>
      <w:r w:rsidRPr="00503014">
        <w:rPr>
          <w:rFonts w:eastAsia="Times New Roman"/>
          <w:bCs/>
        </w:rPr>
        <w:t xml:space="preserve">Državni odvetniki to zavezo sprejemamo z vso odgovornostjo in zavedanjem, da ravnanje v skladu z njo in dajanje zgleda od nas pogosto zahtevata premik iz cone udobja. Že v preteklih letih smo se zato v okviru reprezentance odrekli vodi v plastenkah, znotraj poslovnih prostorov pa tudi vodnim balonom. Kljub bolj zamudni organizaciji in manj udobnim potovanjem smo prešli na organizacijo avtobusnih prevozov v primeru službenih poti večjega števila zaposlenih v določen kraj, kar je postala redna praksa predvsem pri izobraževanjih v izvedbi Državnega odvetništva </w:t>
      </w:r>
      <w:r>
        <w:rPr>
          <w:rFonts w:eastAsia="Times New Roman"/>
          <w:bCs/>
        </w:rPr>
        <w:t xml:space="preserve">RS </w:t>
      </w:r>
      <w:r w:rsidRPr="00503014">
        <w:rPr>
          <w:rFonts w:eastAsia="Times New Roman"/>
          <w:bCs/>
        </w:rPr>
        <w:t xml:space="preserve">in pri srečanjih širšega kolegija vodij v različnih krajih po Sloveniji. </w:t>
      </w:r>
      <w:r w:rsidRPr="00DD3077">
        <w:rPr>
          <w:rFonts w:eastAsia="Times New Roman"/>
          <w:lang w:eastAsia="sl-SI"/>
        </w:rPr>
        <w:t>Trajnostna mobilnost zaposlenih in posledično zmanjšanje okoljskih obremenitev zaradi prometa se spodbuja tudi z zagotavljanjem souporabe električnih vozil, službenih koles ter z omogočanjem dela na daljavo.</w:t>
      </w:r>
    </w:p>
    <w:p w14:paraId="5F1B30D3" w14:textId="77777777" w:rsidR="00695AE2" w:rsidRDefault="00695AE2" w:rsidP="00695AE2">
      <w:pPr>
        <w:spacing w:line="240" w:lineRule="auto"/>
        <w:jc w:val="both"/>
        <w:rPr>
          <w:rFonts w:eastAsia="Times New Roman"/>
          <w:bCs/>
        </w:rPr>
      </w:pPr>
    </w:p>
    <w:p w14:paraId="312D075D" w14:textId="77777777" w:rsidR="00695AE2" w:rsidRPr="00DD3077" w:rsidRDefault="00695AE2" w:rsidP="00695AE2">
      <w:pPr>
        <w:spacing w:line="240" w:lineRule="auto"/>
        <w:jc w:val="both"/>
        <w:rPr>
          <w:rFonts w:eastAsia="Times New Roman"/>
          <w:lang w:eastAsia="sl-SI"/>
        </w:rPr>
      </w:pPr>
      <w:r w:rsidRPr="00DD3077">
        <w:rPr>
          <w:rFonts w:eastAsia="Times New Roman"/>
          <w:lang w:eastAsia="sl-SI"/>
        </w:rPr>
        <w:t xml:space="preserve">Državno odvetništvo RS v svoje poslovanje načrtno vključuje vse širši nabor ukrepov za zmanjševanje negativnih vplivov na okolje ter za spodbujanje trajnostnega ravnanja z viri. Na področju uporabe informacijske tehnologije je Državno odvetništvo RS že ped leti v pretežno lastni organizaciji vzpostavilo svoj intranet, ki vsakoletno pomembno zmanjšuje obseg poslane elektronske pošte znotraj organa, s tem pa tudi ogljični odtis. Med ključnimi ukrepi na področju učinkovite rabe energije in naravnih virov je tudi uvedba politike ene naprave, v skladu s katero so zaposleni tudi v letu 2025 postopno prehajali na uporabo prenosnih računalnikov s priklopno postajo namesto stacionarnih delovnih postaj, s čimer se bistveno zmanjšujejo poraba električne energije, stroški delovanja, na dolgi rok pa tudi količina dotrajane strojne opreme, ki predstavlja odpadni material. Zaposleni vse bolj prehajajo na </w:t>
      </w:r>
      <w:r w:rsidRPr="00DD3077">
        <w:rPr>
          <w:rFonts w:eastAsia="Times New Roman"/>
          <w:lang w:eastAsia="sl-SI"/>
        </w:rPr>
        <w:lastRenderedPageBreak/>
        <w:t xml:space="preserve">skupno uporabo mrežnih tiskalnikov, obvezno dvostransko tiskanje kot privzeto nastavitev ter elektronsko podpisovanje dokumentov. </w:t>
      </w:r>
    </w:p>
    <w:p w14:paraId="2780462A" w14:textId="77777777" w:rsidR="00695AE2" w:rsidRPr="00DD3077" w:rsidRDefault="00695AE2" w:rsidP="00695AE2">
      <w:pPr>
        <w:spacing w:line="240" w:lineRule="auto"/>
        <w:jc w:val="both"/>
        <w:rPr>
          <w:rFonts w:eastAsia="Times New Roman"/>
          <w:lang w:eastAsia="sl-SI"/>
        </w:rPr>
      </w:pPr>
    </w:p>
    <w:p w14:paraId="7F1088C1" w14:textId="77777777" w:rsidR="00695AE2" w:rsidRPr="00DD3077" w:rsidRDefault="00695AE2" w:rsidP="00695AE2">
      <w:pPr>
        <w:spacing w:line="240" w:lineRule="auto"/>
        <w:jc w:val="both"/>
        <w:rPr>
          <w:rFonts w:eastAsia="Times New Roman"/>
          <w:lang w:eastAsia="sl-SI"/>
        </w:rPr>
      </w:pPr>
      <w:r w:rsidRPr="00DD3077">
        <w:rPr>
          <w:rFonts w:eastAsia="Times New Roman"/>
          <w:lang w:eastAsia="sl-SI"/>
        </w:rPr>
        <w:t xml:space="preserve">Na področju ravnanja z odpadki se izvajajo ukrepi ločevanja odpadkov na skupnih otokih, zmanjševanja količine odpadne plastike z uporabo steklenih kozarcev za večkratno uporabo ter zmanjševanja odpadne embalaže z uporabo dozatorjev za milo za večkratno polnjenje. Pomemben vidik varovanja okolja predstavlja tudi uvajanje zelenega javnega naročanja ter upoštevanje temeljnih okoljskih zahtev v skladu z veljavno Uredbo o zelenem javnem naročanju (izvajalci čiščenja so pogodbeno zavezani k uporabi okoljsko manj obremenjujočih čistil in higienskih papirnatih proizvodov). V okviru promocije zdravja na delovnem mestu se spodbuja hoja po stopnicah namesto uporabe dvigala. K zmanjševanju okoljskega odtisa pa prispeva tudi uporaba naravnega božičnega drevesa v loncu, ki omogoča večletno uporabo ali presaditev po praznikih. </w:t>
      </w:r>
    </w:p>
    <w:p w14:paraId="385B499A" w14:textId="77777777" w:rsidR="00695AE2" w:rsidRPr="00DD3077" w:rsidRDefault="00695AE2" w:rsidP="00695AE2">
      <w:pPr>
        <w:spacing w:line="240" w:lineRule="auto"/>
        <w:jc w:val="both"/>
        <w:rPr>
          <w:rFonts w:eastAsia="Times New Roman"/>
          <w:lang w:eastAsia="sl-SI"/>
        </w:rPr>
      </w:pPr>
    </w:p>
    <w:p w14:paraId="21236B98" w14:textId="77777777" w:rsidR="00695AE2" w:rsidRPr="00DD3077" w:rsidRDefault="00695AE2" w:rsidP="00695AE2">
      <w:pPr>
        <w:spacing w:line="240" w:lineRule="auto"/>
        <w:jc w:val="both"/>
        <w:rPr>
          <w:rFonts w:eastAsia="Times New Roman"/>
          <w:lang w:eastAsia="sl-SI"/>
        </w:rPr>
      </w:pPr>
      <w:r w:rsidRPr="00DD3077">
        <w:rPr>
          <w:rFonts w:eastAsia="Times New Roman"/>
          <w:lang w:eastAsia="sl-SI"/>
        </w:rPr>
        <w:t>V prihodnje bo Državno odvetništvo RS nadaljevalo z nadgradnjo obstoječih trajnostnih ukrepov z dodatno digitalizacijo poslovnih procesov, še bolj učinkovito rabo energije in naravnih virov ter ozaveščanjem zaposlenih o pomenu trajnostnega ravnanja, s čimer se lahko dolgoročno doseže še večja učinkovitost pri zmanjševanju okoljskega odtisa in odgovornem upravljanju z naravnimi viri.</w:t>
      </w:r>
    </w:p>
    <w:p w14:paraId="66E3671B" w14:textId="77777777" w:rsidR="00695AE2" w:rsidRPr="00503014" w:rsidRDefault="00695AE2" w:rsidP="00695AE2">
      <w:pPr>
        <w:spacing w:line="240" w:lineRule="auto"/>
        <w:jc w:val="both"/>
        <w:rPr>
          <w:rFonts w:eastAsia="Times New Roman"/>
          <w:sz w:val="28"/>
          <w:szCs w:val="28"/>
          <w:lang w:eastAsia="sl-SI"/>
        </w:rPr>
      </w:pPr>
    </w:p>
    <w:p w14:paraId="3CF75C30" w14:textId="77777777" w:rsidR="00695AE2" w:rsidRPr="00503014" w:rsidRDefault="00695AE2" w:rsidP="00695AE2">
      <w:pPr>
        <w:pStyle w:val="Naslov3"/>
        <w:ind w:left="0" w:firstLine="0"/>
      </w:pPr>
      <w:bookmarkStart w:id="390" w:name="_Toc168844860"/>
      <w:bookmarkStart w:id="391" w:name="_Toc191561868"/>
      <w:bookmarkStart w:id="392" w:name="_Toc223093863"/>
      <w:r w:rsidRPr="00503014">
        <w:t>Dejavnosti Državnega odvetništva RS na področju mednarodnega sodelovanja</w:t>
      </w:r>
      <w:bookmarkEnd w:id="390"/>
      <w:bookmarkEnd w:id="391"/>
      <w:bookmarkEnd w:id="392"/>
      <w:r w:rsidRPr="00503014">
        <w:t xml:space="preserve"> </w:t>
      </w:r>
    </w:p>
    <w:p w14:paraId="78986E0F" w14:textId="77777777" w:rsidR="00695AE2" w:rsidRPr="00503014" w:rsidRDefault="00695AE2" w:rsidP="00695AE2">
      <w:pPr>
        <w:spacing w:line="240" w:lineRule="auto"/>
        <w:jc w:val="both"/>
        <w:rPr>
          <w:rFonts w:eastAsia="Calibri"/>
          <w:sz w:val="28"/>
          <w:szCs w:val="28"/>
        </w:rPr>
      </w:pPr>
    </w:p>
    <w:p w14:paraId="0AC32060" w14:textId="77777777" w:rsidR="00695AE2" w:rsidRPr="00503014" w:rsidRDefault="00695AE2" w:rsidP="00695AE2">
      <w:pPr>
        <w:pStyle w:val="Naslov4"/>
      </w:pPr>
      <w:bookmarkStart w:id="393" w:name="_Toc223093864"/>
      <w:r w:rsidRPr="00503014">
        <w:t>Splošno</w:t>
      </w:r>
      <w:bookmarkEnd w:id="393"/>
    </w:p>
    <w:p w14:paraId="7ABDBE24" w14:textId="77777777" w:rsidR="00695AE2" w:rsidRPr="00503014" w:rsidRDefault="00695AE2" w:rsidP="00695AE2">
      <w:pPr>
        <w:spacing w:line="240" w:lineRule="auto"/>
        <w:jc w:val="both"/>
        <w:rPr>
          <w:rFonts w:eastAsia="Times New Roman"/>
          <w:color w:val="000000"/>
          <w:kern w:val="24"/>
        </w:rPr>
      </w:pPr>
    </w:p>
    <w:p w14:paraId="5C345EEA" w14:textId="77777777" w:rsidR="00695AE2" w:rsidRPr="00503014" w:rsidRDefault="00695AE2" w:rsidP="00695AE2">
      <w:pPr>
        <w:spacing w:line="240" w:lineRule="auto"/>
        <w:jc w:val="both"/>
        <w:rPr>
          <w:rFonts w:eastAsia="Times New Roman"/>
          <w:color w:val="000000"/>
          <w:kern w:val="24"/>
        </w:rPr>
      </w:pPr>
      <w:r w:rsidRPr="00503014">
        <w:rPr>
          <w:rFonts w:eastAsia="Times New Roman"/>
          <w:color w:val="000000"/>
          <w:kern w:val="24"/>
        </w:rPr>
        <w:t xml:space="preserve">V letu 2023 je bila z odredbo generalne državne odvetnice ustanovljena delovna skupina, ki je zlasti zadolžena za vzpostavitev oziroma za nadaljevanje že vzpostavljenega sodelovanja z organi, ki v drugih državah opravljajo primerljive naloge, kot jih Državno odvetništvo RS opravlja v Republiki Sloveniji, prav tako pa si prizadeva za dejavnosti v smeri ustanovitve mednarodnega združenja zastopnikov držav pred sodišči oziroma za krepitev izmenjave znanj, izkušenj in dobrih praks na področju zastopanja držav. </w:t>
      </w:r>
    </w:p>
    <w:p w14:paraId="602A3051" w14:textId="77777777" w:rsidR="00695AE2" w:rsidRPr="00503014" w:rsidRDefault="00695AE2" w:rsidP="00695AE2">
      <w:pPr>
        <w:spacing w:line="240" w:lineRule="auto"/>
        <w:jc w:val="both"/>
        <w:rPr>
          <w:rFonts w:eastAsia="Times New Roman"/>
          <w:color w:val="000000"/>
          <w:kern w:val="24"/>
        </w:rPr>
      </w:pPr>
    </w:p>
    <w:p w14:paraId="4D8C7030" w14:textId="77777777" w:rsidR="00695AE2" w:rsidRPr="00503014" w:rsidRDefault="00695AE2" w:rsidP="00695AE2">
      <w:pPr>
        <w:spacing w:line="240" w:lineRule="auto"/>
        <w:jc w:val="both"/>
        <w:rPr>
          <w:rFonts w:eastAsia="Calibri"/>
        </w:rPr>
      </w:pPr>
      <w:r w:rsidRPr="00503014">
        <w:rPr>
          <w:rFonts w:eastAsia="Calibri"/>
        </w:rPr>
        <w:t xml:space="preserve">Državno odvetništvo RS se aktivno vključuje v programe EJTN, namenjene regionalnim izmenjavam. Namen je, da se prek enotedenskih izmenjav pridobi čim več znanja o možnih rešitvah čezmejnih sporov in o dobrih praksah organiziranosti zastopnikov države v sosednjih državah.  </w:t>
      </w:r>
    </w:p>
    <w:p w14:paraId="1FB8B655" w14:textId="77777777" w:rsidR="00695AE2" w:rsidRPr="00503014" w:rsidRDefault="00695AE2" w:rsidP="00695AE2">
      <w:pPr>
        <w:spacing w:line="240" w:lineRule="auto"/>
        <w:ind w:left="720"/>
        <w:contextualSpacing/>
        <w:jc w:val="both"/>
        <w:rPr>
          <w:rFonts w:eastAsia="Calibri"/>
        </w:rPr>
      </w:pPr>
    </w:p>
    <w:p w14:paraId="0C37AD01" w14:textId="77777777" w:rsidR="00695AE2" w:rsidRPr="00503014" w:rsidRDefault="00695AE2" w:rsidP="00695AE2">
      <w:pPr>
        <w:spacing w:line="240" w:lineRule="auto"/>
        <w:jc w:val="both"/>
        <w:rPr>
          <w:rFonts w:eastAsia="Calibri"/>
        </w:rPr>
      </w:pPr>
      <w:r w:rsidRPr="00503014">
        <w:rPr>
          <w:rFonts w:eastAsia="Calibri"/>
        </w:rPr>
        <w:t>Prek stikov, vzpostavljenih na mednarodnih srečanjih, bo tudi v prihodnje potekala kolegialna pomoč pri pridobivanju sodne prakse ali drugih koristnih informacij.</w:t>
      </w:r>
    </w:p>
    <w:p w14:paraId="4EF4B5D6" w14:textId="77777777" w:rsidR="00695AE2" w:rsidRPr="00503014" w:rsidRDefault="00695AE2" w:rsidP="00695AE2">
      <w:pPr>
        <w:spacing w:line="240" w:lineRule="auto"/>
        <w:jc w:val="both"/>
        <w:rPr>
          <w:rFonts w:eastAsia="Calibri"/>
        </w:rPr>
      </w:pPr>
    </w:p>
    <w:p w14:paraId="1CF0AE9B" w14:textId="77777777" w:rsidR="00695AE2" w:rsidRPr="00503014" w:rsidRDefault="00695AE2" w:rsidP="00695AE2">
      <w:pPr>
        <w:pStyle w:val="Naslov4"/>
      </w:pPr>
      <w:bookmarkStart w:id="394" w:name="_Toc223093865"/>
      <w:r w:rsidRPr="00503014">
        <w:t>Srečanje z odvetniki iz zamejstva</w:t>
      </w:r>
      <w:bookmarkEnd w:id="394"/>
      <w:r w:rsidRPr="00503014">
        <w:t xml:space="preserve"> </w:t>
      </w:r>
    </w:p>
    <w:p w14:paraId="58673E4F" w14:textId="77777777" w:rsidR="00695AE2" w:rsidRPr="00503014" w:rsidRDefault="00695AE2" w:rsidP="00695AE2">
      <w:pPr>
        <w:spacing w:line="240" w:lineRule="auto"/>
        <w:jc w:val="both"/>
        <w:rPr>
          <w:rFonts w:eastAsia="Calibri"/>
        </w:rPr>
      </w:pPr>
    </w:p>
    <w:p w14:paraId="0BCE39EA" w14:textId="77777777" w:rsidR="00695AE2" w:rsidRPr="00503014" w:rsidRDefault="00695AE2" w:rsidP="00695AE2">
      <w:pPr>
        <w:spacing w:line="240" w:lineRule="auto"/>
        <w:jc w:val="both"/>
        <w:rPr>
          <w:rFonts w:eastAsia="Calibri"/>
        </w:rPr>
      </w:pPr>
      <w:r w:rsidRPr="00503014">
        <w:rPr>
          <w:rFonts w:eastAsia="Calibri"/>
        </w:rPr>
        <w:t>V januarju 2025 so se predstavniki Državnega odvetništva RS v prostorih Društva Prosekar</w:t>
      </w:r>
      <w:r w:rsidRPr="00503014">
        <w:rPr>
          <w:rFonts w:eastAsia="Calibri"/>
          <w:i/>
          <w:iCs/>
        </w:rPr>
        <w:t> </w:t>
      </w:r>
      <w:r w:rsidRPr="00503014">
        <w:rPr>
          <w:rFonts w:eastAsia="Calibri"/>
        </w:rPr>
        <w:t>v Proseku</w:t>
      </w:r>
      <w:r w:rsidRPr="00503014">
        <w:rPr>
          <w:rFonts w:eastAsia="Calibri"/>
          <w:i/>
          <w:iCs/>
        </w:rPr>
        <w:t> </w:t>
      </w:r>
      <w:r w:rsidRPr="00503014">
        <w:rPr>
          <w:rFonts w:eastAsia="Calibri"/>
        </w:rPr>
        <w:t xml:space="preserve">srečali z odvetniki iz zamejstva. </w:t>
      </w:r>
    </w:p>
    <w:p w14:paraId="019077FD" w14:textId="77777777" w:rsidR="00695AE2" w:rsidRPr="00503014" w:rsidRDefault="00695AE2" w:rsidP="00695AE2">
      <w:pPr>
        <w:spacing w:line="240" w:lineRule="auto"/>
        <w:jc w:val="both"/>
        <w:rPr>
          <w:rFonts w:eastAsia="Calibri"/>
        </w:rPr>
      </w:pPr>
    </w:p>
    <w:p w14:paraId="1E57DE4F" w14:textId="77777777" w:rsidR="00695AE2" w:rsidRPr="00503014" w:rsidRDefault="00695AE2" w:rsidP="00695AE2">
      <w:pPr>
        <w:spacing w:line="240" w:lineRule="auto"/>
        <w:jc w:val="both"/>
        <w:rPr>
          <w:rFonts w:eastAsia="Calibri"/>
        </w:rPr>
      </w:pPr>
      <w:r w:rsidRPr="00503014">
        <w:rPr>
          <w:rFonts w:eastAsia="Calibri"/>
        </w:rPr>
        <w:t xml:space="preserve">Čeprav ima Državno odvetništvo RS za konkretne postopke, ki potekajo v Republiki Italiji,  na podlagi določb 19. člena ZDOdv poooblaščenega odvetnika,  je zaradi lažjega obravnavanja </w:t>
      </w:r>
      <w:r w:rsidRPr="00503014">
        <w:rPr>
          <w:rFonts w:eastAsia="Calibri"/>
        </w:rPr>
        <w:lastRenderedPageBreak/>
        <w:t xml:space="preserve">oziroma komunikacije v takšni zadevi zelo koristno širše informiranje o postopkih in pravu, ki se v tovrstnih postopkih uporablja v Republiki Italiji. </w:t>
      </w:r>
    </w:p>
    <w:p w14:paraId="2BF8356C" w14:textId="77777777" w:rsidR="00695AE2" w:rsidRPr="00503014" w:rsidRDefault="00695AE2" w:rsidP="00695AE2">
      <w:pPr>
        <w:spacing w:line="240" w:lineRule="auto"/>
        <w:jc w:val="both"/>
        <w:rPr>
          <w:rFonts w:eastAsia="Calibri"/>
        </w:rPr>
      </w:pPr>
    </w:p>
    <w:p w14:paraId="6C264277" w14:textId="77777777" w:rsidR="00695AE2" w:rsidRPr="00503014" w:rsidRDefault="00695AE2" w:rsidP="00695AE2">
      <w:pPr>
        <w:spacing w:line="240" w:lineRule="auto"/>
        <w:jc w:val="both"/>
        <w:rPr>
          <w:rFonts w:eastAsia="Calibri"/>
        </w:rPr>
      </w:pPr>
      <w:r w:rsidRPr="00503014">
        <w:rPr>
          <w:rFonts w:eastAsia="Calibri"/>
        </w:rPr>
        <w:t>Tako so bile na srečanju obravnavane predvsem teme, povezane z nepremičninami in postopki, ki potekajo v Republiki Italiji, in sicer:</w:t>
      </w:r>
    </w:p>
    <w:p w14:paraId="12D0C9B4" w14:textId="77777777" w:rsidR="00695AE2" w:rsidRPr="00503014" w:rsidRDefault="00695AE2" w:rsidP="00695AE2">
      <w:pPr>
        <w:numPr>
          <w:ilvl w:val="0"/>
          <w:numId w:val="88"/>
        </w:numPr>
        <w:spacing w:line="240" w:lineRule="auto"/>
        <w:jc w:val="both"/>
        <w:rPr>
          <w:rFonts w:eastAsia="Calibri"/>
        </w:rPr>
      </w:pPr>
      <w:r w:rsidRPr="00503014">
        <w:rPr>
          <w:rFonts w:eastAsia="Calibri"/>
        </w:rPr>
        <w:t>ureditev zemljiške knjige oziroma drugih relevantnih registrov v zvezi z nepremičninami v Republiki Italiji in organov, ki jih vodijo (in pri katerih je mogoče pridobiti podatke o nepremičninah) ter njihov pomen v pravnem prometu z nepremičninami;</w:t>
      </w:r>
    </w:p>
    <w:p w14:paraId="6ED6C100" w14:textId="77777777" w:rsidR="00695AE2" w:rsidRPr="00503014" w:rsidRDefault="00695AE2" w:rsidP="00695AE2">
      <w:pPr>
        <w:numPr>
          <w:ilvl w:val="0"/>
          <w:numId w:val="88"/>
        </w:numPr>
        <w:spacing w:line="240" w:lineRule="auto"/>
        <w:jc w:val="both"/>
        <w:rPr>
          <w:rFonts w:eastAsia="Calibri"/>
        </w:rPr>
      </w:pPr>
      <w:r w:rsidRPr="00503014">
        <w:rPr>
          <w:rFonts w:eastAsia="Calibri"/>
        </w:rPr>
        <w:t>ureditev postopkov dedovanja (kateri organi jih vodijo, v katerih primerih, kje se lahko pridobi podatke o teh postopkih, ali se uvedejo po uradni dolžnosti oziroma le na predlog, kako potekajo postopki v primeru zapuščine brez dediča, kako se sklep o dedovanju izvede v ustreznih registrih, ter, zaradi lažjega razumevanja, tudi stroškovni vidik teh postopkov);</w:t>
      </w:r>
    </w:p>
    <w:p w14:paraId="3FB70932" w14:textId="77777777" w:rsidR="00695AE2" w:rsidRDefault="00695AE2" w:rsidP="00695AE2">
      <w:pPr>
        <w:numPr>
          <w:ilvl w:val="0"/>
          <w:numId w:val="88"/>
        </w:numPr>
        <w:spacing w:line="240" w:lineRule="auto"/>
        <w:jc w:val="both"/>
        <w:rPr>
          <w:rFonts w:eastAsia="Calibri"/>
        </w:rPr>
      </w:pPr>
      <w:r w:rsidRPr="00503014">
        <w:rPr>
          <w:rFonts w:eastAsia="Calibri"/>
        </w:rPr>
        <w:t>ureditev pravdnega postopka oziroma postopkov v zvezi s stvarnopravnimi zahtevki (še posebej v zvezi s priposestvovanjem)</w:t>
      </w:r>
      <w:r>
        <w:rPr>
          <w:rFonts w:eastAsia="Calibri"/>
        </w:rPr>
        <w:t>;</w:t>
      </w:r>
    </w:p>
    <w:p w14:paraId="6BE8A817" w14:textId="77777777" w:rsidR="00695AE2" w:rsidRPr="00503014" w:rsidRDefault="00695AE2" w:rsidP="00695AE2">
      <w:pPr>
        <w:numPr>
          <w:ilvl w:val="0"/>
          <w:numId w:val="88"/>
        </w:numPr>
        <w:spacing w:line="240" w:lineRule="auto"/>
        <w:jc w:val="both"/>
        <w:rPr>
          <w:rFonts w:eastAsia="Calibri"/>
        </w:rPr>
      </w:pPr>
      <w:r w:rsidRPr="00503014">
        <w:t>praktičn</w:t>
      </w:r>
      <w:r>
        <w:t>a</w:t>
      </w:r>
      <w:r w:rsidRPr="00503014">
        <w:t xml:space="preserve"> uporab</w:t>
      </w:r>
      <w:r>
        <w:t>a</w:t>
      </w:r>
      <w:r w:rsidRPr="00503014">
        <w:t xml:space="preserve"> Uredbe EU o dedovanju v Republiki Italiji.</w:t>
      </w:r>
    </w:p>
    <w:p w14:paraId="57856DE5" w14:textId="77777777" w:rsidR="00695AE2" w:rsidRDefault="00695AE2" w:rsidP="00695AE2">
      <w:pPr>
        <w:spacing w:line="240" w:lineRule="auto"/>
        <w:jc w:val="both"/>
        <w:rPr>
          <w:rFonts w:eastAsia="Calibri"/>
        </w:rPr>
      </w:pPr>
    </w:p>
    <w:p w14:paraId="34D5C7A1" w14:textId="77777777" w:rsidR="00695AE2" w:rsidRPr="00503014" w:rsidRDefault="00695AE2" w:rsidP="00695AE2">
      <w:pPr>
        <w:spacing w:line="240" w:lineRule="auto"/>
        <w:jc w:val="both"/>
        <w:rPr>
          <w:rFonts w:eastAsia="Calibri"/>
        </w:rPr>
      </w:pPr>
      <w:r w:rsidRPr="00503014">
        <w:rPr>
          <w:rFonts w:eastAsia="Calibri"/>
        </w:rPr>
        <w:t>Srečanje je pomembno prispevalo k poglobitvi razumevanja specifičnih pravnih vprašanj v čezmejnem kontekstu. Odvetniki iz zamejstva so izrazili pripravljenost za nadaljnjo pomoč in podporo pri reševanju pravnih vprašanj, povezanih z nepremičninami, dedovanjem ter drugimi relevantnimi postopki v Republiki Italiji. Poudarili so, da so odprti za redno sodelovanje, izmenjavo izkušenj in organizacijo podobnih srečanj v prihodnje.</w:t>
      </w:r>
    </w:p>
    <w:p w14:paraId="08583260" w14:textId="77777777" w:rsidR="00695AE2" w:rsidRPr="00503014" w:rsidRDefault="00695AE2" w:rsidP="00695AE2">
      <w:pPr>
        <w:spacing w:line="240" w:lineRule="auto"/>
        <w:jc w:val="both"/>
        <w:rPr>
          <w:rFonts w:eastAsia="Calibri"/>
        </w:rPr>
      </w:pPr>
    </w:p>
    <w:p w14:paraId="3A9139E8" w14:textId="77777777" w:rsidR="00695AE2" w:rsidRPr="00503014" w:rsidRDefault="00695AE2" w:rsidP="00695AE2">
      <w:pPr>
        <w:pStyle w:val="Naslov4"/>
      </w:pPr>
      <w:bookmarkStart w:id="395" w:name="_Toc223093866"/>
      <w:r w:rsidRPr="00503014">
        <w:t>Obisk delegacije albanskih državnih odvetnikov</w:t>
      </w:r>
      <w:bookmarkStart w:id="396" w:name="_Hlk189226090"/>
      <w:bookmarkEnd w:id="395"/>
      <w:r w:rsidRPr="00503014">
        <w:t xml:space="preserve"> </w:t>
      </w:r>
    </w:p>
    <w:p w14:paraId="7067597D" w14:textId="77777777" w:rsidR="00695AE2" w:rsidRPr="00503014" w:rsidRDefault="00695AE2" w:rsidP="00695AE2">
      <w:pPr>
        <w:spacing w:line="240" w:lineRule="auto"/>
        <w:jc w:val="both"/>
        <w:rPr>
          <w:rFonts w:eastAsia="Times New Roman"/>
          <w:color w:val="000000"/>
          <w:kern w:val="24"/>
        </w:rPr>
      </w:pPr>
    </w:p>
    <w:p w14:paraId="47E0F2F1" w14:textId="77777777" w:rsidR="00695AE2" w:rsidRPr="00503014" w:rsidRDefault="00695AE2" w:rsidP="00695AE2">
      <w:pPr>
        <w:spacing w:line="240" w:lineRule="auto"/>
        <w:jc w:val="both"/>
      </w:pPr>
      <w:r w:rsidRPr="00503014">
        <w:t>V okviru evropskega projekta za podporo pravosodnim institucijam v državah nečlanicah EU je Državno odvetništvo RS med 18. in 20. junijem 2025 gostilo strokovno delegacijo albanskih državnih odvetnikov, ki jo je vodil generalni državni odvetnik Republike Albanije Odisej Moçka. Tridnevni študijski obisk je potekal pod naslovom </w:t>
      </w:r>
      <w:r w:rsidRPr="00503014">
        <w:rPr>
          <w:i/>
          <w:iCs/>
        </w:rPr>
        <w:t>»Podpora državnemu odvetništvu pri usklajevanju sodnih praks z najboljšimi praksami EU in standardi človekovih pravic«</w:t>
      </w:r>
      <w:r w:rsidRPr="00503014">
        <w:t> in je vključeval vrsto vsebinskih predstavitev, obiskov pravosodnih institucij ter poglobljeno razpravo o skupnih izzivih in dobrih praksah.</w:t>
      </w:r>
    </w:p>
    <w:p w14:paraId="1BD4DBFF" w14:textId="77777777" w:rsidR="00695AE2" w:rsidRPr="00503014" w:rsidRDefault="00695AE2" w:rsidP="00695AE2">
      <w:pPr>
        <w:spacing w:line="240" w:lineRule="auto"/>
        <w:jc w:val="both"/>
      </w:pPr>
    </w:p>
    <w:p w14:paraId="50089450" w14:textId="77777777" w:rsidR="00695AE2" w:rsidRDefault="00695AE2" w:rsidP="00695AE2">
      <w:pPr>
        <w:spacing w:line="240" w:lineRule="auto"/>
        <w:jc w:val="both"/>
      </w:pPr>
      <w:r w:rsidRPr="00503014">
        <w:t>Organizatorji obiska albanskih državnih odvetnikov so poudarili, da je bilo Državno odvetništvo RS izbrano kot destinacija študijskega obiska zaradi svoje odlične organiziranosti, pravne doslednosti in visoke strokovne avtonomije, ki omogočajo učinkovito zastopanje države v domačih in mednarodnih postopkih. Posebej so izpostavili tudi razvito kulturo usposabljanja in mentorstva, področij, ki ju želi albansko Državno odvetništvo dodatno okrepiti. Kot pomemben dejavnik so navedli tudi digitalizacijske pobude, ki jih Državno odvetništvo RS razvija ob podpori Evropske komisije in ki služijo kot zgled za reforme v Albaniji. Ocenili so tudi, da sodelovanje z akademskimi ustanovami, zlasti s Pravno fakulteto Univerze v Ljubljani, prispeva k večji prepoznavnosti, razvoju strokovnih vsebin in mentorstva, kar so cilji, h katerim stremijo tudi sami.</w:t>
      </w:r>
    </w:p>
    <w:p w14:paraId="742E9042" w14:textId="77777777" w:rsidR="00695AE2" w:rsidRDefault="00695AE2" w:rsidP="00695AE2">
      <w:pPr>
        <w:spacing w:line="240" w:lineRule="auto"/>
        <w:jc w:val="both"/>
      </w:pPr>
    </w:p>
    <w:p w14:paraId="396133F4" w14:textId="77777777" w:rsidR="00695AE2" w:rsidRPr="00503014" w:rsidRDefault="00695AE2" w:rsidP="00695AE2">
      <w:pPr>
        <w:spacing w:line="240" w:lineRule="auto"/>
        <w:jc w:val="both"/>
      </w:pPr>
      <w:r w:rsidRPr="00503014">
        <w:t xml:space="preserve">Program obiska je vključeval strokovne predstavitve o organizaciji, pristojnostih in delovanju Državnega odvetništva RS, obiske ključnih pravosodnih institucij ter razprave o digitalizaciji </w:t>
      </w:r>
      <w:r w:rsidRPr="00503014">
        <w:lastRenderedPageBreak/>
        <w:t>pravosodja, mednarodnih postopkih, arbitraži in izvrševanju sodb Evropskega sodišča za človekove pravice. Poseben poudarek je bil namenjen krepitvi institucionalnih zmogljivosti, usposabljanju kadrov, mentorstvu ter uporabi sodobnih informacijskih rešitev.</w:t>
      </w:r>
    </w:p>
    <w:p w14:paraId="6112FAC5" w14:textId="77777777" w:rsidR="00695AE2" w:rsidRPr="00503014" w:rsidRDefault="00695AE2" w:rsidP="00695AE2">
      <w:pPr>
        <w:spacing w:line="240" w:lineRule="auto"/>
        <w:jc w:val="both"/>
      </w:pPr>
    </w:p>
    <w:p w14:paraId="302B3D52" w14:textId="77777777" w:rsidR="00695AE2" w:rsidRPr="00503014" w:rsidRDefault="00695AE2" w:rsidP="00695AE2">
      <w:pPr>
        <w:spacing w:line="240" w:lineRule="auto"/>
        <w:jc w:val="both"/>
        <w:rPr>
          <w:rFonts w:eastAsia="Calibri"/>
        </w:rPr>
      </w:pPr>
      <w:r w:rsidRPr="00503014">
        <w:t>Udeleženci so izpostavili Državno odvetništvo RS kot primer dobre prakse zaradi visoke strokovne avtonomije, učinkovite organiziranosti in naprednih digitalnih rešitev. Obisk se je zaključil s potrditvijo interesa za nadaljnje strokovno sodelovanje in krepitev medinstitucionalnih povezav.</w:t>
      </w:r>
    </w:p>
    <w:bookmarkEnd w:id="396"/>
    <w:p w14:paraId="05DC3FE5" w14:textId="77777777" w:rsidR="00695AE2" w:rsidRPr="00503014" w:rsidRDefault="00695AE2" w:rsidP="00695AE2">
      <w:pPr>
        <w:spacing w:line="240" w:lineRule="auto"/>
        <w:jc w:val="both"/>
      </w:pPr>
    </w:p>
    <w:p w14:paraId="6D8BE425" w14:textId="77777777" w:rsidR="00695AE2" w:rsidRPr="00503014" w:rsidRDefault="00695AE2" w:rsidP="00695AE2">
      <w:pPr>
        <w:pStyle w:val="Naslov4"/>
      </w:pPr>
      <w:bookmarkStart w:id="397" w:name="_Toc223093867"/>
      <w:r w:rsidRPr="00503014">
        <w:t>Obisk Državnega odvetništva Republike Hrvaške</w:t>
      </w:r>
      <w:bookmarkEnd w:id="397"/>
    </w:p>
    <w:p w14:paraId="2ABC42DF" w14:textId="77777777" w:rsidR="00695AE2" w:rsidRPr="00503014" w:rsidRDefault="00695AE2" w:rsidP="00695AE2">
      <w:pPr>
        <w:spacing w:line="240" w:lineRule="auto"/>
        <w:jc w:val="both"/>
        <w:rPr>
          <w:rFonts w:eastAsia="Times New Roman"/>
          <w:b/>
          <w:bCs/>
          <w:color w:val="007466"/>
          <w:kern w:val="24"/>
        </w:rPr>
      </w:pPr>
    </w:p>
    <w:p w14:paraId="135E405A" w14:textId="77777777" w:rsidR="00695AE2" w:rsidRPr="00503014" w:rsidRDefault="00695AE2" w:rsidP="00695AE2">
      <w:pPr>
        <w:spacing w:line="240" w:lineRule="auto"/>
        <w:jc w:val="both"/>
      </w:pPr>
      <w:r w:rsidRPr="00503014">
        <w:t>Delovna skupina za sodelovanje z organi, ki v drugih državah opravljajo primerljive naloge, kot jih Državno odvetništvo RS opravlja v Republiki Sloveniji, je v letu 2025 koordinirala tudi sodelovanje Državnega odvetništva RS s hrvaškimi kolegi, in sicer v sklopu regionalnih izmenjav. Organizirani so bili trije sklopi izmenjav, in sicer z obiski kolegov v Bjelovaru, Sisku in Puli. Ob vseh treh sklopih izmenjav so bile izpostavljene aktualne problematike, ki zadevajo obe odvetništvi.</w:t>
      </w:r>
      <w:r w:rsidRPr="00503014">
        <w:rPr>
          <w:rFonts w:ascii="Arial" w:eastAsia="Calibri" w:hAnsi="Arial" w:cs="Arial"/>
          <w:snapToGrid w:val="0"/>
          <w:sz w:val="28"/>
          <w:szCs w:val="28"/>
        </w:rPr>
        <w:t xml:space="preserve"> </w:t>
      </w:r>
    </w:p>
    <w:p w14:paraId="21D78048" w14:textId="77777777" w:rsidR="00695AE2" w:rsidRPr="00503014" w:rsidRDefault="00695AE2" w:rsidP="00695AE2">
      <w:pPr>
        <w:spacing w:line="240" w:lineRule="auto"/>
        <w:jc w:val="both"/>
        <w:rPr>
          <w:rFonts w:ascii="Arial" w:eastAsia="Calibri" w:hAnsi="Arial" w:cs="Arial"/>
          <w:snapToGrid w:val="0"/>
          <w:sz w:val="28"/>
          <w:szCs w:val="28"/>
        </w:rPr>
      </w:pPr>
    </w:p>
    <w:p w14:paraId="63611DD9" w14:textId="77777777" w:rsidR="00695AE2" w:rsidRPr="00503014" w:rsidRDefault="00695AE2" w:rsidP="00695AE2">
      <w:pPr>
        <w:spacing w:line="240" w:lineRule="auto"/>
        <w:jc w:val="both"/>
      </w:pPr>
      <w:r w:rsidRPr="00503014">
        <w:t>Državno odvjetništvo Republike Hrvatske je neodvisen in samostojen državni organ, katerega delovanje ureja Zakon o državnom odvjetništvu. Ta določa, da morajo biti za celotno ozemlje Republike Hrvaške ustanovljeni Državno odvjetništvo Republike Hrvaške ter okrožni in občinski državni odvetniki. Ustanovljen je bil tudi Urad za zatiranje korupcije in organiziranega kriminala (USKOK). Državni tožilski urad, kazenski oddelek in civilni upravni oddelek so bili ustanovljeni v vseh okrožnih in občinskih državnih odvetništvih. Občinski državni odvetniki so podrejeni okrožnim državnim odvetnikom, medtem ko sta okrožna državnoodvetniška pisarna in posebna državna odvetništva (USKOK) podrejena državnemu odvetništvu Republike Hrvaške v Zagrebu.</w:t>
      </w:r>
    </w:p>
    <w:p w14:paraId="1FC309EA" w14:textId="77777777" w:rsidR="00695AE2" w:rsidRPr="00503014" w:rsidRDefault="00695AE2" w:rsidP="00695AE2">
      <w:pPr>
        <w:spacing w:line="240" w:lineRule="auto"/>
        <w:jc w:val="both"/>
      </w:pPr>
    </w:p>
    <w:p w14:paraId="1860280F" w14:textId="77777777" w:rsidR="00695AE2" w:rsidRPr="00503014" w:rsidRDefault="00695AE2" w:rsidP="00695AE2">
      <w:pPr>
        <w:spacing w:line="240" w:lineRule="auto"/>
        <w:jc w:val="both"/>
        <w:rPr>
          <w:rFonts w:ascii="Arial" w:eastAsia="Calibri" w:hAnsi="Arial" w:cs="Arial"/>
          <w:snapToGrid w:val="0"/>
          <w:sz w:val="28"/>
          <w:szCs w:val="28"/>
        </w:rPr>
      </w:pPr>
      <w:r w:rsidRPr="00503014">
        <w:t xml:space="preserve">Državno odvetništvo v Republiki Hrvaški je organizirano na način, da znotraj njega deluje t.i. kazneni odjel (kar je pri nas državno tožilstvo) in gradanskoupravni odjel (kar je pri nas državno odvetništvo). V okvir njegovih nalog spadajo zastopanje Republike Hrvaške v pravdnih zadevah, vodenje kazenskih postopkov zoper storilce kaznivih dejanj, varovanje premoženja in drugih interesov države. </w:t>
      </w:r>
    </w:p>
    <w:p w14:paraId="3BED76F4" w14:textId="77777777" w:rsidR="00695AE2" w:rsidRPr="00503014" w:rsidRDefault="00695AE2" w:rsidP="00695AE2">
      <w:pPr>
        <w:spacing w:line="240" w:lineRule="auto"/>
        <w:jc w:val="both"/>
        <w:rPr>
          <w:rFonts w:eastAsia="Calibri" w:cs="Arial"/>
          <w:snapToGrid w:val="0"/>
        </w:rPr>
      </w:pPr>
    </w:p>
    <w:p w14:paraId="1FF94EA0" w14:textId="77777777" w:rsidR="00695AE2" w:rsidRDefault="00695AE2" w:rsidP="00695AE2">
      <w:pPr>
        <w:spacing w:line="240" w:lineRule="auto"/>
        <w:jc w:val="both"/>
        <w:rPr>
          <w:rFonts w:eastAsia="Calibri" w:cs="Arial"/>
          <w:snapToGrid w:val="0"/>
        </w:rPr>
      </w:pPr>
      <w:r w:rsidRPr="00503014">
        <w:rPr>
          <w:rFonts w:eastAsia="Calibri" w:cs="Arial"/>
          <w:snapToGrid w:val="0"/>
        </w:rPr>
        <w:t>Glavni doprinos regionalnih izmenjav med državnima odvetništvoma Republike Slovenije in Republike Hrvaške je v krepitvi sodelovanja, izmenjavi strokovnih znanj in dobrih praks, kar pozitivno vpliva na krepitev vladavine prava v obeh državah. Institucionalne povezave in krepitev zaupanja, ki je utemeljena na osebnih in institucionalnih stikih med obema organoma, gradijo boljše medsebojne odnose in zaupanje med institucijami, kar je ključno za uspešno sodelovanje v prihodnjih postopkih. Izvedena regionalna izmenjava je pomembno vplivala tudi na dejstvo, da obe odvetništvi delujeta znotraj evropskih pravosodnih mrež (Eurojust, EJTN…), ki temeljijo na mednarodnem pravnem sodelovanju in olajšujejo koordinacijo pri čezmejnih kazenskih in civilnih zadevah, kar omogoča hitrejši odziv in bolj usklajeno delovanje pravosodnih organov v regiji.</w:t>
      </w:r>
    </w:p>
    <w:p w14:paraId="3A4A1DC0" w14:textId="77777777" w:rsidR="00695AE2" w:rsidRPr="00A32D55" w:rsidRDefault="00695AE2" w:rsidP="00695AE2">
      <w:pPr>
        <w:rPr>
          <w:sz w:val="40"/>
          <w:szCs w:val="40"/>
        </w:rPr>
      </w:pPr>
      <w:bookmarkStart w:id="398" w:name="_Toc168844879"/>
      <w:bookmarkStart w:id="399" w:name="_Toc191561869"/>
    </w:p>
    <w:p w14:paraId="48642F7B" w14:textId="77777777" w:rsidR="00695AE2" w:rsidRDefault="00695AE2" w:rsidP="00695AE2"/>
    <w:p w14:paraId="447DBD5A" w14:textId="77777777" w:rsidR="00695AE2" w:rsidRPr="00A32D55" w:rsidRDefault="00695AE2" w:rsidP="00695AE2">
      <w:pPr>
        <w:sectPr w:rsidR="00695AE2" w:rsidRPr="00A32D55" w:rsidSect="00CB5161">
          <w:footerReference w:type="default" r:id="rId48"/>
          <w:type w:val="continuous"/>
          <w:pgSz w:w="11906" w:h="16838"/>
          <w:pgMar w:top="1417" w:right="1417" w:bottom="1417" w:left="1417" w:header="0" w:footer="708" w:gutter="0"/>
          <w:cols w:space="708"/>
          <w:titlePg/>
          <w:docGrid w:linePitch="360"/>
        </w:sectPr>
      </w:pPr>
    </w:p>
    <w:p w14:paraId="26D5FF76" w14:textId="77777777" w:rsidR="00695AE2" w:rsidRPr="00503014" w:rsidRDefault="00695AE2" w:rsidP="00695AE2">
      <w:pPr>
        <w:pStyle w:val="Naslov"/>
      </w:pPr>
      <w:r w:rsidRPr="00B85642">
        <w:lastRenderedPageBreak/>
        <w:t>POSEBNI</w:t>
      </w:r>
      <w:r w:rsidRPr="00503014">
        <w:t xml:space="preserve"> STATISTIČNI DEL</w:t>
      </w:r>
      <w:bookmarkEnd w:id="398"/>
      <w:bookmarkEnd w:id="399"/>
    </w:p>
    <w:p w14:paraId="7AB61C91" w14:textId="77777777" w:rsidR="00695AE2" w:rsidRPr="00503014" w:rsidRDefault="00695AE2" w:rsidP="00695AE2">
      <w:pPr>
        <w:spacing w:line="240" w:lineRule="auto"/>
        <w:rPr>
          <w:rFonts w:eastAsia="Calibri"/>
          <w:sz w:val="40"/>
          <w:szCs w:val="40"/>
        </w:rPr>
      </w:pPr>
      <w:bookmarkStart w:id="400" w:name="_Hlk190266089"/>
    </w:p>
    <w:p w14:paraId="3772EA8D" w14:textId="77777777" w:rsidR="00695AE2" w:rsidRPr="00B85642" w:rsidRDefault="00695AE2" w:rsidP="006D16C0">
      <w:pPr>
        <w:pStyle w:val="Naslov1"/>
        <w:numPr>
          <w:ilvl w:val="0"/>
          <w:numId w:val="153"/>
        </w:numPr>
        <w:ind w:left="0" w:firstLine="0"/>
      </w:pPr>
      <w:bookmarkStart w:id="401" w:name="_Toc168844880"/>
      <w:bookmarkStart w:id="402" w:name="_Toc191561870"/>
      <w:bookmarkStart w:id="403" w:name="_Toc223093868"/>
      <w:r w:rsidRPr="00B85642">
        <w:t>PODATKI O GIBANJU ZADEV PO PODROČJIH IN PO ODDELKIH</w:t>
      </w:r>
      <w:bookmarkEnd w:id="401"/>
      <w:bookmarkEnd w:id="402"/>
      <w:bookmarkEnd w:id="403"/>
    </w:p>
    <w:p w14:paraId="4E9CF113" w14:textId="77777777" w:rsidR="00695AE2" w:rsidRPr="00503014" w:rsidRDefault="00695AE2" w:rsidP="00695AE2">
      <w:pPr>
        <w:spacing w:line="240" w:lineRule="auto"/>
        <w:rPr>
          <w:rFonts w:eastAsia="Calibri"/>
          <w:sz w:val="36"/>
          <w:szCs w:val="36"/>
        </w:rPr>
      </w:pPr>
    </w:p>
    <w:p w14:paraId="75D9352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Uvodna pojasnila k statističnim podatkom:</w:t>
      </w:r>
    </w:p>
    <w:p w14:paraId="28D9DFE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p>
    <w:p w14:paraId="49708C8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r w:rsidRPr="00503014">
        <w:rPr>
          <w:rFonts w:eastAsia="Calibri"/>
          <w:sz w:val="20"/>
          <w:szCs w:val="20"/>
        </w:rPr>
        <w:t>Podatek »zaključeno« na koncu obdobja se nanaša na število spisov, ki so bili zaključeni leta 2025 in so ostali zaključeni tudi na dan 31. 12. 2025. To pomeni, da so bili ob morebitni reaktivaciji do 31. 12. ponovno zaključeni. Če pa so bili spisi reaktivirani, vendar do konca statističnega obdobja poročanja ne ponovno zaključeni, potem so prikazani v okviru podatka »v delu«.</w:t>
      </w:r>
    </w:p>
    <w:p w14:paraId="7DCC9D97" w14:textId="77777777" w:rsidR="00695AE2" w:rsidRPr="00503014" w:rsidRDefault="00695AE2" w:rsidP="00695AE2">
      <w:pPr>
        <w:spacing w:line="240" w:lineRule="auto"/>
        <w:jc w:val="both"/>
        <w:rPr>
          <w:rFonts w:eastAsia="Calibri"/>
          <w:sz w:val="20"/>
          <w:szCs w:val="20"/>
        </w:rPr>
      </w:pPr>
    </w:p>
    <w:p w14:paraId="2DC695AE" w14:textId="77777777" w:rsidR="00695AE2" w:rsidRPr="00503014" w:rsidRDefault="00695AE2" w:rsidP="00695AE2">
      <w:pPr>
        <w:spacing w:line="240" w:lineRule="auto"/>
        <w:jc w:val="both"/>
        <w:rPr>
          <w:rFonts w:eastAsia="Calibri"/>
          <w:sz w:val="20"/>
          <w:szCs w:val="20"/>
        </w:rPr>
      </w:pPr>
      <w:r w:rsidRPr="00503014">
        <w:rPr>
          <w:rFonts w:eastAsia="Calibri"/>
          <w:sz w:val="20"/>
          <w:szCs w:val="20"/>
        </w:rPr>
        <w:t>Zaradi lažje, preglednejše in statistično pravilnejše primerljivosti podatkov s preteklimi leti so v splošne statistične podatke poleg zadev s področja dela, ki jih vsebuje tabela 4, vključeni tudi podatki o zadevah s področja izdelave pravnih mnenj, pa tudi postopkov pred ESČP, sodišči Evropske unije (SEU in SSEU) in sodiščem EFTA ter o drugih zadevah Mednarodnega oddelka. Teh tabela 4 namreč ne vključuje, so pa podatki o številu zadev s področja »pravna mnenja« delno vključeni v tabelo 12, s področja postopkov pred ESČP in sodišči EU pa v tabelo 14.</w:t>
      </w:r>
    </w:p>
    <w:p w14:paraId="3668F660" w14:textId="77777777" w:rsidR="00695AE2" w:rsidRPr="00503014" w:rsidRDefault="00695AE2" w:rsidP="00695AE2">
      <w:pPr>
        <w:spacing w:line="240" w:lineRule="auto"/>
        <w:jc w:val="both"/>
        <w:rPr>
          <w:rFonts w:eastAsia="Calibri"/>
          <w:sz w:val="20"/>
          <w:szCs w:val="20"/>
        </w:rPr>
      </w:pPr>
    </w:p>
    <w:p w14:paraId="73C08342" w14:textId="77777777" w:rsidR="00695AE2" w:rsidRPr="00503014" w:rsidRDefault="00695AE2" w:rsidP="00695AE2">
      <w:pPr>
        <w:spacing w:line="240" w:lineRule="auto"/>
        <w:jc w:val="both"/>
        <w:rPr>
          <w:rFonts w:eastAsia="Calibri"/>
          <w:sz w:val="20"/>
          <w:szCs w:val="20"/>
        </w:rPr>
      </w:pPr>
      <w:r w:rsidRPr="00503014">
        <w:rPr>
          <w:rFonts w:eastAsia="Calibri"/>
          <w:sz w:val="20"/>
          <w:szCs w:val="20"/>
        </w:rPr>
        <w:t xml:space="preserve">Pri posameznih procesnih statusih Republike Slovenije se pri zajemu statističnih podatkov ne dela razlik glede na vrsto ali fazo posameznega postopka in so enotno uporabljeni izrazi tožena stranka, tožeča stranka in stranski intervenient. V statistični podatek za toženo stranko so tako zajete tudi zadeve iz postopkov poskusa mirne rešitve spornega razmerja, ko je na Državno odvetništvo RS vložen predhodni zahtevek zoper Republiko Slovenijo, v statistični podatek za tožečo stranko pa vse zadeve, ko je Državno odvetništvo RS prejelo zadevo, v kateri se uveljavlja zahtevek proti nasprotni stranki (ne glede na to, ali je tožba na sodišče že vložena ali pa morda še ne, pri čemer so razlogi za to lahko različni, npr. zbiranje dokumentacije in priprava dejanske ter pravne podlage zahtevka, pošiljanje poziva za prostovoljno izpolnitev obveznosti ipd.). </w:t>
      </w:r>
    </w:p>
    <w:p w14:paraId="3B7878A2" w14:textId="77777777" w:rsidR="00695AE2" w:rsidRPr="00503014" w:rsidRDefault="00695AE2" w:rsidP="00695AE2">
      <w:pPr>
        <w:spacing w:line="240" w:lineRule="auto"/>
        <w:jc w:val="both"/>
        <w:rPr>
          <w:rFonts w:eastAsia="Calibri"/>
        </w:rPr>
      </w:pPr>
    </w:p>
    <w:p w14:paraId="17B8A9D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Tabela 4: Gibanje zadev ZBIRNO</w:t>
      </w:r>
    </w:p>
    <w:p w14:paraId="2259099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spacing w:val="1"/>
          <w:sz w:val="20"/>
          <w:szCs w:val="20"/>
        </w:rPr>
      </w:pPr>
    </w:p>
    <w:p w14:paraId="4CD1567F" w14:textId="77777777" w:rsidR="00695AE2" w:rsidRPr="00503014" w:rsidRDefault="00695AE2" w:rsidP="00695AE2">
      <w:pPr>
        <w:spacing w:line="240" w:lineRule="auto"/>
        <w:jc w:val="both"/>
        <w:rPr>
          <w:rFonts w:eastAsia="Calibri"/>
          <w:color w:val="007466"/>
          <w:sz w:val="20"/>
          <w:szCs w:val="20"/>
        </w:rPr>
      </w:pPr>
      <w:r w:rsidRPr="00503014">
        <w:rPr>
          <w:rFonts w:eastAsia="Calibri"/>
          <w:color w:val="007466"/>
          <w:sz w:val="20"/>
          <w:szCs w:val="20"/>
        </w:rPr>
        <w:t xml:space="preserve">Pojasnilo k tabeli 4: </w:t>
      </w:r>
    </w:p>
    <w:p w14:paraId="15F016E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p>
    <w:p w14:paraId="36ABBB24"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r w:rsidRPr="00503014">
        <w:rPr>
          <w:rFonts w:eastAsia="Calibri"/>
          <w:sz w:val="20"/>
          <w:szCs w:val="20"/>
        </w:rPr>
        <w:t>Glede na metodologijo zbiranja podatkov Državno odvetništvo RS ne razpolaga s podatkom o številu vloženih predlogov, ki niso zajeti med rešenimi zadevami, zato tega podatka v tabeli 4 ni mogoče prikazati niti ga glede na navedeno ni mogoče analizirati. (Opomba: V tabeli 4 je zato oznaka NP – »ni podatka«.)</w:t>
      </w:r>
    </w:p>
    <w:p w14:paraId="75372D64"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spacing w:val="1"/>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5A12CFF0" w14:textId="77777777" w:rsidTr="00980493">
        <w:trPr>
          <w:trHeight w:val="1137"/>
        </w:trPr>
        <w:tc>
          <w:tcPr>
            <w:tcW w:w="2972" w:type="dxa"/>
          </w:tcPr>
          <w:p w14:paraId="60D542F2" w14:textId="77777777" w:rsidR="00695AE2" w:rsidRPr="00503014" w:rsidRDefault="00695AE2" w:rsidP="00980493">
            <w:pPr>
              <w:jc w:val="center"/>
              <w:rPr>
                <w:rFonts w:eastAsia="Times New Roman" w:cs="Calibri"/>
                <w:sz w:val="20"/>
                <w:szCs w:val="20"/>
              </w:rPr>
            </w:pPr>
            <w:bookmarkStart w:id="404" w:name="_Hlk124003902"/>
            <w:r w:rsidRPr="00503014">
              <w:rPr>
                <w:rFonts w:eastAsia="Times New Roman" w:cs="Calibri"/>
                <w:sz w:val="20"/>
                <w:szCs w:val="20"/>
              </w:rPr>
              <w:t>področje dela</w:t>
            </w:r>
          </w:p>
        </w:tc>
        <w:tc>
          <w:tcPr>
            <w:tcW w:w="1418" w:type="dxa"/>
          </w:tcPr>
          <w:p w14:paraId="70763439"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prenesenih nerešenih zadev iz prejšnjih let</w:t>
            </w:r>
          </w:p>
        </w:tc>
        <w:tc>
          <w:tcPr>
            <w:tcW w:w="897" w:type="dxa"/>
          </w:tcPr>
          <w:p w14:paraId="01BE67A5"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letni pripad zadev</w:t>
            </w:r>
          </w:p>
        </w:tc>
        <w:tc>
          <w:tcPr>
            <w:tcW w:w="945" w:type="dxa"/>
          </w:tcPr>
          <w:p w14:paraId="009ADF04"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zadeve v delu skupaj</w:t>
            </w:r>
          </w:p>
        </w:tc>
        <w:tc>
          <w:tcPr>
            <w:tcW w:w="851" w:type="dxa"/>
          </w:tcPr>
          <w:p w14:paraId="506A472A"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rešenih zadev</w:t>
            </w:r>
          </w:p>
        </w:tc>
        <w:tc>
          <w:tcPr>
            <w:tcW w:w="1276" w:type="dxa"/>
          </w:tcPr>
          <w:p w14:paraId="1838F544"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nerešenih zadev na dan 31.12.</w:t>
            </w:r>
          </w:p>
        </w:tc>
        <w:tc>
          <w:tcPr>
            <w:tcW w:w="1559" w:type="dxa"/>
          </w:tcPr>
          <w:p w14:paraId="5C25DE5C"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vloženih predlogov, ki niso zajeti med rešenimi zadevami</w:t>
            </w:r>
          </w:p>
          <w:p w14:paraId="33D05327" w14:textId="77777777" w:rsidR="00695AE2" w:rsidRPr="00503014" w:rsidRDefault="00695AE2" w:rsidP="00980493">
            <w:pPr>
              <w:jc w:val="center"/>
              <w:rPr>
                <w:rFonts w:eastAsia="Times New Roman" w:cs="Calibri"/>
                <w:sz w:val="20"/>
                <w:szCs w:val="20"/>
              </w:rPr>
            </w:pPr>
          </w:p>
        </w:tc>
      </w:tr>
      <w:tr w:rsidR="00695AE2" w:rsidRPr="00503014" w14:paraId="150EBB0A" w14:textId="77777777" w:rsidTr="00980493">
        <w:trPr>
          <w:trHeight w:val="192"/>
        </w:trPr>
        <w:tc>
          <w:tcPr>
            <w:tcW w:w="2972" w:type="dxa"/>
          </w:tcPr>
          <w:p w14:paraId="1EC0230D" w14:textId="77777777" w:rsidR="00695AE2" w:rsidRPr="00503014" w:rsidRDefault="00695AE2" w:rsidP="00980493">
            <w:pPr>
              <w:rPr>
                <w:rFonts w:eastAsia="Calibri" w:cs="Calibri"/>
                <w:sz w:val="20"/>
                <w:szCs w:val="20"/>
              </w:rPr>
            </w:pPr>
            <w:r w:rsidRPr="00503014">
              <w:rPr>
                <w:rFonts w:eastAsia="Calibri" w:cs="Calibri"/>
                <w:sz w:val="20"/>
                <w:szCs w:val="20"/>
              </w:rPr>
              <w:t>civilnopravne in gospodarske zadeve</w:t>
            </w:r>
          </w:p>
        </w:tc>
        <w:tc>
          <w:tcPr>
            <w:tcW w:w="1418" w:type="dxa"/>
          </w:tcPr>
          <w:p w14:paraId="4C0D5CAC" w14:textId="77777777" w:rsidR="00695AE2" w:rsidRPr="00503014" w:rsidRDefault="00695AE2" w:rsidP="00980493">
            <w:pPr>
              <w:jc w:val="center"/>
              <w:rPr>
                <w:rFonts w:eastAsia="Calibri" w:cs="Calibri"/>
                <w:sz w:val="20"/>
                <w:szCs w:val="20"/>
              </w:rPr>
            </w:pPr>
            <w:r w:rsidRPr="00503014">
              <w:rPr>
                <w:rFonts w:eastAsia="Calibri" w:cs="Calibri"/>
                <w:sz w:val="20"/>
                <w:szCs w:val="20"/>
              </w:rPr>
              <w:t>1.295</w:t>
            </w:r>
          </w:p>
        </w:tc>
        <w:tc>
          <w:tcPr>
            <w:tcW w:w="897" w:type="dxa"/>
          </w:tcPr>
          <w:p w14:paraId="37A9201B" w14:textId="77777777" w:rsidR="00695AE2" w:rsidRPr="00503014" w:rsidRDefault="00695AE2" w:rsidP="00980493">
            <w:pPr>
              <w:jc w:val="center"/>
              <w:rPr>
                <w:rFonts w:eastAsia="Calibri" w:cs="Calibri"/>
                <w:sz w:val="20"/>
                <w:szCs w:val="20"/>
              </w:rPr>
            </w:pPr>
            <w:r w:rsidRPr="00503014">
              <w:rPr>
                <w:rFonts w:eastAsia="Calibri" w:cs="Calibri"/>
                <w:sz w:val="20"/>
                <w:szCs w:val="20"/>
              </w:rPr>
              <w:t>847</w:t>
            </w:r>
          </w:p>
        </w:tc>
        <w:tc>
          <w:tcPr>
            <w:tcW w:w="945" w:type="dxa"/>
          </w:tcPr>
          <w:p w14:paraId="6E417BAE" w14:textId="77777777" w:rsidR="00695AE2" w:rsidRPr="00503014" w:rsidRDefault="00695AE2" w:rsidP="00980493">
            <w:pPr>
              <w:jc w:val="center"/>
              <w:rPr>
                <w:rFonts w:eastAsia="Calibri" w:cs="Calibri"/>
                <w:sz w:val="20"/>
                <w:szCs w:val="20"/>
              </w:rPr>
            </w:pPr>
            <w:r w:rsidRPr="00503014">
              <w:rPr>
                <w:rFonts w:eastAsia="Calibri" w:cs="Calibri"/>
                <w:sz w:val="20"/>
                <w:szCs w:val="20"/>
              </w:rPr>
              <w:t>2.142</w:t>
            </w:r>
          </w:p>
        </w:tc>
        <w:tc>
          <w:tcPr>
            <w:tcW w:w="851" w:type="dxa"/>
          </w:tcPr>
          <w:p w14:paraId="6132B42D" w14:textId="77777777" w:rsidR="00695AE2" w:rsidRPr="00503014" w:rsidRDefault="00695AE2" w:rsidP="00980493">
            <w:pPr>
              <w:jc w:val="center"/>
              <w:rPr>
                <w:rFonts w:eastAsia="Calibri" w:cs="Calibri"/>
                <w:sz w:val="20"/>
                <w:szCs w:val="20"/>
              </w:rPr>
            </w:pPr>
            <w:r w:rsidRPr="00503014">
              <w:rPr>
                <w:rFonts w:eastAsia="Calibri" w:cs="Calibri"/>
                <w:sz w:val="20"/>
                <w:szCs w:val="20"/>
              </w:rPr>
              <w:t>906</w:t>
            </w:r>
          </w:p>
        </w:tc>
        <w:tc>
          <w:tcPr>
            <w:tcW w:w="1276" w:type="dxa"/>
          </w:tcPr>
          <w:p w14:paraId="713706D3" w14:textId="77777777" w:rsidR="00695AE2" w:rsidRPr="00503014" w:rsidRDefault="00695AE2" w:rsidP="00980493">
            <w:pPr>
              <w:jc w:val="center"/>
              <w:rPr>
                <w:rFonts w:eastAsia="Calibri" w:cs="Calibri"/>
                <w:sz w:val="20"/>
                <w:szCs w:val="20"/>
              </w:rPr>
            </w:pPr>
            <w:r w:rsidRPr="00503014">
              <w:rPr>
                <w:rFonts w:eastAsia="Calibri" w:cs="Calibri"/>
                <w:sz w:val="20"/>
                <w:szCs w:val="20"/>
              </w:rPr>
              <w:t>1.236</w:t>
            </w:r>
          </w:p>
        </w:tc>
        <w:tc>
          <w:tcPr>
            <w:tcW w:w="1559" w:type="dxa"/>
          </w:tcPr>
          <w:p w14:paraId="670DBCBE"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1797A39F" w14:textId="77777777" w:rsidTr="00980493">
        <w:trPr>
          <w:trHeight w:val="179"/>
        </w:trPr>
        <w:tc>
          <w:tcPr>
            <w:tcW w:w="2972" w:type="dxa"/>
          </w:tcPr>
          <w:p w14:paraId="712A2554" w14:textId="77777777" w:rsidR="00695AE2" w:rsidRPr="00503014" w:rsidRDefault="00695AE2" w:rsidP="00980493">
            <w:pPr>
              <w:rPr>
                <w:rFonts w:eastAsia="Calibri" w:cs="Calibri"/>
                <w:sz w:val="20"/>
                <w:szCs w:val="20"/>
              </w:rPr>
            </w:pPr>
            <w:r w:rsidRPr="00503014">
              <w:rPr>
                <w:rFonts w:eastAsia="Calibri" w:cs="Calibri"/>
                <w:sz w:val="20"/>
                <w:szCs w:val="20"/>
              </w:rPr>
              <w:t>delovno in socialno-pravne zadeve</w:t>
            </w:r>
          </w:p>
        </w:tc>
        <w:tc>
          <w:tcPr>
            <w:tcW w:w="1418" w:type="dxa"/>
          </w:tcPr>
          <w:p w14:paraId="78E6F848" w14:textId="77777777" w:rsidR="00695AE2" w:rsidRPr="00503014" w:rsidRDefault="00695AE2" w:rsidP="00980493">
            <w:pPr>
              <w:jc w:val="center"/>
              <w:rPr>
                <w:rFonts w:eastAsia="Calibri" w:cs="Calibri"/>
                <w:sz w:val="20"/>
                <w:szCs w:val="20"/>
              </w:rPr>
            </w:pPr>
            <w:r w:rsidRPr="00503014">
              <w:rPr>
                <w:rFonts w:eastAsia="Calibri" w:cs="Calibri"/>
                <w:sz w:val="20"/>
                <w:szCs w:val="20"/>
              </w:rPr>
              <w:t>1.927</w:t>
            </w:r>
          </w:p>
        </w:tc>
        <w:tc>
          <w:tcPr>
            <w:tcW w:w="897" w:type="dxa"/>
          </w:tcPr>
          <w:p w14:paraId="4FCFCA3B" w14:textId="77777777" w:rsidR="00695AE2" w:rsidRPr="00503014" w:rsidRDefault="00695AE2" w:rsidP="00980493">
            <w:pPr>
              <w:jc w:val="center"/>
              <w:rPr>
                <w:rFonts w:eastAsia="Calibri" w:cs="Calibri"/>
                <w:sz w:val="20"/>
                <w:szCs w:val="20"/>
              </w:rPr>
            </w:pPr>
            <w:r w:rsidRPr="00503014">
              <w:rPr>
                <w:rFonts w:eastAsia="Calibri" w:cs="Calibri"/>
                <w:sz w:val="20"/>
                <w:szCs w:val="20"/>
              </w:rPr>
              <w:t>1.353</w:t>
            </w:r>
          </w:p>
        </w:tc>
        <w:tc>
          <w:tcPr>
            <w:tcW w:w="945" w:type="dxa"/>
          </w:tcPr>
          <w:p w14:paraId="718E1ECF" w14:textId="77777777" w:rsidR="00695AE2" w:rsidRPr="00503014" w:rsidRDefault="00695AE2" w:rsidP="00980493">
            <w:pPr>
              <w:jc w:val="center"/>
              <w:rPr>
                <w:rFonts w:eastAsia="Calibri" w:cs="Calibri"/>
                <w:sz w:val="20"/>
                <w:szCs w:val="20"/>
              </w:rPr>
            </w:pPr>
            <w:r w:rsidRPr="00503014">
              <w:rPr>
                <w:rFonts w:eastAsia="Calibri" w:cs="Calibri"/>
                <w:sz w:val="20"/>
                <w:szCs w:val="20"/>
              </w:rPr>
              <w:t>3.280</w:t>
            </w:r>
          </w:p>
        </w:tc>
        <w:tc>
          <w:tcPr>
            <w:tcW w:w="851" w:type="dxa"/>
          </w:tcPr>
          <w:p w14:paraId="7440E22F" w14:textId="77777777" w:rsidR="00695AE2" w:rsidRPr="00503014" w:rsidRDefault="00695AE2" w:rsidP="00980493">
            <w:pPr>
              <w:jc w:val="center"/>
              <w:rPr>
                <w:rFonts w:eastAsia="Calibri" w:cs="Calibri"/>
                <w:sz w:val="20"/>
                <w:szCs w:val="20"/>
              </w:rPr>
            </w:pPr>
            <w:r w:rsidRPr="00503014">
              <w:rPr>
                <w:rFonts w:eastAsia="Calibri" w:cs="Calibri"/>
                <w:sz w:val="20"/>
                <w:szCs w:val="20"/>
              </w:rPr>
              <w:t>1.986</w:t>
            </w:r>
          </w:p>
        </w:tc>
        <w:tc>
          <w:tcPr>
            <w:tcW w:w="1276" w:type="dxa"/>
          </w:tcPr>
          <w:p w14:paraId="78320FFE" w14:textId="77777777" w:rsidR="00695AE2" w:rsidRPr="00503014" w:rsidRDefault="00695AE2" w:rsidP="00980493">
            <w:pPr>
              <w:jc w:val="center"/>
              <w:rPr>
                <w:rFonts w:eastAsia="Calibri" w:cs="Calibri"/>
                <w:sz w:val="20"/>
                <w:szCs w:val="20"/>
              </w:rPr>
            </w:pPr>
            <w:r w:rsidRPr="00503014">
              <w:rPr>
                <w:rFonts w:eastAsia="Calibri" w:cs="Calibri"/>
                <w:sz w:val="20"/>
                <w:szCs w:val="20"/>
              </w:rPr>
              <w:t>1.294</w:t>
            </w:r>
          </w:p>
        </w:tc>
        <w:tc>
          <w:tcPr>
            <w:tcW w:w="1559" w:type="dxa"/>
          </w:tcPr>
          <w:p w14:paraId="339C8B45"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6500EE7C" w14:textId="77777777" w:rsidTr="00980493">
        <w:trPr>
          <w:trHeight w:val="192"/>
        </w:trPr>
        <w:tc>
          <w:tcPr>
            <w:tcW w:w="2972" w:type="dxa"/>
          </w:tcPr>
          <w:p w14:paraId="2F6CBE2A" w14:textId="77777777" w:rsidR="00695AE2" w:rsidRPr="00503014" w:rsidRDefault="00695AE2" w:rsidP="00980493">
            <w:pPr>
              <w:rPr>
                <w:rFonts w:eastAsia="Calibri" w:cs="Calibri"/>
                <w:sz w:val="20"/>
                <w:szCs w:val="20"/>
              </w:rPr>
            </w:pPr>
            <w:r w:rsidRPr="00503014">
              <w:rPr>
                <w:rFonts w:eastAsia="Calibri" w:cs="Calibri"/>
                <w:sz w:val="20"/>
                <w:szCs w:val="20"/>
              </w:rPr>
              <w:t>predhodni odškodninski postopki po ZKP</w:t>
            </w:r>
          </w:p>
        </w:tc>
        <w:tc>
          <w:tcPr>
            <w:tcW w:w="1418" w:type="dxa"/>
          </w:tcPr>
          <w:p w14:paraId="79C81BF5" w14:textId="77777777" w:rsidR="00695AE2" w:rsidRPr="00503014" w:rsidRDefault="00695AE2" w:rsidP="00980493">
            <w:pPr>
              <w:jc w:val="center"/>
              <w:rPr>
                <w:rFonts w:eastAsia="Calibri" w:cs="Calibri"/>
                <w:sz w:val="20"/>
                <w:szCs w:val="20"/>
              </w:rPr>
            </w:pPr>
            <w:r w:rsidRPr="00503014">
              <w:rPr>
                <w:rFonts w:eastAsia="Calibri" w:cs="Calibri"/>
                <w:sz w:val="20"/>
                <w:szCs w:val="20"/>
              </w:rPr>
              <w:t>20</w:t>
            </w:r>
          </w:p>
        </w:tc>
        <w:tc>
          <w:tcPr>
            <w:tcW w:w="897" w:type="dxa"/>
          </w:tcPr>
          <w:p w14:paraId="0CE589E2" w14:textId="77777777" w:rsidR="00695AE2" w:rsidRPr="00503014" w:rsidRDefault="00695AE2" w:rsidP="00980493">
            <w:pPr>
              <w:jc w:val="center"/>
              <w:rPr>
                <w:rFonts w:eastAsia="Calibri" w:cs="Calibri"/>
                <w:sz w:val="20"/>
                <w:szCs w:val="20"/>
              </w:rPr>
            </w:pPr>
            <w:r w:rsidRPr="00503014">
              <w:rPr>
                <w:rFonts w:eastAsia="Calibri" w:cs="Calibri"/>
                <w:sz w:val="20"/>
                <w:szCs w:val="20"/>
              </w:rPr>
              <w:t>40</w:t>
            </w:r>
          </w:p>
        </w:tc>
        <w:tc>
          <w:tcPr>
            <w:tcW w:w="945" w:type="dxa"/>
          </w:tcPr>
          <w:p w14:paraId="5CE74A96" w14:textId="77777777" w:rsidR="00695AE2" w:rsidRPr="00503014" w:rsidRDefault="00695AE2" w:rsidP="00980493">
            <w:pPr>
              <w:jc w:val="center"/>
              <w:rPr>
                <w:rFonts w:eastAsia="Calibri" w:cs="Calibri"/>
                <w:sz w:val="20"/>
                <w:szCs w:val="20"/>
              </w:rPr>
            </w:pPr>
            <w:r w:rsidRPr="00503014">
              <w:rPr>
                <w:rFonts w:eastAsia="Calibri" w:cs="Calibri"/>
                <w:sz w:val="20"/>
                <w:szCs w:val="20"/>
              </w:rPr>
              <w:t>60</w:t>
            </w:r>
          </w:p>
        </w:tc>
        <w:tc>
          <w:tcPr>
            <w:tcW w:w="851" w:type="dxa"/>
          </w:tcPr>
          <w:p w14:paraId="30255222" w14:textId="77777777" w:rsidR="00695AE2" w:rsidRPr="00503014" w:rsidRDefault="00695AE2" w:rsidP="00980493">
            <w:pPr>
              <w:jc w:val="center"/>
              <w:rPr>
                <w:rFonts w:eastAsia="Calibri" w:cs="Calibri"/>
                <w:sz w:val="20"/>
                <w:szCs w:val="20"/>
              </w:rPr>
            </w:pPr>
            <w:r w:rsidRPr="00503014">
              <w:rPr>
                <w:rFonts w:eastAsia="Calibri" w:cs="Calibri"/>
                <w:sz w:val="20"/>
                <w:szCs w:val="20"/>
              </w:rPr>
              <w:t>50</w:t>
            </w:r>
          </w:p>
        </w:tc>
        <w:tc>
          <w:tcPr>
            <w:tcW w:w="1276" w:type="dxa"/>
          </w:tcPr>
          <w:p w14:paraId="22CC9C93" w14:textId="77777777" w:rsidR="00695AE2" w:rsidRPr="00503014" w:rsidRDefault="00695AE2" w:rsidP="00980493">
            <w:pPr>
              <w:jc w:val="center"/>
              <w:rPr>
                <w:rFonts w:eastAsia="Calibri" w:cs="Calibri"/>
                <w:sz w:val="20"/>
                <w:szCs w:val="20"/>
              </w:rPr>
            </w:pPr>
            <w:r w:rsidRPr="00503014">
              <w:rPr>
                <w:rFonts w:eastAsia="Calibri" w:cs="Calibri"/>
                <w:sz w:val="20"/>
                <w:szCs w:val="20"/>
              </w:rPr>
              <w:t>10</w:t>
            </w:r>
          </w:p>
        </w:tc>
        <w:tc>
          <w:tcPr>
            <w:tcW w:w="1559" w:type="dxa"/>
          </w:tcPr>
          <w:p w14:paraId="1E9F6C0D"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6718883F" w14:textId="77777777" w:rsidTr="00980493">
        <w:trPr>
          <w:trHeight w:val="179"/>
        </w:trPr>
        <w:tc>
          <w:tcPr>
            <w:tcW w:w="2972" w:type="dxa"/>
          </w:tcPr>
          <w:p w14:paraId="6FC9FAFD" w14:textId="77777777" w:rsidR="00695AE2" w:rsidRPr="00503014" w:rsidRDefault="00695AE2" w:rsidP="00980493">
            <w:pPr>
              <w:rPr>
                <w:rFonts w:eastAsia="Calibri" w:cs="Calibri"/>
                <w:sz w:val="20"/>
                <w:szCs w:val="20"/>
              </w:rPr>
            </w:pPr>
            <w:r w:rsidRPr="00503014">
              <w:rPr>
                <w:rFonts w:eastAsia="Calibri" w:cs="Calibri"/>
                <w:sz w:val="20"/>
                <w:szCs w:val="20"/>
              </w:rPr>
              <w:t>predhodni odškodninski postopki po ZP-1</w:t>
            </w:r>
          </w:p>
        </w:tc>
        <w:tc>
          <w:tcPr>
            <w:tcW w:w="1418" w:type="dxa"/>
          </w:tcPr>
          <w:p w14:paraId="32AEA3FD" w14:textId="77777777" w:rsidR="00695AE2" w:rsidRPr="00503014" w:rsidRDefault="00695AE2" w:rsidP="00980493">
            <w:pPr>
              <w:jc w:val="center"/>
              <w:rPr>
                <w:rFonts w:eastAsia="Calibri" w:cs="Calibri"/>
                <w:sz w:val="20"/>
                <w:szCs w:val="20"/>
              </w:rPr>
            </w:pPr>
            <w:r w:rsidRPr="00503014">
              <w:rPr>
                <w:rFonts w:eastAsia="Calibri" w:cs="Calibri"/>
                <w:sz w:val="20"/>
                <w:szCs w:val="20"/>
              </w:rPr>
              <w:t>3</w:t>
            </w:r>
          </w:p>
        </w:tc>
        <w:tc>
          <w:tcPr>
            <w:tcW w:w="897" w:type="dxa"/>
          </w:tcPr>
          <w:p w14:paraId="70D5DFEC" w14:textId="77777777" w:rsidR="00695AE2" w:rsidRPr="00503014" w:rsidRDefault="00695AE2" w:rsidP="00980493">
            <w:pPr>
              <w:jc w:val="center"/>
              <w:rPr>
                <w:rFonts w:eastAsia="Calibri" w:cs="Calibri"/>
                <w:sz w:val="20"/>
                <w:szCs w:val="20"/>
              </w:rPr>
            </w:pPr>
            <w:r w:rsidRPr="00503014">
              <w:rPr>
                <w:rFonts w:eastAsia="Calibri" w:cs="Calibri"/>
                <w:sz w:val="20"/>
                <w:szCs w:val="20"/>
              </w:rPr>
              <w:t>12</w:t>
            </w:r>
          </w:p>
        </w:tc>
        <w:tc>
          <w:tcPr>
            <w:tcW w:w="945" w:type="dxa"/>
          </w:tcPr>
          <w:p w14:paraId="57FC57B8" w14:textId="77777777" w:rsidR="00695AE2" w:rsidRPr="00503014" w:rsidRDefault="00695AE2" w:rsidP="00980493">
            <w:pPr>
              <w:jc w:val="center"/>
              <w:rPr>
                <w:rFonts w:eastAsia="Calibri" w:cs="Calibri"/>
                <w:sz w:val="20"/>
                <w:szCs w:val="20"/>
              </w:rPr>
            </w:pPr>
            <w:r w:rsidRPr="00503014">
              <w:rPr>
                <w:rFonts w:eastAsia="Calibri" w:cs="Calibri"/>
                <w:sz w:val="20"/>
                <w:szCs w:val="20"/>
              </w:rPr>
              <w:t>15</w:t>
            </w:r>
          </w:p>
        </w:tc>
        <w:tc>
          <w:tcPr>
            <w:tcW w:w="851" w:type="dxa"/>
          </w:tcPr>
          <w:p w14:paraId="06BE18C5" w14:textId="77777777" w:rsidR="00695AE2" w:rsidRPr="00503014" w:rsidRDefault="00695AE2" w:rsidP="00980493">
            <w:pPr>
              <w:jc w:val="center"/>
              <w:rPr>
                <w:rFonts w:eastAsia="Calibri" w:cs="Calibri"/>
                <w:sz w:val="20"/>
                <w:szCs w:val="20"/>
              </w:rPr>
            </w:pPr>
            <w:r w:rsidRPr="00503014">
              <w:rPr>
                <w:rFonts w:eastAsia="Calibri" w:cs="Calibri"/>
                <w:sz w:val="20"/>
                <w:szCs w:val="20"/>
              </w:rPr>
              <w:t>10</w:t>
            </w:r>
          </w:p>
        </w:tc>
        <w:tc>
          <w:tcPr>
            <w:tcW w:w="1276" w:type="dxa"/>
          </w:tcPr>
          <w:p w14:paraId="45C8F8C2" w14:textId="77777777" w:rsidR="00695AE2" w:rsidRPr="00503014" w:rsidRDefault="00695AE2" w:rsidP="00980493">
            <w:pPr>
              <w:jc w:val="center"/>
              <w:rPr>
                <w:rFonts w:eastAsia="Calibri" w:cs="Calibri"/>
                <w:sz w:val="20"/>
                <w:szCs w:val="20"/>
              </w:rPr>
            </w:pPr>
            <w:r w:rsidRPr="00503014">
              <w:rPr>
                <w:rFonts w:eastAsia="Calibri" w:cs="Calibri"/>
                <w:sz w:val="20"/>
                <w:szCs w:val="20"/>
              </w:rPr>
              <w:t>5</w:t>
            </w:r>
          </w:p>
        </w:tc>
        <w:tc>
          <w:tcPr>
            <w:tcW w:w="1559" w:type="dxa"/>
          </w:tcPr>
          <w:p w14:paraId="49FC1759"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7A0C68FA" w14:textId="77777777" w:rsidTr="00980493">
        <w:trPr>
          <w:trHeight w:val="192"/>
        </w:trPr>
        <w:tc>
          <w:tcPr>
            <w:tcW w:w="2972" w:type="dxa"/>
          </w:tcPr>
          <w:p w14:paraId="332FCDB3" w14:textId="77777777" w:rsidR="00695AE2" w:rsidRPr="00503014" w:rsidRDefault="00695AE2" w:rsidP="00980493">
            <w:pPr>
              <w:rPr>
                <w:rFonts w:eastAsia="Calibri" w:cs="Calibri"/>
                <w:sz w:val="20"/>
                <w:szCs w:val="20"/>
              </w:rPr>
            </w:pPr>
            <w:r w:rsidRPr="00503014">
              <w:rPr>
                <w:rFonts w:eastAsia="Calibri" w:cs="Calibri"/>
                <w:sz w:val="20"/>
                <w:szCs w:val="20"/>
              </w:rPr>
              <w:t>postopki po ZVPSBNO</w:t>
            </w:r>
          </w:p>
        </w:tc>
        <w:tc>
          <w:tcPr>
            <w:tcW w:w="1418" w:type="dxa"/>
          </w:tcPr>
          <w:p w14:paraId="4BF32CAF" w14:textId="77777777" w:rsidR="00695AE2" w:rsidRPr="00503014" w:rsidRDefault="00695AE2" w:rsidP="00980493">
            <w:pPr>
              <w:jc w:val="center"/>
              <w:rPr>
                <w:rFonts w:eastAsia="Calibri" w:cs="Calibri"/>
                <w:sz w:val="20"/>
                <w:szCs w:val="20"/>
              </w:rPr>
            </w:pPr>
            <w:r w:rsidRPr="00503014">
              <w:rPr>
                <w:rFonts w:eastAsia="Calibri" w:cs="Calibri"/>
                <w:sz w:val="20"/>
                <w:szCs w:val="20"/>
              </w:rPr>
              <w:t>37</w:t>
            </w:r>
          </w:p>
        </w:tc>
        <w:tc>
          <w:tcPr>
            <w:tcW w:w="897" w:type="dxa"/>
          </w:tcPr>
          <w:p w14:paraId="4B061B8D" w14:textId="77777777" w:rsidR="00695AE2" w:rsidRPr="00503014" w:rsidRDefault="00695AE2" w:rsidP="00980493">
            <w:pPr>
              <w:jc w:val="center"/>
              <w:rPr>
                <w:rFonts w:eastAsia="Calibri" w:cs="Calibri"/>
                <w:sz w:val="20"/>
                <w:szCs w:val="20"/>
              </w:rPr>
            </w:pPr>
            <w:r w:rsidRPr="00503014">
              <w:rPr>
                <w:rFonts w:eastAsia="Calibri" w:cs="Calibri"/>
                <w:sz w:val="20"/>
                <w:szCs w:val="20"/>
              </w:rPr>
              <w:t>52</w:t>
            </w:r>
          </w:p>
        </w:tc>
        <w:tc>
          <w:tcPr>
            <w:tcW w:w="945" w:type="dxa"/>
          </w:tcPr>
          <w:p w14:paraId="445BD23B" w14:textId="77777777" w:rsidR="00695AE2" w:rsidRPr="00503014" w:rsidRDefault="00695AE2" w:rsidP="00980493">
            <w:pPr>
              <w:jc w:val="center"/>
              <w:rPr>
                <w:rFonts w:eastAsia="Calibri" w:cs="Calibri"/>
                <w:sz w:val="20"/>
                <w:szCs w:val="20"/>
              </w:rPr>
            </w:pPr>
            <w:r w:rsidRPr="00503014">
              <w:rPr>
                <w:rFonts w:eastAsia="Calibri" w:cs="Calibri"/>
                <w:sz w:val="20"/>
                <w:szCs w:val="20"/>
              </w:rPr>
              <w:t>89</w:t>
            </w:r>
          </w:p>
        </w:tc>
        <w:tc>
          <w:tcPr>
            <w:tcW w:w="851" w:type="dxa"/>
          </w:tcPr>
          <w:p w14:paraId="119CEB64" w14:textId="77777777" w:rsidR="00695AE2" w:rsidRPr="00503014" w:rsidRDefault="00695AE2" w:rsidP="00980493">
            <w:pPr>
              <w:jc w:val="center"/>
              <w:rPr>
                <w:rFonts w:eastAsia="Calibri" w:cs="Calibri"/>
                <w:sz w:val="20"/>
                <w:szCs w:val="20"/>
              </w:rPr>
            </w:pPr>
            <w:r w:rsidRPr="00503014">
              <w:rPr>
                <w:rFonts w:eastAsia="Calibri" w:cs="Calibri"/>
                <w:sz w:val="20"/>
                <w:szCs w:val="20"/>
              </w:rPr>
              <w:t>62</w:t>
            </w:r>
          </w:p>
        </w:tc>
        <w:tc>
          <w:tcPr>
            <w:tcW w:w="1276" w:type="dxa"/>
          </w:tcPr>
          <w:p w14:paraId="4BFF1985" w14:textId="77777777" w:rsidR="00695AE2" w:rsidRPr="00503014" w:rsidRDefault="00695AE2" w:rsidP="00980493">
            <w:pPr>
              <w:jc w:val="center"/>
              <w:rPr>
                <w:rFonts w:eastAsia="Calibri" w:cs="Calibri"/>
                <w:sz w:val="20"/>
                <w:szCs w:val="20"/>
              </w:rPr>
            </w:pPr>
            <w:r w:rsidRPr="00503014">
              <w:rPr>
                <w:rFonts w:eastAsia="Calibri" w:cs="Calibri"/>
                <w:sz w:val="20"/>
                <w:szCs w:val="20"/>
              </w:rPr>
              <w:t>27</w:t>
            </w:r>
          </w:p>
        </w:tc>
        <w:tc>
          <w:tcPr>
            <w:tcW w:w="1559" w:type="dxa"/>
          </w:tcPr>
          <w:p w14:paraId="1482D404"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10615F5D" w14:textId="77777777" w:rsidTr="00980493">
        <w:trPr>
          <w:trHeight w:val="179"/>
        </w:trPr>
        <w:tc>
          <w:tcPr>
            <w:tcW w:w="2972" w:type="dxa"/>
          </w:tcPr>
          <w:p w14:paraId="4924429E" w14:textId="77777777" w:rsidR="00695AE2" w:rsidRPr="00503014" w:rsidRDefault="00695AE2" w:rsidP="00980493">
            <w:pPr>
              <w:rPr>
                <w:rFonts w:eastAsia="Calibri" w:cs="Calibri"/>
                <w:sz w:val="20"/>
                <w:szCs w:val="20"/>
              </w:rPr>
            </w:pPr>
            <w:r w:rsidRPr="00503014">
              <w:rPr>
                <w:rFonts w:eastAsia="Calibri" w:cs="Calibri"/>
                <w:sz w:val="20"/>
                <w:szCs w:val="20"/>
              </w:rPr>
              <w:t>postopki po ZPŠOIRSP</w:t>
            </w:r>
          </w:p>
        </w:tc>
        <w:tc>
          <w:tcPr>
            <w:tcW w:w="1418" w:type="dxa"/>
          </w:tcPr>
          <w:p w14:paraId="0F1C94B9" w14:textId="77777777" w:rsidR="00695AE2" w:rsidRPr="00503014" w:rsidRDefault="00695AE2" w:rsidP="00980493">
            <w:pPr>
              <w:jc w:val="center"/>
              <w:rPr>
                <w:rFonts w:eastAsia="Calibri" w:cs="Calibri"/>
                <w:sz w:val="20"/>
                <w:szCs w:val="20"/>
              </w:rPr>
            </w:pPr>
            <w:r w:rsidRPr="00503014">
              <w:rPr>
                <w:rFonts w:eastAsia="Calibri" w:cs="Calibri"/>
                <w:sz w:val="20"/>
                <w:szCs w:val="20"/>
              </w:rPr>
              <w:t>40</w:t>
            </w:r>
          </w:p>
        </w:tc>
        <w:tc>
          <w:tcPr>
            <w:tcW w:w="897" w:type="dxa"/>
          </w:tcPr>
          <w:p w14:paraId="5682313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45" w:type="dxa"/>
          </w:tcPr>
          <w:p w14:paraId="5BA69A57" w14:textId="77777777" w:rsidR="00695AE2" w:rsidRPr="00503014" w:rsidRDefault="00695AE2" w:rsidP="00980493">
            <w:pPr>
              <w:jc w:val="center"/>
              <w:rPr>
                <w:rFonts w:eastAsia="Calibri" w:cs="Calibri"/>
                <w:sz w:val="20"/>
                <w:szCs w:val="20"/>
              </w:rPr>
            </w:pPr>
            <w:r w:rsidRPr="00503014">
              <w:rPr>
                <w:rFonts w:eastAsia="Calibri" w:cs="Calibri"/>
                <w:sz w:val="20"/>
                <w:szCs w:val="20"/>
              </w:rPr>
              <w:t>40</w:t>
            </w:r>
          </w:p>
        </w:tc>
        <w:tc>
          <w:tcPr>
            <w:tcW w:w="851" w:type="dxa"/>
          </w:tcPr>
          <w:p w14:paraId="217BDE83" w14:textId="77777777" w:rsidR="00695AE2" w:rsidRPr="00503014" w:rsidRDefault="00695AE2" w:rsidP="00980493">
            <w:pPr>
              <w:jc w:val="center"/>
              <w:rPr>
                <w:rFonts w:eastAsia="Calibri" w:cs="Calibri"/>
                <w:sz w:val="20"/>
                <w:szCs w:val="20"/>
              </w:rPr>
            </w:pPr>
            <w:r w:rsidRPr="00503014">
              <w:rPr>
                <w:rFonts w:eastAsia="Calibri" w:cs="Calibri"/>
                <w:sz w:val="20"/>
                <w:szCs w:val="20"/>
              </w:rPr>
              <w:t>17</w:t>
            </w:r>
          </w:p>
        </w:tc>
        <w:tc>
          <w:tcPr>
            <w:tcW w:w="1276" w:type="dxa"/>
          </w:tcPr>
          <w:p w14:paraId="28141870" w14:textId="77777777" w:rsidR="00695AE2" w:rsidRPr="00503014" w:rsidRDefault="00695AE2" w:rsidP="00980493">
            <w:pPr>
              <w:jc w:val="center"/>
              <w:rPr>
                <w:rFonts w:eastAsia="Calibri" w:cs="Calibri"/>
                <w:sz w:val="20"/>
                <w:szCs w:val="20"/>
              </w:rPr>
            </w:pPr>
            <w:r w:rsidRPr="00503014">
              <w:rPr>
                <w:rFonts w:eastAsia="Calibri" w:cs="Calibri"/>
                <w:sz w:val="20"/>
                <w:szCs w:val="20"/>
              </w:rPr>
              <w:t>23</w:t>
            </w:r>
          </w:p>
        </w:tc>
        <w:tc>
          <w:tcPr>
            <w:tcW w:w="1559" w:type="dxa"/>
          </w:tcPr>
          <w:p w14:paraId="25FA5A27"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2B48F6E9" w14:textId="77777777" w:rsidTr="00980493">
        <w:trPr>
          <w:trHeight w:val="192"/>
        </w:trPr>
        <w:tc>
          <w:tcPr>
            <w:tcW w:w="2972" w:type="dxa"/>
          </w:tcPr>
          <w:p w14:paraId="02943A6C" w14:textId="77777777" w:rsidR="00695AE2" w:rsidRPr="00503014" w:rsidRDefault="00695AE2" w:rsidP="00980493">
            <w:pPr>
              <w:rPr>
                <w:rFonts w:eastAsia="Calibri" w:cs="Calibri"/>
                <w:sz w:val="20"/>
                <w:szCs w:val="20"/>
              </w:rPr>
            </w:pPr>
            <w:r w:rsidRPr="00503014">
              <w:rPr>
                <w:rFonts w:eastAsia="Calibri" w:cs="Calibri"/>
                <w:sz w:val="20"/>
                <w:szCs w:val="20"/>
              </w:rPr>
              <w:t>postopki izvršbe in zavarovanja</w:t>
            </w:r>
          </w:p>
        </w:tc>
        <w:tc>
          <w:tcPr>
            <w:tcW w:w="1418" w:type="dxa"/>
          </w:tcPr>
          <w:p w14:paraId="0B91E73A" w14:textId="77777777" w:rsidR="00695AE2" w:rsidRPr="00503014" w:rsidRDefault="00695AE2" w:rsidP="00980493">
            <w:pPr>
              <w:jc w:val="center"/>
              <w:rPr>
                <w:rFonts w:eastAsia="Calibri" w:cs="Calibri"/>
                <w:sz w:val="20"/>
                <w:szCs w:val="20"/>
              </w:rPr>
            </w:pPr>
            <w:r w:rsidRPr="00503014">
              <w:rPr>
                <w:rFonts w:eastAsia="Calibri" w:cs="Calibri"/>
                <w:sz w:val="20"/>
                <w:szCs w:val="20"/>
              </w:rPr>
              <w:t>8.835</w:t>
            </w:r>
          </w:p>
        </w:tc>
        <w:tc>
          <w:tcPr>
            <w:tcW w:w="897" w:type="dxa"/>
          </w:tcPr>
          <w:p w14:paraId="77605311" w14:textId="77777777" w:rsidR="00695AE2" w:rsidRPr="00503014" w:rsidRDefault="00695AE2" w:rsidP="00980493">
            <w:pPr>
              <w:jc w:val="center"/>
              <w:rPr>
                <w:rFonts w:eastAsia="Calibri" w:cs="Calibri"/>
                <w:sz w:val="20"/>
                <w:szCs w:val="20"/>
              </w:rPr>
            </w:pPr>
            <w:r w:rsidRPr="00503014">
              <w:rPr>
                <w:rFonts w:eastAsia="Calibri" w:cs="Calibri"/>
                <w:sz w:val="20"/>
                <w:szCs w:val="20"/>
              </w:rPr>
              <w:t>4.168</w:t>
            </w:r>
          </w:p>
        </w:tc>
        <w:tc>
          <w:tcPr>
            <w:tcW w:w="945" w:type="dxa"/>
          </w:tcPr>
          <w:p w14:paraId="455FB072" w14:textId="77777777" w:rsidR="00695AE2" w:rsidRPr="00503014" w:rsidRDefault="00695AE2" w:rsidP="00980493">
            <w:pPr>
              <w:jc w:val="center"/>
              <w:rPr>
                <w:rFonts w:eastAsia="Calibri" w:cs="Calibri"/>
                <w:sz w:val="20"/>
                <w:szCs w:val="20"/>
              </w:rPr>
            </w:pPr>
            <w:r w:rsidRPr="00503014">
              <w:rPr>
                <w:rFonts w:eastAsia="Calibri" w:cs="Calibri"/>
                <w:sz w:val="20"/>
                <w:szCs w:val="20"/>
              </w:rPr>
              <w:t>13.003</w:t>
            </w:r>
          </w:p>
        </w:tc>
        <w:tc>
          <w:tcPr>
            <w:tcW w:w="851" w:type="dxa"/>
          </w:tcPr>
          <w:p w14:paraId="0300EB19" w14:textId="77777777" w:rsidR="00695AE2" w:rsidRPr="00503014" w:rsidRDefault="00695AE2" w:rsidP="00980493">
            <w:pPr>
              <w:jc w:val="center"/>
              <w:rPr>
                <w:rFonts w:eastAsia="Calibri" w:cs="Calibri"/>
                <w:sz w:val="20"/>
                <w:szCs w:val="20"/>
              </w:rPr>
            </w:pPr>
            <w:r w:rsidRPr="00503014">
              <w:rPr>
                <w:rFonts w:eastAsia="Calibri" w:cs="Calibri"/>
                <w:sz w:val="20"/>
                <w:szCs w:val="20"/>
              </w:rPr>
              <w:t>5.058</w:t>
            </w:r>
          </w:p>
        </w:tc>
        <w:tc>
          <w:tcPr>
            <w:tcW w:w="1276" w:type="dxa"/>
          </w:tcPr>
          <w:p w14:paraId="5547BDDA" w14:textId="77777777" w:rsidR="00695AE2" w:rsidRPr="00503014" w:rsidRDefault="00695AE2" w:rsidP="00980493">
            <w:pPr>
              <w:jc w:val="center"/>
              <w:rPr>
                <w:rFonts w:eastAsia="Calibri" w:cs="Calibri"/>
                <w:sz w:val="20"/>
                <w:szCs w:val="20"/>
              </w:rPr>
            </w:pPr>
            <w:r w:rsidRPr="00503014">
              <w:rPr>
                <w:rFonts w:eastAsia="Calibri" w:cs="Calibri"/>
                <w:sz w:val="20"/>
                <w:szCs w:val="20"/>
              </w:rPr>
              <w:t>7.945</w:t>
            </w:r>
          </w:p>
        </w:tc>
        <w:tc>
          <w:tcPr>
            <w:tcW w:w="1559" w:type="dxa"/>
          </w:tcPr>
          <w:p w14:paraId="3C4B2EA3"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27D3CD8C" w14:textId="77777777" w:rsidTr="00980493">
        <w:trPr>
          <w:trHeight w:val="192"/>
        </w:trPr>
        <w:tc>
          <w:tcPr>
            <w:tcW w:w="2972" w:type="dxa"/>
          </w:tcPr>
          <w:p w14:paraId="29351E5D" w14:textId="77777777" w:rsidR="00695AE2" w:rsidRPr="00503014" w:rsidRDefault="00695AE2" w:rsidP="00980493">
            <w:pPr>
              <w:rPr>
                <w:rFonts w:eastAsia="Calibri" w:cs="Calibri"/>
                <w:sz w:val="20"/>
                <w:szCs w:val="20"/>
              </w:rPr>
            </w:pPr>
            <w:r w:rsidRPr="00503014">
              <w:rPr>
                <w:rFonts w:eastAsia="Calibri" w:cs="Calibri"/>
                <w:sz w:val="20"/>
                <w:szCs w:val="20"/>
              </w:rPr>
              <w:lastRenderedPageBreak/>
              <w:t>postopki zaradi insolventnosti in postopki prisilnega prenehanja</w:t>
            </w:r>
          </w:p>
        </w:tc>
        <w:tc>
          <w:tcPr>
            <w:tcW w:w="1418" w:type="dxa"/>
          </w:tcPr>
          <w:p w14:paraId="75DAA7D4" w14:textId="77777777" w:rsidR="00695AE2" w:rsidRPr="00503014" w:rsidRDefault="00695AE2" w:rsidP="00980493">
            <w:pPr>
              <w:jc w:val="center"/>
              <w:rPr>
                <w:rFonts w:eastAsia="Calibri" w:cs="Calibri"/>
                <w:sz w:val="20"/>
                <w:szCs w:val="20"/>
              </w:rPr>
            </w:pPr>
            <w:r w:rsidRPr="00503014">
              <w:rPr>
                <w:rFonts w:eastAsia="Calibri" w:cs="Calibri"/>
                <w:sz w:val="20"/>
                <w:szCs w:val="20"/>
              </w:rPr>
              <w:t>8.758</w:t>
            </w:r>
          </w:p>
        </w:tc>
        <w:tc>
          <w:tcPr>
            <w:tcW w:w="897" w:type="dxa"/>
          </w:tcPr>
          <w:p w14:paraId="60656C3F" w14:textId="77777777" w:rsidR="00695AE2" w:rsidRPr="00503014" w:rsidRDefault="00695AE2" w:rsidP="00980493">
            <w:pPr>
              <w:jc w:val="center"/>
              <w:rPr>
                <w:rFonts w:eastAsia="Calibri" w:cs="Calibri"/>
                <w:sz w:val="20"/>
                <w:szCs w:val="20"/>
              </w:rPr>
            </w:pPr>
            <w:r w:rsidRPr="00503014">
              <w:rPr>
                <w:rFonts w:eastAsia="Calibri" w:cs="Calibri"/>
                <w:sz w:val="20"/>
                <w:szCs w:val="20"/>
              </w:rPr>
              <w:t>4.705</w:t>
            </w:r>
          </w:p>
        </w:tc>
        <w:tc>
          <w:tcPr>
            <w:tcW w:w="945" w:type="dxa"/>
          </w:tcPr>
          <w:p w14:paraId="2DF68D05" w14:textId="77777777" w:rsidR="00695AE2" w:rsidRPr="00503014" w:rsidRDefault="00695AE2" w:rsidP="00980493">
            <w:pPr>
              <w:jc w:val="center"/>
              <w:rPr>
                <w:rFonts w:eastAsia="Calibri" w:cs="Calibri"/>
                <w:sz w:val="20"/>
                <w:szCs w:val="20"/>
              </w:rPr>
            </w:pPr>
            <w:r w:rsidRPr="00503014">
              <w:rPr>
                <w:rFonts w:eastAsia="Calibri" w:cs="Calibri"/>
                <w:sz w:val="20"/>
                <w:szCs w:val="20"/>
              </w:rPr>
              <w:t>13.463</w:t>
            </w:r>
          </w:p>
        </w:tc>
        <w:tc>
          <w:tcPr>
            <w:tcW w:w="851" w:type="dxa"/>
          </w:tcPr>
          <w:p w14:paraId="668CD460" w14:textId="77777777" w:rsidR="00695AE2" w:rsidRPr="00503014" w:rsidRDefault="00695AE2" w:rsidP="00980493">
            <w:pPr>
              <w:jc w:val="center"/>
              <w:rPr>
                <w:rFonts w:eastAsia="Calibri" w:cs="Calibri"/>
                <w:sz w:val="20"/>
                <w:szCs w:val="20"/>
              </w:rPr>
            </w:pPr>
            <w:r w:rsidRPr="00503014">
              <w:rPr>
                <w:rFonts w:eastAsia="Calibri" w:cs="Calibri"/>
                <w:sz w:val="20"/>
                <w:szCs w:val="20"/>
              </w:rPr>
              <w:t>4.907</w:t>
            </w:r>
          </w:p>
        </w:tc>
        <w:tc>
          <w:tcPr>
            <w:tcW w:w="1276" w:type="dxa"/>
          </w:tcPr>
          <w:p w14:paraId="43BC65BB" w14:textId="77777777" w:rsidR="00695AE2" w:rsidRPr="00503014" w:rsidRDefault="00695AE2" w:rsidP="00980493">
            <w:pPr>
              <w:jc w:val="center"/>
              <w:rPr>
                <w:rFonts w:eastAsia="Calibri" w:cs="Calibri"/>
                <w:sz w:val="20"/>
                <w:szCs w:val="20"/>
              </w:rPr>
            </w:pPr>
            <w:r w:rsidRPr="00503014">
              <w:rPr>
                <w:rFonts w:eastAsia="Calibri" w:cs="Calibri"/>
                <w:sz w:val="20"/>
                <w:szCs w:val="20"/>
              </w:rPr>
              <w:t>8.556</w:t>
            </w:r>
          </w:p>
        </w:tc>
        <w:tc>
          <w:tcPr>
            <w:tcW w:w="1559" w:type="dxa"/>
          </w:tcPr>
          <w:p w14:paraId="2D977E44"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3C51B320" w14:textId="77777777" w:rsidTr="00980493">
        <w:trPr>
          <w:trHeight w:val="192"/>
        </w:trPr>
        <w:tc>
          <w:tcPr>
            <w:tcW w:w="2972" w:type="dxa"/>
          </w:tcPr>
          <w:p w14:paraId="03813B58" w14:textId="77777777" w:rsidR="00695AE2" w:rsidRPr="00503014" w:rsidRDefault="00695AE2" w:rsidP="00980493">
            <w:pPr>
              <w:rPr>
                <w:rFonts w:eastAsia="Calibri" w:cs="Calibri"/>
                <w:sz w:val="20"/>
                <w:szCs w:val="20"/>
              </w:rPr>
            </w:pPr>
            <w:r w:rsidRPr="00503014">
              <w:rPr>
                <w:rFonts w:eastAsia="Calibri" w:cs="Calibri"/>
                <w:sz w:val="20"/>
                <w:szCs w:val="20"/>
              </w:rPr>
              <w:t>nepravdni postopki</w:t>
            </w:r>
          </w:p>
        </w:tc>
        <w:tc>
          <w:tcPr>
            <w:tcW w:w="1418" w:type="dxa"/>
          </w:tcPr>
          <w:p w14:paraId="0FCE5D63" w14:textId="77777777" w:rsidR="00695AE2" w:rsidRPr="00503014" w:rsidRDefault="00695AE2" w:rsidP="00980493">
            <w:pPr>
              <w:jc w:val="center"/>
              <w:rPr>
                <w:rFonts w:eastAsia="Calibri" w:cs="Calibri"/>
                <w:sz w:val="20"/>
                <w:szCs w:val="20"/>
              </w:rPr>
            </w:pPr>
            <w:r w:rsidRPr="00503014">
              <w:rPr>
                <w:rFonts w:eastAsia="Calibri" w:cs="Calibri"/>
                <w:sz w:val="20"/>
                <w:szCs w:val="20"/>
              </w:rPr>
              <w:t>8.959</w:t>
            </w:r>
          </w:p>
        </w:tc>
        <w:tc>
          <w:tcPr>
            <w:tcW w:w="897" w:type="dxa"/>
          </w:tcPr>
          <w:p w14:paraId="7AE15E33" w14:textId="77777777" w:rsidR="00695AE2" w:rsidRPr="00503014" w:rsidRDefault="00695AE2" w:rsidP="00980493">
            <w:pPr>
              <w:jc w:val="center"/>
              <w:rPr>
                <w:rFonts w:eastAsia="Calibri" w:cs="Calibri"/>
                <w:sz w:val="20"/>
                <w:szCs w:val="20"/>
              </w:rPr>
            </w:pPr>
            <w:r w:rsidRPr="00503014">
              <w:rPr>
                <w:rFonts w:eastAsia="Calibri" w:cs="Calibri"/>
                <w:sz w:val="20"/>
                <w:szCs w:val="20"/>
              </w:rPr>
              <w:t>15.546</w:t>
            </w:r>
          </w:p>
        </w:tc>
        <w:tc>
          <w:tcPr>
            <w:tcW w:w="945" w:type="dxa"/>
          </w:tcPr>
          <w:p w14:paraId="32E7D66B" w14:textId="77777777" w:rsidR="00695AE2" w:rsidRPr="00503014" w:rsidRDefault="00695AE2" w:rsidP="00980493">
            <w:pPr>
              <w:jc w:val="center"/>
              <w:rPr>
                <w:rFonts w:eastAsia="Calibri" w:cs="Calibri"/>
                <w:sz w:val="20"/>
                <w:szCs w:val="20"/>
              </w:rPr>
            </w:pPr>
            <w:r w:rsidRPr="00503014">
              <w:rPr>
                <w:rFonts w:eastAsia="Calibri" w:cs="Calibri"/>
                <w:sz w:val="20"/>
                <w:szCs w:val="20"/>
              </w:rPr>
              <w:t>24.505</w:t>
            </w:r>
          </w:p>
        </w:tc>
        <w:tc>
          <w:tcPr>
            <w:tcW w:w="851" w:type="dxa"/>
          </w:tcPr>
          <w:p w14:paraId="0319A582" w14:textId="77777777" w:rsidR="00695AE2" w:rsidRPr="00503014" w:rsidRDefault="00695AE2" w:rsidP="00980493">
            <w:pPr>
              <w:jc w:val="center"/>
              <w:rPr>
                <w:rFonts w:eastAsia="Calibri" w:cs="Calibri"/>
                <w:sz w:val="20"/>
                <w:szCs w:val="20"/>
              </w:rPr>
            </w:pPr>
            <w:r w:rsidRPr="00503014">
              <w:rPr>
                <w:rFonts w:eastAsia="Calibri" w:cs="Calibri"/>
                <w:sz w:val="20"/>
                <w:szCs w:val="20"/>
              </w:rPr>
              <w:t>16.390</w:t>
            </w:r>
          </w:p>
        </w:tc>
        <w:tc>
          <w:tcPr>
            <w:tcW w:w="1276" w:type="dxa"/>
          </w:tcPr>
          <w:p w14:paraId="09EF2F84" w14:textId="77777777" w:rsidR="00695AE2" w:rsidRPr="00503014" w:rsidRDefault="00695AE2" w:rsidP="00980493">
            <w:pPr>
              <w:jc w:val="center"/>
              <w:rPr>
                <w:rFonts w:eastAsia="Calibri" w:cs="Calibri"/>
                <w:sz w:val="20"/>
                <w:szCs w:val="20"/>
              </w:rPr>
            </w:pPr>
            <w:r w:rsidRPr="00503014">
              <w:rPr>
                <w:rFonts w:eastAsia="Calibri" w:cs="Calibri"/>
                <w:sz w:val="20"/>
                <w:szCs w:val="20"/>
              </w:rPr>
              <w:t>8.115</w:t>
            </w:r>
          </w:p>
        </w:tc>
        <w:tc>
          <w:tcPr>
            <w:tcW w:w="1559" w:type="dxa"/>
          </w:tcPr>
          <w:p w14:paraId="37FE92C7"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61379A52" w14:textId="77777777" w:rsidTr="00980493">
        <w:trPr>
          <w:trHeight w:val="192"/>
        </w:trPr>
        <w:tc>
          <w:tcPr>
            <w:tcW w:w="2972" w:type="dxa"/>
          </w:tcPr>
          <w:p w14:paraId="2551B130" w14:textId="77777777" w:rsidR="00695AE2" w:rsidRPr="00503014" w:rsidRDefault="00695AE2" w:rsidP="00980493">
            <w:pPr>
              <w:rPr>
                <w:rFonts w:eastAsia="Calibri" w:cs="Calibri"/>
                <w:sz w:val="20"/>
                <w:szCs w:val="20"/>
              </w:rPr>
            </w:pPr>
            <w:r w:rsidRPr="00503014">
              <w:rPr>
                <w:rFonts w:eastAsia="Calibri" w:cs="Calibri"/>
                <w:sz w:val="20"/>
                <w:szCs w:val="20"/>
              </w:rPr>
              <w:t>postopki razlastitev</w:t>
            </w:r>
          </w:p>
        </w:tc>
        <w:tc>
          <w:tcPr>
            <w:tcW w:w="1418" w:type="dxa"/>
          </w:tcPr>
          <w:p w14:paraId="4A073AC1" w14:textId="77777777" w:rsidR="00695AE2" w:rsidRPr="00503014" w:rsidRDefault="00695AE2" w:rsidP="00980493">
            <w:pPr>
              <w:jc w:val="center"/>
              <w:rPr>
                <w:rFonts w:eastAsia="Calibri" w:cs="Calibri"/>
                <w:sz w:val="20"/>
                <w:szCs w:val="20"/>
              </w:rPr>
            </w:pPr>
            <w:r w:rsidRPr="00503014">
              <w:rPr>
                <w:rFonts w:eastAsia="Calibri" w:cs="Calibri"/>
                <w:sz w:val="20"/>
                <w:szCs w:val="20"/>
              </w:rPr>
              <w:t>1.741</w:t>
            </w:r>
          </w:p>
        </w:tc>
        <w:tc>
          <w:tcPr>
            <w:tcW w:w="897" w:type="dxa"/>
          </w:tcPr>
          <w:p w14:paraId="1265E06C" w14:textId="77777777" w:rsidR="00695AE2" w:rsidRPr="00503014" w:rsidRDefault="00695AE2" w:rsidP="00980493">
            <w:pPr>
              <w:jc w:val="center"/>
              <w:rPr>
                <w:rFonts w:eastAsia="Calibri" w:cs="Calibri"/>
                <w:sz w:val="20"/>
                <w:szCs w:val="20"/>
              </w:rPr>
            </w:pPr>
            <w:r w:rsidRPr="00503014">
              <w:rPr>
                <w:rFonts w:eastAsia="Calibri" w:cs="Calibri"/>
                <w:sz w:val="20"/>
                <w:szCs w:val="20"/>
              </w:rPr>
              <w:t>503</w:t>
            </w:r>
          </w:p>
        </w:tc>
        <w:tc>
          <w:tcPr>
            <w:tcW w:w="945" w:type="dxa"/>
          </w:tcPr>
          <w:p w14:paraId="695F4EB2" w14:textId="77777777" w:rsidR="00695AE2" w:rsidRPr="00503014" w:rsidRDefault="00695AE2" w:rsidP="00980493">
            <w:pPr>
              <w:jc w:val="center"/>
              <w:rPr>
                <w:rFonts w:eastAsia="Calibri" w:cs="Calibri"/>
                <w:sz w:val="20"/>
                <w:szCs w:val="20"/>
              </w:rPr>
            </w:pPr>
            <w:r w:rsidRPr="00503014">
              <w:rPr>
                <w:rFonts w:eastAsia="Calibri" w:cs="Calibri"/>
                <w:sz w:val="20"/>
                <w:szCs w:val="20"/>
              </w:rPr>
              <w:t>2.244</w:t>
            </w:r>
          </w:p>
        </w:tc>
        <w:tc>
          <w:tcPr>
            <w:tcW w:w="851" w:type="dxa"/>
          </w:tcPr>
          <w:p w14:paraId="085AFD1A" w14:textId="77777777" w:rsidR="00695AE2" w:rsidRPr="00503014" w:rsidRDefault="00695AE2" w:rsidP="00980493">
            <w:pPr>
              <w:jc w:val="center"/>
              <w:rPr>
                <w:rFonts w:eastAsia="Calibri" w:cs="Calibri"/>
                <w:sz w:val="20"/>
                <w:szCs w:val="20"/>
              </w:rPr>
            </w:pPr>
            <w:r w:rsidRPr="00503014">
              <w:rPr>
                <w:rFonts w:eastAsia="Calibri" w:cs="Calibri"/>
                <w:sz w:val="20"/>
                <w:szCs w:val="20"/>
              </w:rPr>
              <w:t>749</w:t>
            </w:r>
          </w:p>
        </w:tc>
        <w:tc>
          <w:tcPr>
            <w:tcW w:w="1276" w:type="dxa"/>
          </w:tcPr>
          <w:p w14:paraId="25AC7A48" w14:textId="77777777" w:rsidR="00695AE2" w:rsidRPr="00503014" w:rsidRDefault="00695AE2" w:rsidP="00980493">
            <w:pPr>
              <w:jc w:val="center"/>
              <w:rPr>
                <w:rFonts w:eastAsia="Calibri" w:cs="Calibri"/>
                <w:sz w:val="20"/>
                <w:szCs w:val="20"/>
              </w:rPr>
            </w:pPr>
            <w:r w:rsidRPr="00503014">
              <w:rPr>
                <w:rFonts w:eastAsia="Calibri" w:cs="Calibri"/>
                <w:sz w:val="20"/>
                <w:szCs w:val="20"/>
              </w:rPr>
              <w:t>1.495</w:t>
            </w:r>
          </w:p>
        </w:tc>
        <w:tc>
          <w:tcPr>
            <w:tcW w:w="1559" w:type="dxa"/>
          </w:tcPr>
          <w:p w14:paraId="64DBD998"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49622202" w14:textId="77777777" w:rsidTr="00980493">
        <w:trPr>
          <w:trHeight w:val="192"/>
        </w:trPr>
        <w:tc>
          <w:tcPr>
            <w:tcW w:w="2972" w:type="dxa"/>
          </w:tcPr>
          <w:p w14:paraId="2D283087" w14:textId="77777777" w:rsidR="00695AE2" w:rsidRPr="00503014" w:rsidRDefault="00695AE2" w:rsidP="00980493">
            <w:pPr>
              <w:rPr>
                <w:rFonts w:eastAsia="Calibri" w:cs="Calibri"/>
                <w:sz w:val="20"/>
                <w:szCs w:val="20"/>
              </w:rPr>
            </w:pPr>
            <w:r w:rsidRPr="00503014">
              <w:rPr>
                <w:rFonts w:eastAsia="Calibri" w:cs="Calibri"/>
                <w:sz w:val="20"/>
                <w:szCs w:val="20"/>
              </w:rPr>
              <w:t>upravne zadeve</w:t>
            </w:r>
          </w:p>
        </w:tc>
        <w:tc>
          <w:tcPr>
            <w:tcW w:w="1418" w:type="dxa"/>
          </w:tcPr>
          <w:p w14:paraId="79DA84BB" w14:textId="77777777" w:rsidR="00695AE2" w:rsidRPr="00503014" w:rsidRDefault="00695AE2" w:rsidP="00980493">
            <w:pPr>
              <w:jc w:val="center"/>
              <w:rPr>
                <w:rFonts w:eastAsia="Calibri" w:cs="Calibri"/>
                <w:sz w:val="20"/>
                <w:szCs w:val="20"/>
              </w:rPr>
            </w:pPr>
            <w:r w:rsidRPr="00503014">
              <w:rPr>
                <w:rFonts w:eastAsia="Calibri" w:cs="Calibri"/>
                <w:sz w:val="20"/>
                <w:szCs w:val="20"/>
              </w:rPr>
              <w:t>583</w:t>
            </w:r>
          </w:p>
        </w:tc>
        <w:tc>
          <w:tcPr>
            <w:tcW w:w="897" w:type="dxa"/>
          </w:tcPr>
          <w:p w14:paraId="4F22E408" w14:textId="77777777" w:rsidR="00695AE2" w:rsidRPr="00503014" w:rsidRDefault="00695AE2" w:rsidP="00980493">
            <w:pPr>
              <w:jc w:val="center"/>
              <w:rPr>
                <w:rFonts w:eastAsia="Calibri" w:cs="Calibri"/>
                <w:sz w:val="20"/>
                <w:szCs w:val="20"/>
              </w:rPr>
            </w:pPr>
            <w:r w:rsidRPr="00503014">
              <w:rPr>
                <w:rFonts w:eastAsia="Calibri" w:cs="Calibri"/>
                <w:sz w:val="20"/>
                <w:szCs w:val="20"/>
              </w:rPr>
              <w:t>18.343</w:t>
            </w:r>
          </w:p>
        </w:tc>
        <w:tc>
          <w:tcPr>
            <w:tcW w:w="945" w:type="dxa"/>
          </w:tcPr>
          <w:p w14:paraId="0892E88B" w14:textId="77777777" w:rsidR="00695AE2" w:rsidRPr="00503014" w:rsidRDefault="00695AE2" w:rsidP="00980493">
            <w:pPr>
              <w:spacing w:line="259" w:lineRule="auto"/>
              <w:jc w:val="center"/>
              <w:rPr>
                <w:rFonts w:eastAsia="Calibri" w:cs="Calibri"/>
                <w:sz w:val="24"/>
              </w:rPr>
            </w:pPr>
            <w:r w:rsidRPr="00503014">
              <w:rPr>
                <w:rFonts w:eastAsia="Calibri" w:cs="Calibri"/>
                <w:sz w:val="20"/>
                <w:szCs w:val="20"/>
              </w:rPr>
              <w:t>18.926</w:t>
            </w:r>
          </w:p>
        </w:tc>
        <w:tc>
          <w:tcPr>
            <w:tcW w:w="851" w:type="dxa"/>
          </w:tcPr>
          <w:p w14:paraId="06EFC39D" w14:textId="77777777" w:rsidR="00695AE2" w:rsidRPr="00503014" w:rsidRDefault="00695AE2" w:rsidP="00980493">
            <w:pPr>
              <w:jc w:val="center"/>
              <w:rPr>
                <w:rFonts w:eastAsia="Calibri" w:cs="Calibri"/>
                <w:sz w:val="20"/>
                <w:szCs w:val="20"/>
              </w:rPr>
            </w:pPr>
            <w:r w:rsidRPr="00503014">
              <w:rPr>
                <w:rFonts w:eastAsia="Calibri" w:cs="Calibri"/>
                <w:sz w:val="20"/>
                <w:szCs w:val="20"/>
              </w:rPr>
              <w:t>18.403</w:t>
            </w:r>
          </w:p>
        </w:tc>
        <w:tc>
          <w:tcPr>
            <w:tcW w:w="1276" w:type="dxa"/>
          </w:tcPr>
          <w:p w14:paraId="37300A78" w14:textId="77777777" w:rsidR="00695AE2" w:rsidRPr="00503014" w:rsidRDefault="00695AE2" w:rsidP="00980493">
            <w:pPr>
              <w:jc w:val="center"/>
              <w:rPr>
                <w:rFonts w:eastAsia="Calibri" w:cs="Calibri"/>
                <w:sz w:val="20"/>
                <w:szCs w:val="20"/>
              </w:rPr>
            </w:pPr>
            <w:r w:rsidRPr="00503014">
              <w:rPr>
                <w:rFonts w:eastAsia="Calibri" w:cs="Calibri"/>
                <w:sz w:val="20"/>
                <w:szCs w:val="20"/>
              </w:rPr>
              <w:t>523</w:t>
            </w:r>
          </w:p>
        </w:tc>
        <w:tc>
          <w:tcPr>
            <w:tcW w:w="1559" w:type="dxa"/>
          </w:tcPr>
          <w:p w14:paraId="490E6C6B"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45E723FD" w14:textId="77777777" w:rsidTr="00980493">
        <w:trPr>
          <w:trHeight w:val="192"/>
        </w:trPr>
        <w:tc>
          <w:tcPr>
            <w:tcW w:w="2972" w:type="dxa"/>
          </w:tcPr>
          <w:p w14:paraId="54BF7819" w14:textId="77777777" w:rsidR="00695AE2" w:rsidRPr="00503014" w:rsidRDefault="00695AE2" w:rsidP="00980493">
            <w:pPr>
              <w:rPr>
                <w:rFonts w:eastAsia="Calibri" w:cs="Calibri"/>
                <w:sz w:val="20"/>
                <w:szCs w:val="20"/>
              </w:rPr>
            </w:pPr>
            <w:r w:rsidRPr="00503014">
              <w:rPr>
                <w:rFonts w:eastAsia="Calibri" w:cs="Calibri"/>
                <w:sz w:val="20"/>
                <w:szCs w:val="20"/>
              </w:rPr>
              <w:t>postopki po ZDen</w:t>
            </w:r>
          </w:p>
        </w:tc>
        <w:tc>
          <w:tcPr>
            <w:tcW w:w="1418" w:type="dxa"/>
          </w:tcPr>
          <w:p w14:paraId="506F3AF6" w14:textId="77777777" w:rsidR="00695AE2" w:rsidRPr="00503014" w:rsidRDefault="00695AE2" w:rsidP="00980493">
            <w:pPr>
              <w:jc w:val="center"/>
              <w:rPr>
                <w:rFonts w:eastAsia="Calibri" w:cs="Calibri"/>
                <w:sz w:val="20"/>
                <w:szCs w:val="20"/>
              </w:rPr>
            </w:pPr>
            <w:r w:rsidRPr="00503014">
              <w:rPr>
                <w:rFonts w:eastAsia="Calibri" w:cs="Calibri"/>
                <w:sz w:val="20"/>
                <w:szCs w:val="20"/>
              </w:rPr>
              <w:t>47</w:t>
            </w:r>
          </w:p>
        </w:tc>
        <w:tc>
          <w:tcPr>
            <w:tcW w:w="897" w:type="dxa"/>
          </w:tcPr>
          <w:p w14:paraId="5635CE13"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945" w:type="dxa"/>
          </w:tcPr>
          <w:p w14:paraId="692F9F84" w14:textId="77777777" w:rsidR="00695AE2" w:rsidRPr="00503014" w:rsidRDefault="00695AE2" w:rsidP="00980493">
            <w:pPr>
              <w:jc w:val="center"/>
              <w:rPr>
                <w:rFonts w:eastAsia="Calibri" w:cs="Calibri"/>
                <w:sz w:val="20"/>
                <w:szCs w:val="20"/>
              </w:rPr>
            </w:pPr>
            <w:r w:rsidRPr="00503014">
              <w:rPr>
                <w:rFonts w:eastAsia="Calibri" w:cs="Calibri"/>
                <w:sz w:val="20"/>
                <w:szCs w:val="20"/>
              </w:rPr>
              <w:t>48</w:t>
            </w:r>
          </w:p>
        </w:tc>
        <w:tc>
          <w:tcPr>
            <w:tcW w:w="851" w:type="dxa"/>
          </w:tcPr>
          <w:p w14:paraId="63078B61" w14:textId="77777777" w:rsidR="00695AE2" w:rsidRPr="00503014" w:rsidRDefault="00695AE2" w:rsidP="00980493">
            <w:pPr>
              <w:jc w:val="center"/>
              <w:rPr>
                <w:rFonts w:eastAsia="Calibri" w:cs="Calibri"/>
                <w:sz w:val="20"/>
                <w:szCs w:val="20"/>
              </w:rPr>
            </w:pPr>
            <w:r w:rsidRPr="00503014">
              <w:rPr>
                <w:rFonts w:eastAsia="Calibri" w:cs="Calibri"/>
                <w:sz w:val="20"/>
                <w:szCs w:val="20"/>
              </w:rPr>
              <w:t>8</w:t>
            </w:r>
          </w:p>
        </w:tc>
        <w:tc>
          <w:tcPr>
            <w:tcW w:w="1276" w:type="dxa"/>
          </w:tcPr>
          <w:p w14:paraId="337AEED1" w14:textId="77777777" w:rsidR="00695AE2" w:rsidRPr="00503014" w:rsidRDefault="00695AE2" w:rsidP="00980493">
            <w:pPr>
              <w:jc w:val="center"/>
              <w:rPr>
                <w:rFonts w:eastAsia="Calibri" w:cs="Calibri"/>
                <w:sz w:val="20"/>
                <w:szCs w:val="20"/>
              </w:rPr>
            </w:pPr>
            <w:r w:rsidRPr="00503014">
              <w:rPr>
                <w:rFonts w:eastAsia="Calibri" w:cs="Calibri"/>
                <w:sz w:val="20"/>
                <w:szCs w:val="20"/>
              </w:rPr>
              <w:t>40</w:t>
            </w:r>
          </w:p>
        </w:tc>
        <w:tc>
          <w:tcPr>
            <w:tcW w:w="1559" w:type="dxa"/>
          </w:tcPr>
          <w:p w14:paraId="0E2894F5"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2E9C1C16" w14:textId="77777777" w:rsidTr="00980493">
        <w:trPr>
          <w:trHeight w:val="192"/>
        </w:trPr>
        <w:tc>
          <w:tcPr>
            <w:tcW w:w="2972" w:type="dxa"/>
          </w:tcPr>
          <w:p w14:paraId="4F5C8876" w14:textId="77777777" w:rsidR="00695AE2" w:rsidRPr="00503014" w:rsidRDefault="00695AE2" w:rsidP="00980493">
            <w:pPr>
              <w:rPr>
                <w:rFonts w:eastAsia="Calibri" w:cs="Calibri"/>
                <w:sz w:val="20"/>
                <w:szCs w:val="20"/>
              </w:rPr>
            </w:pPr>
            <w:r w:rsidRPr="00503014">
              <w:rPr>
                <w:rFonts w:eastAsia="Calibri" w:cs="Calibri"/>
                <w:sz w:val="20"/>
                <w:szCs w:val="20"/>
              </w:rPr>
              <w:t>postopki po ZIKS</w:t>
            </w:r>
          </w:p>
        </w:tc>
        <w:tc>
          <w:tcPr>
            <w:tcW w:w="1418" w:type="dxa"/>
          </w:tcPr>
          <w:p w14:paraId="2BEBF1C2" w14:textId="77777777" w:rsidR="00695AE2" w:rsidRPr="00503014" w:rsidRDefault="00695AE2" w:rsidP="00980493">
            <w:pPr>
              <w:jc w:val="center"/>
              <w:rPr>
                <w:rFonts w:eastAsia="Calibri" w:cs="Calibri"/>
                <w:sz w:val="20"/>
                <w:szCs w:val="20"/>
              </w:rPr>
            </w:pPr>
            <w:r w:rsidRPr="00503014">
              <w:rPr>
                <w:rFonts w:eastAsia="Calibri" w:cs="Calibri"/>
                <w:sz w:val="20"/>
                <w:szCs w:val="20"/>
              </w:rPr>
              <w:t>6</w:t>
            </w:r>
          </w:p>
        </w:tc>
        <w:tc>
          <w:tcPr>
            <w:tcW w:w="897" w:type="dxa"/>
          </w:tcPr>
          <w:p w14:paraId="15A65F9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45" w:type="dxa"/>
          </w:tcPr>
          <w:p w14:paraId="2AAEF675" w14:textId="77777777" w:rsidR="00695AE2" w:rsidRPr="00503014" w:rsidRDefault="00695AE2" w:rsidP="00980493">
            <w:pPr>
              <w:jc w:val="center"/>
              <w:rPr>
                <w:rFonts w:eastAsia="Calibri" w:cs="Calibri"/>
                <w:sz w:val="20"/>
                <w:szCs w:val="20"/>
              </w:rPr>
            </w:pPr>
            <w:r w:rsidRPr="00503014">
              <w:rPr>
                <w:rFonts w:eastAsia="Calibri" w:cs="Calibri"/>
                <w:sz w:val="20"/>
                <w:szCs w:val="20"/>
              </w:rPr>
              <w:t>6</w:t>
            </w:r>
          </w:p>
        </w:tc>
        <w:tc>
          <w:tcPr>
            <w:tcW w:w="851" w:type="dxa"/>
          </w:tcPr>
          <w:p w14:paraId="1531B9FA" w14:textId="77777777" w:rsidR="00695AE2" w:rsidRPr="00503014" w:rsidRDefault="00695AE2" w:rsidP="00980493">
            <w:pPr>
              <w:jc w:val="center"/>
              <w:rPr>
                <w:rFonts w:eastAsia="Calibri" w:cs="Calibri"/>
                <w:sz w:val="20"/>
                <w:szCs w:val="20"/>
              </w:rPr>
            </w:pPr>
            <w:r w:rsidRPr="00503014">
              <w:rPr>
                <w:rFonts w:eastAsia="Calibri" w:cs="Calibri"/>
                <w:sz w:val="20"/>
                <w:szCs w:val="20"/>
              </w:rPr>
              <w:t>2</w:t>
            </w:r>
          </w:p>
        </w:tc>
        <w:tc>
          <w:tcPr>
            <w:tcW w:w="1276" w:type="dxa"/>
          </w:tcPr>
          <w:p w14:paraId="2FB86CA2" w14:textId="77777777" w:rsidR="00695AE2" w:rsidRPr="00503014" w:rsidRDefault="00695AE2" w:rsidP="00980493">
            <w:pPr>
              <w:jc w:val="center"/>
              <w:rPr>
                <w:rFonts w:eastAsia="Calibri" w:cs="Calibri"/>
                <w:sz w:val="20"/>
                <w:szCs w:val="20"/>
              </w:rPr>
            </w:pPr>
            <w:r w:rsidRPr="00503014">
              <w:rPr>
                <w:rFonts w:eastAsia="Calibri" w:cs="Calibri"/>
                <w:sz w:val="20"/>
                <w:szCs w:val="20"/>
              </w:rPr>
              <w:t>4</w:t>
            </w:r>
          </w:p>
        </w:tc>
        <w:tc>
          <w:tcPr>
            <w:tcW w:w="1559" w:type="dxa"/>
          </w:tcPr>
          <w:p w14:paraId="512C6143"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tr w:rsidR="00695AE2" w:rsidRPr="00503014" w14:paraId="1C8B681B" w14:textId="77777777" w:rsidTr="00980493">
        <w:trPr>
          <w:trHeight w:val="192"/>
        </w:trPr>
        <w:tc>
          <w:tcPr>
            <w:tcW w:w="2972" w:type="dxa"/>
          </w:tcPr>
          <w:p w14:paraId="35EE3C2E" w14:textId="77777777" w:rsidR="00695AE2" w:rsidRPr="00503014" w:rsidRDefault="00695AE2" w:rsidP="00980493">
            <w:pPr>
              <w:rPr>
                <w:rFonts w:eastAsia="Calibri" w:cs="Calibri"/>
                <w:sz w:val="20"/>
                <w:szCs w:val="20"/>
              </w:rPr>
            </w:pPr>
            <w:r w:rsidRPr="00503014">
              <w:rPr>
                <w:rFonts w:eastAsia="Calibri" w:cs="Calibri"/>
                <w:sz w:val="20"/>
                <w:szCs w:val="20"/>
              </w:rPr>
              <w:t>postopki po ZVVJTO</w:t>
            </w:r>
          </w:p>
        </w:tc>
        <w:tc>
          <w:tcPr>
            <w:tcW w:w="1418" w:type="dxa"/>
          </w:tcPr>
          <w:p w14:paraId="0F876F6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7" w:type="dxa"/>
          </w:tcPr>
          <w:p w14:paraId="59CA83B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45" w:type="dxa"/>
          </w:tcPr>
          <w:p w14:paraId="492BB229"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1" w:type="dxa"/>
          </w:tcPr>
          <w:p w14:paraId="2C5EAEF4"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276" w:type="dxa"/>
          </w:tcPr>
          <w:p w14:paraId="476A9B3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59" w:type="dxa"/>
          </w:tcPr>
          <w:p w14:paraId="5FD22968" w14:textId="77777777" w:rsidR="00695AE2" w:rsidRPr="00503014" w:rsidRDefault="00695AE2" w:rsidP="00980493">
            <w:pPr>
              <w:jc w:val="center"/>
              <w:rPr>
                <w:rFonts w:eastAsia="Calibri" w:cs="Calibri"/>
                <w:sz w:val="20"/>
                <w:szCs w:val="20"/>
              </w:rPr>
            </w:pPr>
            <w:r w:rsidRPr="00503014">
              <w:rPr>
                <w:rFonts w:eastAsia="Calibri" w:cs="Calibri"/>
                <w:sz w:val="20"/>
                <w:szCs w:val="20"/>
              </w:rPr>
              <w:t>NP</w:t>
            </w:r>
          </w:p>
        </w:tc>
      </w:tr>
      <w:bookmarkEnd w:id="404"/>
    </w:tbl>
    <w:p w14:paraId="2B2587C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59D7EC4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0000"/>
          <w:szCs w:val="22"/>
        </w:rPr>
      </w:pPr>
    </w:p>
    <w:p w14:paraId="4B908F6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V letu 2025 je Državno odvetništvo RS </w:t>
      </w:r>
      <w:r w:rsidRPr="00503014">
        <w:rPr>
          <w:rFonts w:eastAsia="Calibri"/>
          <w:color w:val="007466"/>
          <w:szCs w:val="22"/>
        </w:rPr>
        <w:t>prejelo</w:t>
      </w:r>
      <w:r w:rsidRPr="00503014">
        <w:rPr>
          <w:rFonts w:eastAsia="Calibri"/>
          <w:color w:val="000000"/>
          <w:szCs w:val="22"/>
        </w:rPr>
        <w:t xml:space="preserve"> 847 novih </w:t>
      </w:r>
      <w:r w:rsidRPr="00503014">
        <w:rPr>
          <w:rFonts w:eastAsia="Calibri"/>
          <w:b/>
          <w:bCs/>
          <w:color w:val="007466"/>
          <w:szCs w:val="22"/>
          <w:u w:val="single"/>
        </w:rPr>
        <w:t>civilnopravnih in gospodarskih zadev</w:t>
      </w:r>
      <w:r w:rsidRPr="00503014">
        <w:rPr>
          <w:rFonts w:eastAsia="Calibri"/>
          <w:color w:val="000000"/>
          <w:szCs w:val="22"/>
        </w:rPr>
        <w:t xml:space="preserve">, katerih skupna sporna vrednost znaša 1.359.700.336,00 evra. </w:t>
      </w:r>
    </w:p>
    <w:p w14:paraId="03DB197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076C03E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Zadev, v katerih je zahtevana vrednost višja od 1 milijona evrov, je bilo v letu 2025 prejetih 21, njihova skupna sporna vrednost pa znaša 287.433.327,80 evra. </w:t>
      </w:r>
    </w:p>
    <w:p w14:paraId="55DDA3E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32E6CF7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Cs w:val="22"/>
        </w:rPr>
      </w:pPr>
      <w:r w:rsidRPr="00503014">
        <w:rPr>
          <w:rFonts w:eastAsia="Calibri"/>
          <w:szCs w:val="22"/>
        </w:rPr>
        <w:t>Republika Slovenija je tožena stranka v 580 prejetih zadevah, v 183 prejetih zadevah je Republika Slovenija tožeča stranka, v 84 prejetih zadevah pa ima Republika Slovenija status stranskega intervenienta.</w:t>
      </w:r>
    </w:p>
    <w:p w14:paraId="5BB187D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44B5B9E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prejetih civilnopravnih in gospodarskih zadevah</w:t>
      </w:r>
    </w:p>
    <w:p w14:paraId="0AAA52A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433181D2"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rPr>
      </w:pPr>
      <w:r w:rsidRPr="00503014">
        <w:rPr>
          <w:rFonts w:eastAsia="Calibri"/>
          <w:noProof/>
          <w:color w:val="000000"/>
        </w:rPr>
        <w:drawing>
          <wp:inline distT="0" distB="0" distL="0" distR="0" wp14:anchorId="6D23AEBD" wp14:editId="0CF383FF">
            <wp:extent cx="3755390" cy="2536190"/>
            <wp:effectExtent l="0" t="0" r="0" b="0"/>
            <wp:docPr id="430776294" name="Slika 6" descr="Slika, ki vsebuje besede besedilo, posnetek zaslona, pisav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76294" name="Slika 6" descr="Slika, ki vsebuje besede besedilo, posnetek zaslona, pisava, logotip&#10;&#10;Vsebina, ustvarjena z UI, morda ni praviln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5D4E351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1C58CC5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Civilnopravnih in gospodarskih zadev je imelo Državno odvetništvo RS v letu 2025 </w:t>
      </w:r>
      <w:r w:rsidRPr="00503014">
        <w:rPr>
          <w:rFonts w:eastAsia="Calibri"/>
          <w:color w:val="007466"/>
          <w:szCs w:val="22"/>
        </w:rPr>
        <w:t xml:space="preserve">v delu </w:t>
      </w:r>
      <w:r w:rsidRPr="00503014">
        <w:rPr>
          <w:rFonts w:eastAsia="Calibri"/>
          <w:color w:val="000000"/>
          <w:szCs w:val="22"/>
        </w:rPr>
        <w:t xml:space="preserve">2.142. Njihova skupna sporna vrednost je znašala 2.059.244.771,83 evra. </w:t>
      </w:r>
    </w:p>
    <w:p w14:paraId="15A3020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2991FF7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Cs w:val="22"/>
        </w:rPr>
      </w:pPr>
      <w:r w:rsidRPr="00503014">
        <w:rPr>
          <w:rFonts w:eastAsia="Calibri"/>
          <w:szCs w:val="22"/>
        </w:rPr>
        <w:t>Republika Slovenija je tožena stranka v 1.318 zadevah, v 700 zadevah je Republika Slovenija tožeča stranka, v 124 zadevah pa ima Republika Slovenija status stranskega intervenienta.</w:t>
      </w:r>
    </w:p>
    <w:p w14:paraId="61025D2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32BCBB1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civilnopravnih in gospodarskih zadevah v delu</w:t>
      </w:r>
    </w:p>
    <w:p w14:paraId="0D617ED4"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 w:val="20"/>
          <w:szCs w:val="20"/>
        </w:rPr>
      </w:pPr>
    </w:p>
    <w:p w14:paraId="704B43F5"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szCs w:val="22"/>
        </w:rPr>
      </w:pPr>
      <w:r w:rsidRPr="00503014">
        <w:rPr>
          <w:rFonts w:eastAsia="Calibri"/>
          <w:noProof/>
          <w:color w:val="000000"/>
          <w:szCs w:val="22"/>
        </w:rPr>
        <w:lastRenderedPageBreak/>
        <w:drawing>
          <wp:inline distT="0" distB="0" distL="0" distR="0" wp14:anchorId="751B8083" wp14:editId="3B1E083E">
            <wp:extent cx="3755390" cy="2536190"/>
            <wp:effectExtent l="0" t="0" r="0" b="0"/>
            <wp:docPr id="1099158885" name="Slika 7" descr="Slika, ki vsebuje besede besedilo, posnetek zaslona, pisava,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58885" name="Slika 7" descr="Slika, ki vsebuje besede besedilo, posnetek zaslona, pisava, krog&#10;&#10;Vsebina, ustvarjena z UI, morda ni praviln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127B1002" w14:textId="77777777" w:rsidR="00695AE2" w:rsidRPr="00503014" w:rsidRDefault="00695AE2" w:rsidP="00695AE2">
      <w:pPr>
        <w:spacing w:line="240" w:lineRule="auto"/>
        <w:jc w:val="both"/>
        <w:rPr>
          <w:rFonts w:eastAsia="Calibri"/>
          <w:color w:val="000000"/>
          <w:szCs w:val="22"/>
        </w:rPr>
      </w:pPr>
    </w:p>
    <w:p w14:paraId="1621D5E6" w14:textId="77777777" w:rsidR="00695AE2" w:rsidRPr="00503014" w:rsidRDefault="00695AE2" w:rsidP="00695AE2">
      <w:pPr>
        <w:spacing w:line="240" w:lineRule="auto"/>
        <w:jc w:val="both"/>
        <w:rPr>
          <w:rFonts w:eastAsia="Calibri"/>
          <w:color w:val="000000"/>
          <w:szCs w:val="22"/>
        </w:rPr>
      </w:pPr>
      <w:r w:rsidRPr="00503014">
        <w:rPr>
          <w:rFonts w:eastAsia="Calibri"/>
          <w:color w:val="000000"/>
          <w:szCs w:val="22"/>
        </w:rPr>
        <w:t xml:space="preserve">Državno odvetništvo RS je v letu 2025 </w:t>
      </w:r>
      <w:r w:rsidRPr="00503014">
        <w:rPr>
          <w:rFonts w:eastAsia="Calibri"/>
          <w:color w:val="007466"/>
          <w:szCs w:val="22"/>
        </w:rPr>
        <w:t xml:space="preserve">zaključilo </w:t>
      </w:r>
      <w:r w:rsidRPr="00503014">
        <w:rPr>
          <w:rFonts w:eastAsia="Calibri"/>
          <w:szCs w:val="22"/>
        </w:rPr>
        <w:t>906</w:t>
      </w:r>
      <w:r w:rsidRPr="00503014">
        <w:rPr>
          <w:rFonts w:eastAsia="Calibri"/>
          <w:color w:val="000000"/>
          <w:szCs w:val="22"/>
        </w:rPr>
        <w:t xml:space="preserve"> civilnopravnih in gospodarskih zadev. </w:t>
      </w:r>
    </w:p>
    <w:p w14:paraId="2B17A2BC" w14:textId="77777777" w:rsidR="00695AE2" w:rsidRPr="00503014" w:rsidRDefault="00695AE2" w:rsidP="00695AE2">
      <w:pPr>
        <w:spacing w:line="240" w:lineRule="auto"/>
        <w:jc w:val="both"/>
        <w:rPr>
          <w:rFonts w:eastAsia="Calibri"/>
          <w:color w:val="000000"/>
          <w:szCs w:val="22"/>
        </w:rPr>
      </w:pPr>
    </w:p>
    <w:p w14:paraId="44CAD964" w14:textId="77777777" w:rsidR="00695AE2" w:rsidRPr="00503014" w:rsidRDefault="00695AE2" w:rsidP="00695AE2">
      <w:pPr>
        <w:spacing w:line="240" w:lineRule="auto"/>
        <w:jc w:val="both"/>
        <w:rPr>
          <w:rFonts w:eastAsia="Calibri"/>
        </w:rPr>
      </w:pPr>
      <w:r w:rsidRPr="00503014">
        <w:rPr>
          <w:rFonts w:eastAsia="Calibri"/>
          <w:szCs w:val="22"/>
        </w:rPr>
        <w:t>Republika Slovenija je bila v 643 zaključenih zadevah tožena stranka, v 256 zaključenih zadevah tožeča stranka, v 7 zaključenih zadevah pa je imela Republika Slovenija status stranskega intervenienta.</w:t>
      </w:r>
    </w:p>
    <w:p w14:paraId="3502BC0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44F4253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zaključenih civilnopravnih in gospodarskih zadevah</w:t>
      </w:r>
    </w:p>
    <w:p w14:paraId="6543C20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7377A90F"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b/>
          <w:bCs/>
          <w:color w:val="007466"/>
          <w:sz w:val="20"/>
          <w:szCs w:val="20"/>
        </w:rPr>
      </w:pPr>
      <w:r w:rsidRPr="00503014">
        <w:rPr>
          <w:rFonts w:eastAsia="Calibri"/>
          <w:b/>
          <w:bCs/>
          <w:noProof/>
          <w:color w:val="007466"/>
          <w:sz w:val="20"/>
          <w:szCs w:val="20"/>
        </w:rPr>
        <w:drawing>
          <wp:inline distT="0" distB="0" distL="0" distR="0" wp14:anchorId="0A2F06AC" wp14:editId="491FA749">
            <wp:extent cx="3755390" cy="2536190"/>
            <wp:effectExtent l="0" t="0" r="0" b="0"/>
            <wp:docPr id="1013475062" name="Slika 8" descr="Slika, ki vsebuje besede besedilo, posnetek zaslona, pisava,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5062" name="Slika 8" descr="Slika, ki vsebuje besede besedilo, posnetek zaslona, pisava, krog&#10;&#10;Vsebina, ustvarjena z UI, morda ni praviln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509DA3D4" w14:textId="77777777" w:rsidR="00695AE2" w:rsidRPr="00503014" w:rsidRDefault="00695AE2" w:rsidP="00695AE2">
      <w:pPr>
        <w:spacing w:line="240" w:lineRule="auto"/>
        <w:jc w:val="both"/>
        <w:rPr>
          <w:rFonts w:eastAsia="Calibri"/>
        </w:rPr>
      </w:pPr>
    </w:p>
    <w:p w14:paraId="4AA2CDC3" w14:textId="77777777" w:rsidR="00695AE2" w:rsidRPr="00503014" w:rsidRDefault="00695AE2" w:rsidP="00695AE2">
      <w:pPr>
        <w:spacing w:line="240" w:lineRule="auto"/>
        <w:jc w:val="both"/>
        <w:rPr>
          <w:rFonts w:eastAsia="Calibri"/>
        </w:rPr>
      </w:pPr>
      <w:r w:rsidRPr="00503014">
        <w:rPr>
          <w:rFonts w:eastAsia="Calibri"/>
        </w:rPr>
        <w:t>Skupna sporna vrednost v vseh zaključenih civilnopravnih in gospodarskih zadevah je bila 1.089.088.099,33 evra, Republiki Sloveniji pa je bilo naloženo plačilo zneska v skupni višini 12.741.790,42 evra. Navedeno pomeni, da je Republika Slovenija dolžna od skupne vrednosti glavnic, ki so bile vtoževane v civilnopravnih in gospodarskih zadevah, ki jih je Državno odvetništvo RS zaključilo v letu 2025, povrniti skupno le 1,17 odstotka vtoževanih zneskov. Državno odvetništvo RS je torej predvsem s svojim uspešnim in učinkovitim vodenjem zadev ustvarilo prihranek za proračun v višini 1.076.346.308,91 evra. Za uspeh pa je seveda pogoj, da je zadevo glede na materialno in dejansko podlago pred sodiščem sploh mogoče uspešno zagovarjati.</w:t>
      </w:r>
    </w:p>
    <w:p w14:paraId="62BC9232" w14:textId="77777777" w:rsidR="00695AE2" w:rsidRPr="00503014" w:rsidRDefault="00695AE2" w:rsidP="00695AE2">
      <w:pPr>
        <w:tabs>
          <w:tab w:val="left" w:pos="1620"/>
        </w:tabs>
        <w:spacing w:line="240" w:lineRule="auto"/>
        <w:jc w:val="both"/>
        <w:rPr>
          <w:rFonts w:eastAsia="Calibri"/>
          <w:b/>
          <w:bCs/>
          <w:color w:val="007466"/>
        </w:rPr>
      </w:pPr>
    </w:p>
    <w:p w14:paraId="774178A1" w14:textId="77777777" w:rsidR="00695AE2" w:rsidRDefault="00695AE2" w:rsidP="00695AE2">
      <w:pPr>
        <w:tabs>
          <w:tab w:val="left" w:pos="1620"/>
        </w:tabs>
        <w:spacing w:line="240" w:lineRule="auto"/>
        <w:jc w:val="both"/>
        <w:rPr>
          <w:rFonts w:eastAsia="Calibri"/>
          <w:b/>
          <w:bCs/>
          <w:color w:val="007466"/>
          <w:sz w:val="20"/>
          <w:szCs w:val="20"/>
        </w:rPr>
      </w:pPr>
    </w:p>
    <w:p w14:paraId="25BDAAFB" w14:textId="77777777" w:rsidR="00695AE2" w:rsidRPr="00503014" w:rsidRDefault="00695AE2" w:rsidP="00695AE2">
      <w:pPr>
        <w:tabs>
          <w:tab w:val="left" w:pos="1620"/>
        </w:tabs>
        <w:spacing w:line="240" w:lineRule="auto"/>
        <w:jc w:val="both"/>
        <w:rPr>
          <w:rFonts w:eastAsia="Calibri"/>
          <w:b/>
          <w:bCs/>
          <w:color w:val="007466"/>
          <w:sz w:val="20"/>
          <w:szCs w:val="20"/>
        </w:rPr>
      </w:pPr>
      <w:r w:rsidRPr="00503014">
        <w:rPr>
          <w:rFonts w:eastAsia="Calibri"/>
          <w:b/>
          <w:bCs/>
          <w:color w:val="007466"/>
          <w:sz w:val="20"/>
          <w:szCs w:val="20"/>
        </w:rPr>
        <w:lastRenderedPageBreak/>
        <w:t>Grafikon: Prikaz uspeha Republike Slovenije kot stranke v zaključenih civilnopravnih in gospodarskih zadevah</w:t>
      </w:r>
    </w:p>
    <w:p w14:paraId="785527A3" w14:textId="77777777" w:rsidR="00695AE2" w:rsidRPr="00503014" w:rsidRDefault="00695AE2" w:rsidP="00695AE2">
      <w:pPr>
        <w:tabs>
          <w:tab w:val="left" w:pos="1620"/>
        </w:tabs>
        <w:spacing w:line="240" w:lineRule="auto"/>
        <w:jc w:val="both"/>
        <w:rPr>
          <w:rFonts w:eastAsia="Calibri"/>
          <w:b/>
          <w:bCs/>
          <w:color w:val="007466"/>
          <w:sz w:val="20"/>
          <w:szCs w:val="20"/>
        </w:rPr>
      </w:pPr>
      <w:r w:rsidRPr="00503014">
        <w:rPr>
          <w:rFonts w:eastAsia="Calibri"/>
          <w:b/>
          <w:bCs/>
          <w:color w:val="007466"/>
          <w:sz w:val="20"/>
          <w:szCs w:val="20"/>
        </w:rPr>
        <w:t xml:space="preserve">  </w:t>
      </w:r>
    </w:p>
    <w:p w14:paraId="75DE8ADA" w14:textId="77777777" w:rsidR="00695AE2" w:rsidRPr="00503014" w:rsidRDefault="00695AE2" w:rsidP="00695AE2">
      <w:pPr>
        <w:jc w:val="center"/>
        <w:rPr>
          <w:rFonts w:eastAsia="Calibri"/>
        </w:rPr>
      </w:pPr>
      <w:r w:rsidRPr="00503014">
        <w:rPr>
          <w:rFonts w:eastAsia="Calibri"/>
          <w:noProof/>
        </w:rPr>
        <w:drawing>
          <wp:inline distT="0" distB="0" distL="0" distR="0" wp14:anchorId="5E617B34" wp14:editId="5CC05201">
            <wp:extent cx="3778370" cy="2170732"/>
            <wp:effectExtent l="0" t="0" r="0" b="1270"/>
            <wp:docPr id="848386089" name="Slika 1" descr="Slika, ki vsebuje besede besedilo, posnetek zaslon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86089" name="Slika 1" descr="Slika, ki vsebuje besede besedilo, posnetek zaslona, oblikovanje&#10;&#10;Vsebina, ustvarjena z UI, morda ni pravil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8168" cy="2187851"/>
                    </a:xfrm>
                    <a:prstGeom prst="rect">
                      <a:avLst/>
                    </a:prstGeom>
                    <a:noFill/>
                  </pic:spPr>
                </pic:pic>
              </a:graphicData>
            </a:graphic>
          </wp:inline>
        </w:drawing>
      </w:r>
    </w:p>
    <w:p w14:paraId="7581CA19" w14:textId="77777777" w:rsidR="00695AE2" w:rsidRPr="00503014" w:rsidRDefault="00695AE2" w:rsidP="00695AE2">
      <w:pPr>
        <w:jc w:val="both"/>
        <w:rPr>
          <w:rFonts w:eastAsia="Calibri"/>
          <w:color w:val="000000"/>
          <w:szCs w:val="22"/>
        </w:rPr>
      </w:pPr>
    </w:p>
    <w:p w14:paraId="0F33197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Na dan 31. 12. 2025 je bilo </w:t>
      </w:r>
      <w:r w:rsidRPr="00503014">
        <w:rPr>
          <w:rFonts w:eastAsia="Calibri"/>
          <w:color w:val="007466"/>
          <w:szCs w:val="22"/>
        </w:rPr>
        <w:t>odprtih</w:t>
      </w:r>
      <w:r w:rsidRPr="00503014">
        <w:rPr>
          <w:rFonts w:eastAsia="Calibri"/>
          <w:color w:val="000000"/>
          <w:szCs w:val="22"/>
        </w:rPr>
        <w:t xml:space="preserve"> 1.236 zadev, ki so se prenesle v leto 2026. V vseh še odprtih civilnopravnih in gospodarskih zadevah je skupna sporna vrednost 1.008.933.002,40 evra. Odprtih zadev, v katerih je vrednost spora višja od 1 milijona evrov, je 92.</w:t>
      </w:r>
    </w:p>
    <w:p w14:paraId="3665CCB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7A6B6F6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Cs w:val="22"/>
        </w:rPr>
      </w:pPr>
      <w:r w:rsidRPr="00503014">
        <w:rPr>
          <w:rFonts w:eastAsia="Calibri"/>
          <w:szCs w:val="22"/>
        </w:rPr>
        <w:t>Republika Slovenija je tožena stranka v 707 odprtih zadevah, v 414 odprtih zadevah je Republika Slovenija tožeča stranka, v 115 odprtih zadevah pa ima Republika Slovenija status stranskega intervenienta.</w:t>
      </w:r>
    </w:p>
    <w:p w14:paraId="069EBED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130BAC3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odprtih civilnopravnih in gospodarskih zadevah</w:t>
      </w:r>
    </w:p>
    <w:p w14:paraId="41D9EA8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6008351B"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szCs w:val="22"/>
        </w:rPr>
      </w:pPr>
      <w:r w:rsidRPr="00503014">
        <w:rPr>
          <w:rFonts w:eastAsia="Calibri"/>
          <w:noProof/>
          <w:color w:val="000000"/>
          <w:szCs w:val="22"/>
        </w:rPr>
        <w:drawing>
          <wp:inline distT="0" distB="0" distL="0" distR="0" wp14:anchorId="5916E194" wp14:editId="5DD8D636">
            <wp:extent cx="3755390" cy="2536190"/>
            <wp:effectExtent l="0" t="0" r="0" b="0"/>
            <wp:docPr id="2146731958" name="Slika 9" descr="Slika, ki vsebuje besede besedilo, posnetek zaslona, pisava,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31958" name="Slika 9" descr="Slika, ki vsebuje besede besedilo, posnetek zaslona, pisava, krog&#10;&#10;Vsebina, ustvarjena z UI, morda ni praviln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35EA3FC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769C74A6"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6B340494"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V letu 2025 je Državno odvetništvo RS </w:t>
      </w:r>
      <w:r w:rsidRPr="00503014">
        <w:rPr>
          <w:rFonts w:eastAsia="Calibri"/>
          <w:color w:val="007466"/>
          <w:szCs w:val="22"/>
        </w:rPr>
        <w:t>prejelo</w:t>
      </w:r>
      <w:r w:rsidRPr="00503014">
        <w:rPr>
          <w:rFonts w:eastAsia="Calibri"/>
          <w:color w:val="000000"/>
          <w:szCs w:val="22"/>
        </w:rPr>
        <w:t xml:space="preserve"> 1.353 novih </w:t>
      </w:r>
      <w:r w:rsidRPr="00503014">
        <w:rPr>
          <w:rFonts w:eastAsia="Calibri"/>
          <w:b/>
          <w:bCs/>
          <w:color w:val="007466"/>
          <w:szCs w:val="22"/>
          <w:u w:val="single"/>
        </w:rPr>
        <w:t>delovnopravnih in socialnopravnih zadev</w:t>
      </w:r>
      <w:r w:rsidRPr="00503014">
        <w:rPr>
          <w:rFonts w:eastAsia="Calibri"/>
          <w:color w:val="000000"/>
          <w:szCs w:val="22"/>
        </w:rPr>
        <w:t>. Od tega je Republika Slovenija tožena stranka v 1.323 zadevah, v 25 zadevah je Republika Slovenija tožeča stranka, v 5 zadevah pa ima Republika Slovenija status stranskega intervenienta.</w:t>
      </w:r>
    </w:p>
    <w:p w14:paraId="7C2195B7" w14:textId="77777777" w:rsidR="00B76BA9" w:rsidRDefault="00B76BA9"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62F89E71" w14:textId="77777777" w:rsidR="00B76BA9" w:rsidRDefault="00B76BA9"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45A0A0C5" w14:textId="76E3503B"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prejetih delovnopravnih in socialnopravnih zadevah</w:t>
      </w:r>
    </w:p>
    <w:p w14:paraId="3E447AE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642C1236"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szCs w:val="22"/>
        </w:rPr>
      </w:pPr>
      <w:r w:rsidRPr="00503014">
        <w:rPr>
          <w:rFonts w:eastAsia="Calibri"/>
          <w:noProof/>
          <w:color w:val="000000"/>
          <w:szCs w:val="22"/>
        </w:rPr>
        <w:drawing>
          <wp:inline distT="0" distB="0" distL="0" distR="0" wp14:anchorId="629EC196" wp14:editId="7F758DE0">
            <wp:extent cx="3755390" cy="2536190"/>
            <wp:effectExtent l="0" t="0" r="0" b="0"/>
            <wp:docPr id="1237006358" name="Slika 10" descr="Slika, ki vsebuje besede besedilo, posnetek zaslona, pisav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06358" name="Slika 10" descr="Slika, ki vsebuje besede besedilo, posnetek zaslona, pisava, logotip&#10;&#10;Vsebina, ustvarjena z UI, morda ni pravil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09C38C1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2DE22C7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Cs w:val="22"/>
        </w:rPr>
      </w:pPr>
      <w:r w:rsidRPr="00503014">
        <w:rPr>
          <w:rFonts w:eastAsia="Calibri"/>
          <w:color w:val="000000"/>
          <w:szCs w:val="22"/>
        </w:rPr>
        <w:t xml:space="preserve">Delovnopravnih in socialnopravnih zadev je imelo Državno odvetništvo RS v letu 2025 </w:t>
      </w:r>
      <w:r w:rsidRPr="00503014">
        <w:rPr>
          <w:rFonts w:eastAsia="Calibri"/>
          <w:color w:val="007466"/>
          <w:szCs w:val="22"/>
        </w:rPr>
        <w:t xml:space="preserve">v delu </w:t>
      </w:r>
      <w:r w:rsidRPr="00503014">
        <w:rPr>
          <w:rFonts w:eastAsia="Calibri"/>
          <w:szCs w:val="22"/>
        </w:rPr>
        <w:t>3.280. Od tega je Republika Slovenija tožena stranka v 3.224 zadevah, v 51 zadevah je Republika Slovenija tožeča stranka, v 5 zadevah pa ima Republika Slovenija status stranskega intervenienta.</w:t>
      </w:r>
    </w:p>
    <w:p w14:paraId="58D0B07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590E99E6"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delovnopravnih in socialnopravnih zadevah v delu</w:t>
      </w:r>
    </w:p>
    <w:p w14:paraId="2032F02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5D33318D"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szCs w:val="22"/>
        </w:rPr>
      </w:pPr>
      <w:r w:rsidRPr="00503014">
        <w:rPr>
          <w:rFonts w:eastAsia="Calibri"/>
          <w:noProof/>
          <w:color w:val="000000"/>
          <w:szCs w:val="22"/>
        </w:rPr>
        <w:drawing>
          <wp:inline distT="0" distB="0" distL="0" distR="0" wp14:anchorId="5BD0CA47" wp14:editId="73ECE207">
            <wp:extent cx="3755390" cy="2536190"/>
            <wp:effectExtent l="0" t="0" r="0" b="0"/>
            <wp:docPr id="559842613" name="Slika 11" descr="Slika, ki vsebuje besede besedilo, posnetek zaslona, pisav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42613" name="Slika 11" descr="Slika, ki vsebuje besede besedilo, posnetek zaslona, pisava, logotip&#10;&#10;Vsebina, ustvarjena z UI, morda ni praviln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1000C8F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92A5DF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v letu 2025 </w:t>
      </w:r>
      <w:r w:rsidRPr="00503014">
        <w:rPr>
          <w:rFonts w:eastAsia="Calibri"/>
          <w:color w:val="007466"/>
          <w:szCs w:val="22"/>
        </w:rPr>
        <w:t xml:space="preserve">zaključilo </w:t>
      </w:r>
      <w:r w:rsidRPr="00503014">
        <w:rPr>
          <w:rFonts w:eastAsia="Calibri"/>
          <w:color w:val="000000"/>
          <w:szCs w:val="22"/>
        </w:rPr>
        <w:t xml:space="preserve">1.986 delovnopravnih in socialnopravnih zadev. Od tega je bila Republika Slovenija v 1.944 zaključenih zadevah tožena stranka, v 39 zadevah tožeča stranka, v 3 zaključenih zadevah pa je imela Republika Slovenija status stranskega intervenienta. </w:t>
      </w:r>
    </w:p>
    <w:p w14:paraId="3962682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0F41665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zaključenih delovnopravnih in socialnopravnih zadevah</w:t>
      </w:r>
    </w:p>
    <w:p w14:paraId="5B002C3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 w:val="20"/>
          <w:szCs w:val="20"/>
        </w:rPr>
      </w:pPr>
    </w:p>
    <w:p w14:paraId="30AC0EB2"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szCs w:val="22"/>
        </w:rPr>
      </w:pPr>
      <w:r w:rsidRPr="00503014">
        <w:rPr>
          <w:rFonts w:eastAsia="Calibri"/>
          <w:noProof/>
          <w:color w:val="000000"/>
          <w:szCs w:val="22"/>
        </w:rPr>
        <w:lastRenderedPageBreak/>
        <w:drawing>
          <wp:inline distT="0" distB="0" distL="0" distR="0" wp14:anchorId="61A81762" wp14:editId="0895F9B9">
            <wp:extent cx="3755390" cy="2536190"/>
            <wp:effectExtent l="0" t="0" r="0" b="0"/>
            <wp:docPr id="1260476072" name="Slika 12" descr="Slika, ki vsebuje besede besedilo, posnetek zaslona, pisav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76072" name="Slika 12" descr="Slika, ki vsebuje besede besedilo, posnetek zaslona, pisava, logotip&#10;&#10;Vsebina, ustvarjena z UI, morda ni praviln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53BC93A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0479A1C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Cs w:val="22"/>
        </w:rPr>
      </w:pPr>
      <w:r w:rsidRPr="00503014">
        <w:rPr>
          <w:rFonts w:eastAsia="Calibri"/>
          <w:color w:val="000000"/>
          <w:szCs w:val="22"/>
        </w:rPr>
        <w:t xml:space="preserve">V leto 2026 se je preneslo 1.294 delovnopravnih in socialnopravnih zadev, ki so bile </w:t>
      </w:r>
      <w:r w:rsidRPr="00503014">
        <w:rPr>
          <w:rFonts w:eastAsia="Calibri"/>
          <w:color w:val="007466"/>
          <w:szCs w:val="22"/>
        </w:rPr>
        <w:t>odprte</w:t>
      </w:r>
      <w:r w:rsidRPr="00503014">
        <w:rPr>
          <w:rFonts w:eastAsia="Calibri"/>
          <w:color w:val="000000"/>
          <w:szCs w:val="22"/>
        </w:rPr>
        <w:t xml:space="preserve"> na dan 31. 12. 2025. </w:t>
      </w:r>
      <w:r w:rsidRPr="00503014">
        <w:rPr>
          <w:rFonts w:eastAsia="Calibri"/>
          <w:szCs w:val="22"/>
        </w:rPr>
        <w:t>Od tega je Republika Slovenija tožena stranka v 1.244 zadevah, v 45 zadevah je Republika Slovenija tožeča stranka, v 5 zadevah pa ima Republika Slovenija status stranskega intervenienta.</w:t>
      </w:r>
    </w:p>
    <w:p w14:paraId="4940DC0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58471A3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Posamezni procesni statusi Republike Slovenije v odprtih delovnopravnih in socialnopravnih zadevah</w:t>
      </w:r>
    </w:p>
    <w:p w14:paraId="3AC4B57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 w:val="20"/>
          <w:szCs w:val="20"/>
        </w:rPr>
      </w:pPr>
    </w:p>
    <w:p w14:paraId="2772BD79"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0000"/>
          <w:szCs w:val="22"/>
        </w:rPr>
      </w:pPr>
      <w:r w:rsidRPr="00503014">
        <w:rPr>
          <w:rFonts w:eastAsia="Calibri"/>
          <w:color w:val="000000"/>
          <w:szCs w:val="22"/>
        </w:rPr>
        <w:t xml:space="preserve"> </w:t>
      </w:r>
      <w:r w:rsidRPr="00503014">
        <w:rPr>
          <w:rFonts w:eastAsia="Calibri"/>
          <w:noProof/>
          <w:color w:val="000000"/>
          <w:szCs w:val="22"/>
        </w:rPr>
        <w:drawing>
          <wp:inline distT="0" distB="0" distL="0" distR="0" wp14:anchorId="7C99EFFE" wp14:editId="3898CF8C">
            <wp:extent cx="3755390" cy="2536190"/>
            <wp:effectExtent l="0" t="0" r="0" b="0"/>
            <wp:docPr id="686790886" name="Slika 13" descr="Slika, ki vsebuje besede besedilo, posnetek zaslona, pisava,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90886" name="Slika 13" descr="Slika, ki vsebuje besede besedilo, posnetek zaslona, pisava, logotip&#10;&#10;Vsebina, ustvarjena z UI, morda ni praviln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55390" cy="2536190"/>
                    </a:xfrm>
                    <a:prstGeom prst="rect">
                      <a:avLst/>
                    </a:prstGeom>
                    <a:noFill/>
                  </pic:spPr>
                </pic:pic>
              </a:graphicData>
            </a:graphic>
          </wp:inline>
        </w:drawing>
      </w:r>
    </w:p>
    <w:p w14:paraId="77DB8E9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3CFB1E1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08BD1D9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Na področju </w:t>
      </w:r>
      <w:r w:rsidRPr="00503014">
        <w:rPr>
          <w:rFonts w:eastAsia="Calibri"/>
          <w:b/>
          <w:bCs/>
          <w:color w:val="007466"/>
          <w:szCs w:val="22"/>
        </w:rPr>
        <w:t>predhodnih odškodninskih postopkov po Zakonu o kazenskem postopku (ZKP)</w:t>
      </w:r>
      <w:r w:rsidRPr="00503014">
        <w:rPr>
          <w:rFonts w:eastAsia="Calibri"/>
          <w:color w:val="000000"/>
          <w:szCs w:val="22"/>
        </w:rPr>
        <w:t xml:space="preserve"> je Državno odvetništvo RS v leto 2025 preneslo 20 nerešenih zadev, na novo pa prejelo 40 zadev. V delu je imelo 60 zadev, zaključilo je 55 zadev. V leto 2026 je preneslo 10 zadev. </w:t>
      </w:r>
    </w:p>
    <w:p w14:paraId="5A23D74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2C07BBC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S področja </w:t>
      </w:r>
      <w:r w:rsidRPr="00503014">
        <w:rPr>
          <w:rFonts w:eastAsia="Calibri"/>
          <w:b/>
          <w:bCs/>
          <w:color w:val="007466"/>
          <w:szCs w:val="22"/>
        </w:rPr>
        <w:t>predhodnih odškodninskih postopkov po Zakonu o prekrških (ZP-1)</w:t>
      </w:r>
      <w:r w:rsidRPr="00503014">
        <w:rPr>
          <w:rFonts w:eastAsia="Calibri"/>
          <w:color w:val="000000"/>
          <w:szCs w:val="22"/>
        </w:rPr>
        <w:t xml:space="preserve"> je Državno odvetništvo RS v leto 2025 preneslo 3 nerešene zadeve. Na novo je prejelo 12 zadev in je torej v letu 2025 v delu imelo 15 zadev. Zaključilo je 10 zadev, na dan 31. 12. 2025 pa je bilo odprtih 5 zadev. </w:t>
      </w:r>
    </w:p>
    <w:p w14:paraId="3FBC99F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416B613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lastRenderedPageBreak/>
        <w:t xml:space="preserve">S področja </w:t>
      </w:r>
      <w:r w:rsidRPr="00503014">
        <w:rPr>
          <w:rFonts w:eastAsia="Calibri"/>
          <w:b/>
          <w:bCs/>
          <w:color w:val="007466"/>
          <w:szCs w:val="22"/>
        </w:rPr>
        <w:t>postopkov na podlagi Zakona o varstvu pravice do sojenja brez nepotrebnega odlašanja (ZVPSBNO)</w:t>
      </w:r>
      <w:r w:rsidRPr="00503014">
        <w:rPr>
          <w:rFonts w:eastAsia="Calibri"/>
          <w:color w:val="000000"/>
          <w:szCs w:val="22"/>
        </w:rPr>
        <w:t xml:space="preserve"> je Državno odvetništvo RS v leto 2025 preneslo 37 odprtih zadev. Na novo je prejelo 52 zadev. Obravnavalo je torej 89 zadev, zaključilo je 62 zadev, na dan 31. 12. 2025 pa je bilo odprtih še 27 zadev. </w:t>
      </w:r>
    </w:p>
    <w:p w14:paraId="4F7C3AB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6BE554D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imelo na dan 1. 1. 2025 odprtih 40 zadev </w:t>
      </w:r>
      <w:r w:rsidRPr="00503014">
        <w:rPr>
          <w:rFonts w:eastAsia="Calibri"/>
          <w:b/>
          <w:bCs/>
          <w:color w:val="007466"/>
          <w:szCs w:val="22"/>
        </w:rPr>
        <w:t>s področja odškodninskih zahtevkov po Zakonu o povračilu škode osebam, ki so bile izbrisane iz registra stalnega prebivalstva (ZPŠOIRSP)</w:t>
      </w:r>
      <w:r w:rsidRPr="00503014">
        <w:rPr>
          <w:rFonts w:eastAsia="Calibri"/>
          <w:color w:val="000000"/>
          <w:szCs w:val="22"/>
        </w:rPr>
        <w:t>.</w:t>
      </w:r>
      <w:r w:rsidRPr="00503014">
        <w:rPr>
          <w:rFonts w:eastAsia="Calibri"/>
          <w:b/>
          <w:bCs/>
          <w:color w:val="000000"/>
          <w:szCs w:val="22"/>
        </w:rPr>
        <w:t xml:space="preserve"> </w:t>
      </w:r>
      <w:r w:rsidRPr="00503014">
        <w:rPr>
          <w:rFonts w:eastAsia="Calibri"/>
          <w:color w:val="000000"/>
          <w:szCs w:val="22"/>
        </w:rPr>
        <w:t xml:space="preserve">Na novo Državno odvetništvo RS ni prejelo nobene nove zadeve. V letu 2025 je imelo torej v delu 40 zadev, zaključilo je 17 zadev, na dan 31. 12. 2025 pa je bilo odprtih še 23 zadev. </w:t>
      </w:r>
    </w:p>
    <w:p w14:paraId="57F5D96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DA2684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imelo na dan 1. 1. 2025 odprtih 8.835 zadev na področju </w:t>
      </w:r>
      <w:r w:rsidRPr="00503014">
        <w:rPr>
          <w:rFonts w:eastAsia="Calibri"/>
          <w:b/>
          <w:bCs/>
          <w:color w:val="007466"/>
          <w:szCs w:val="22"/>
        </w:rPr>
        <w:t>postopkov izvršbe in zavarovanja</w:t>
      </w:r>
      <w:r w:rsidRPr="00503014">
        <w:rPr>
          <w:rFonts w:eastAsia="Calibri"/>
          <w:color w:val="000000"/>
          <w:szCs w:val="22"/>
        </w:rPr>
        <w:t>. V letu 2025 je prejelo v delo 4.168 novih zadev. Skupno je imelo v delu 13.003 zadev. Zaključilo je 5.058 zadev, na dan 31. 12. 2025 pa je bilo odprtih 7.945 zadev.</w:t>
      </w:r>
    </w:p>
    <w:p w14:paraId="2A879BE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2F73B4A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imelo na dan 1. 1. 2025 odprtih 8.758 zadev na področju dela v </w:t>
      </w:r>
      <w:r w:rsidRPr="00503014">
        <w:rPr>
          <w:rFonts w:eastAsia="Calibri"/>
          <w:b/>
          <w:bCs/>
          <w:color w:val="007466"/>
          <w:szCs w:val="22"/>
        </w:rPr>
        <w:t>postopkih zaradi insolventnosti in prisilnega prenehanja</w:t>
      </w:r>
      <w:r w:rsidRPr="00503014">
        <w:rPr>
          <w:rFonts w:eastAsia="Calibri"/>
          <w:color w:val="000000"/>
          <w:szCs w:val="22"/>
        </w:rPr>
        <w:t xml:space="preserve">. V letu 2025 je prejelo v delo 4.705 novih zadev. Skupno je imelo v delu 13.463 zadev. Zaključilo je 4.907 zadev, ob koncu leta 2025 pa je bilo odprtih še 8.556 zadev. </w:t>
      </w:r>
    </w:p>
    <w:p w14:paraId="04E6EB3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29DAC126"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leto 2025 na področju dela v </w:t>
      </w:r>
      <w:r w:rsidRPr="00503014">
        <w:rPr>
          <w:rFonts w:eastAsia="Calibri"/>
          <w:b/>
          <w:bCs/>
          <w:color w:val="007466"/>
          <w:szCs w:val="22"/>
        </w:rPr>
        <w:t xml:space="preserve">nepravdnih postopkih </w:t>
      </w:r>
      <w:r w:rsidRPr="00503014">
        <w:rPr>
          <w:rFonts w:eastAsia="Calibri"/>
          <w:color w:val="000000"/>
          <w:szCs w:val="22"/>
        </w:rPr>
        <w:t>začelo z 8.959 odprtimi zadevami, nato pa je prejelo v delo 15.546 novih zadev. Skupno je torej imelo v delu 24.505 zadev. V letu 2025 je zaključilo 16.390 zadev in je bilo tako ob koncu leta 2025 odprtih še 8.115 zadev.</w:t>
      </w:r>
    </w:p>
    <w:p w14:paraId="4830A7A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r w:rsidRPr="00503014">
        <w:rPr>
          <w:rFonts w:eastAsia="Calibri"/>
          <w:color w:val="000000"/>
        </w:rPr>
        <w:t xml:space="preserve"> </w:t>
      </w:r>
    </w:p>
    <w:p w14:paraId="0D9D354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na področju </w:t>
      </w:r>
      <w:r w:rsidRPr="00503014">
        <w:rPr>
          <w:rFonts w:eastAsia="Calibri"/>
          <w:b/>
          <w:bCs/>
          <w:color w:val="007466"/>
          <w:szCs w:val="22"/>
        </w:rPr>
        <w:t>razlastitvenih zadev</w:t>
      </w:r>
      <w:r w:rsidRPr="00503014">
        <w:rPr>
          <w:rFonts w:eastAsia="Calibri"/>
          <w:color w:val="000000"/>
          <w:szCs w:val="22"/>
        </w:rPr>
        <w:t xml:space="preserve"> leto 2025 začelo s 1.741 odprtimi zadevami, nato pa je v letu 2025 prejelo 503 zadev. V delu je tako imelo 2.244 zadev. Zaključilo je 749 zadev, na dan 31. 12. 2025 pa je bilo odprtih še 1.495 razlastitvenih zadev. </w:t>
      </w:r>
    </w:p>
    <w:p w14:paraId="631266D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54005C3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 xml:space="preserve">Državno odvetništvo RS je na področju </w:t>
      </w:r>
      <w:r w:rsidRPr="00503014">
        <w:rPr>
          <w:rFonts w:eastAsia="Calibri"/>
          <w:b/>
          <w:bCs/>
          <w:color w:val="007466"/>
          <w:szCs w:val="22"/>
        </w:rPr>
        <w:t>upravnih zadev</w:t>
      </w:r>
      <w:r w:rsidRPr="00503014">
        <w:rPr>
          <w:rFonts w:eastAsia="Calibri"/>
          <w:color w:val="000000"/>
          <w:szCs w:val="22"/>
        </w:rPr>
        <w:t xml:space="preserve"> leto 2025 začelo z 583 zadevami, nato pa je bilo v letu 2025 v delo prejetih 18.343 novih zadev. V letu 2025 je bilo v delu 18.926 zadev, zaključenih je bilo 18.403 zadev, ob koncu leta 2025 pa je bilo odprtih še 523 zadev.</w:t>
      </w:r>
    </w:p>
    <w:p w14:paraId="2CDD709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4635DBF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503014">
        <w:rPr>
          <w:rFonts w:eastAsia="Calibri"/>
          <w:b/>
          <w:bCs/>
          <w:color w:val="007466"/>
          <w:szCs w:val="22"/>
        </w:rPr>
        <w:t>Postopke na podlagi Zakona o denacionalizaciji (ZDen) in Zakona o izvrševanju kazenskih sankcij (ZIKS)</w:t>
      </w:r>
      <w:r w:rsidRPr="00503014">
        <w:rPr>
          <w:rFonts w:eastAsia="Calibri"/>
          <w:color w:val="000000"/>
          <w:szCs w:val="22"/>
        </w:rPr>
        <w:t xml:space="preserve"> Državno odvetništvo RS vodi v skupnem »DZ vpisniku«. Letnega pripada zadev s tega področja dejansko ni več in v letu 2025 je Državno odvetništvo RS prejelo eno novo zadevo po Zden in nobene za postopke po ZIKS. Je pa imelo Državno odvetništvo RS s tega področja dela v obravnavi skupno še vedno 54 zadev. V letu 2025 se je zaključilo 10 tovrstnih zadev in je na dan 31. 12. 2025 tako ostalo odprtih še 44 zadev.</w:t>
      </w:r>
    </w:p>
    <w:p w14:paraId="1B44CE5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0000"/>
        </w:rPr>
      </w:pPr>
    </w:p>
    <w:p w14:paraId="39AD25F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Times New Roman"/>
          <w:szCs w:val="22"/>
        </w:rPr>
      </w:pPr>
      <w:r w:rsidRPr="00503014">
        <w:rPr>
          <w:rFonts w:eastAsia="Times New Roman"/>
          <w:b/>
          <w:bCs/>
          <w:color w:val="007466"/>
          <w:szCs w:val="22"/>
        </w:rPr>
        <w:t>Postopki s področja Zakona o vračilu vlaganj v javno telekomunikacijsko omrežje (ZVVJTO)</w:t>
      </w:r>
      <w:r w:rsidRPr="00503014">
        <w:rPr>
          <w:rFonts w:eastAsia="Times New Roman"/>
          <w:color w:val="000000"/>
          <w:szCs w:val="22"/>
        </w:rPr>
        <w:t xml:space="preserve"> vsebinsko ne predstavljajo več posebne problematike, zato jih Državno odvetništvo RS v nadaljevanju ne bo izpostavljalo oziroma posebej obravnavalo. S tega področja namreč v letu 2025 ni prejelo nobene nove zadeve, Državno odvetništvo RS pa tudi v delu nima nobene zadeve s področja </w:t>
      </w:r>
      <w:r w:rsidRPr="00503014">
        <w:rPr>
          <w:rFonts w:eastAsia="Times New Roman"/>
          <w:szCs w:val="22"/>
        </w:rPr>
        <w:t>ZVVJTO več.</w:t>
      </w:r>
    </w:p>
    <w:p w14:paraId="429560D2" w14:textId="77777777" w:rsidR="00695AE2"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4C81B383" w14:textId="77777777" w:rsidR="005449AC" w:rsidRDefault="005449AC"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2A984B92" w14:textId="77777777" w:rsidR="005449AC" w:rsidRPr="00503014" w:rsidRDefault="005449AC"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77B0430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lastRenderedPageBreak/>
        <w:t>Tabela 5: Gibanje zadev na sedežu in na posameznem zunanjem oddelku</w:t>
      </w:r>
    </w:p>
    <w:p w14:paraId="4009906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49F6C11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7466"/>
          <w:sz w:val="20"/>
          <w:szCs w:val="20"/>
        </w:rPr>
      </w:pPr>
      <w:r w:rsidRPr="00503014">
        <w:rPr>
          <w:rFonts w:eastAsia="Calibri"/>
          <w:color w:val="007466"/>
          <w:sz w:val="20"/>
          <w:szCs w:val="20"/>
        </w:rPr>
        <w:t>Pojasnila k tabeli 5:</w:t>
      </w:r>
    </w:p>
    <w:p w14:paraId="1A59CC1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p>
    <w:p w14:paraId="01F6A40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r w:rsidRPr="00503014">
        <w:rPr>
          <w:rFonts w:eastAsia="Calibri"/>
          <w:sz w:val="20"/>
          <w:szCs w:val="20"/>
        </w:rPr>
        <w:t xml:space="preserve">Državno odvetništvo RS na podlagi Pravilnika o obliki letnega poročila državnega odvetništva v tabeli 5 za leto 2025 predstavlja število prenesenih nerešenih zadev iz prejšnjih let, letni pripad novih zadev, število zadev v delu, število rešenih zadev, pa tudi število ob koncu leta (oziroma na dan 31. 12. 2025) odprtih (nerešenih) zadev, ločeno za sedež in za vse posamezne zunanje oddelke. Vendar pa splošna primerjava oziroma analiza podatkov med samimi oddelki ali za posamezni oddelek glede na prejšnje obdobje poročanja zaradi različnih naveznih okoliščin ni smiselna, zato tabela 5 ni posebej predstavljena na način, kot je bila zgoraj opisno analizirana tabela 4. </w:t>
      </w:r>
    </w:p>
    <w:p w14:paraId="6DFFAA6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p>
    <w:p w14:paraId="0439606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r w:rsidRPr="00503014">
        <w:rPr>
          <w:rFonts w:eastAsia="Calibri"/>
          <w:sz w:val="20"/>
          <w:szCs w:val="20"/>
        </w:rPr>
        <w:t xml:space="preserve">Pojasniti je treba tudi, da zadeve v predhodnih odškodninskih postopkih po ZKP in ZP-1 obravnava le Državno odvetništvo RS na sedežu v Ljubljani. (Opomba: V tabeli 5, ki se nanaša na zunanje oddelke, je zato ta rubrika povsod označena z »0«.) </w:t>
      </w:r>
    </w:p>
    <w:p w14:paraId="283338B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p>
    <w:p w14:paraId="501479C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r w:rsidRPr="00503014">
        <w:rPr>
          <w:rFonts w:eastAsia="Calibri"/>
          <w:sz w:val="20"/>
          <w:szCs w:val="20"/>
        </w:rPr>
        <w:t>Glede na metodologijo zbiranja podatkov Državno odvetništvo RS za leto 2025 ne razpolaga s podatkom o številu vloženih predlogov, ki niso zajeti med rešenimi zadevami, zato tega podatka v tabeli 5 ni mogoče prikazati niti ga glede na navedeno ni mogoče analizirati. (Opomba: V tabeli 5 je zato oznaka NP – »ni podatka«.)</w:t>
      </w:r>
    </w:p>
    <w:p w14:paraId="3C90E6A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z w:val="20"/>
          <w:szCs w:val="20"/>
        </w:rPr>
      </w:pPr>
    </w:p>
    <w:p w14:paraId="1DEDEF0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Sedež Državnega odvetništva RS v Ljubljani</w:t>
      </w:r>
    </w:p>
    <w:p w14:paraId="4BF7051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2B18554E" w14:textId="77777777" w:rsidTr="00980493">
        <w:trPr>
          <w:trHeight w:val="781"/>
        </w:trPr>
        <w:tc>
          <w:tcPr>
            <w:tcW w:w="2972" w:type="dxa"/>
          </w:tcPr>
          <w:p w14:paraId="5E8BAD6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2F893FE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3F64A2A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12C0F3E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0F59BBD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0087CF3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75246B7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113B4D7C" w14:textId="77777777" w:rsidR="00695AE2" w:rsidRPr="00503014" w:rsidRDefault="00695AE2" w:rsidP="00980493">
            <w:pPr>
              <w:jc w:val="center"/>
              <w:rPr>
                <w:rFonts w:eastAsia="Times New Roman" w:cs="Calibri"/>
                <w:sz w:val="16"/>
                <w:szCs w:val="16"/>
              </w:rPr>
            </w:pPr>
          </w:p>
        </w:tc>
      </w:tr>
      <w:tr w:rsidR="00695AE2" w:rsidRPr="00503014" w14:paraId="7D84D81A" w14:textId="77777777" w:rsidTr="00980493">
        <w:trPr>
          <w:trHeight w:val="192"/>
        </w:trPr>
        <w:tc>
          <w:tcPr>
            <w:tcW w:w="2972" w:type="dxa"/>
          </w:tcPr>
          <w:p w14:paraId="5F8D6135"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4DD72038" w14:textId="77777777" w:rsidR="00695AE2" w:rsidRPr="00503014" w:rsidRDefault="00695AE2" w:rsidP="00980493">
            <w:pPr>
              <w:jc w:val="center"/>
              <w:rPr>
                <w:rFonts w:eastAsia="Calibri" w:cs="Calibri"/>
                <w:sz w:val="16"/>
                <w:szCs w:val="16"/>
              </w:rPr>
            </w:pPr>
            <w:r w:rsidRPr="00503014">
              <w:rPr>
                <w:rFonts w:eastAsia="Calibri" w:cs="Calibri"/>
                <w:sz w:val="16"/>
                <w:szCs w:val="16"/>
              </w:rPr>
              <w:t>731</w:t>
            </w:r>
          </w:p>
        </w:tc>
        <w:tc>
          <w:tcPr>
            <w:tcW w:w="897" w:type="dxa"/>
          </w:tcPr>
          <w:p w14:paraId="50FBE8BF" w14:textId="77777777" w:rsidR="00695AE2" w:rsidRPr="00503014" w:rsidRDefault="00695AE2" w:rsidP="00980493">
            <w:pPr>
              <w:jc w:val="center"/>
              <w:rPr>
                <w:rFonts w:eastAsia="Calibri" w:cs="Calibri"/>
                <w:sz w:val="16"/>
                <w:szCs w:val="16"/>
              </w:rPr>
            </w:pPr>
            <w:r w:rsidRPr="00503014">
              <w:rPr>
                <w:rFonts w:eastAsia="Calibri" w:cs="Calibri"/>
                <w:sz w:val="16"/>
                <w:szCs w:val="16"/>
              </w:rPr>
              <w:t>561</w:t>
            </w:r>
          </w:p>
        </w:tc>
        <w:tc>
          <w:tcPr>
            <w:tcW w:w="945" w:type="dxa"/>
          </w:tcPr>
          <w:p w14:paraId="6B1CD082" w14:textId="77777777" w:rsidR="00695AE2" w:rsidRPr="00503014" w:rsidRDefault="00695AE2" w:rsidP="00980493">
            <w:pPr>
              <w:jc w:val="center"/>
              <w:rPr>
                <w:rFonts w:eastAsia="Calibri" w:cs="Calibri"/>
                <w:sz w:val="16"/>
                <w:szCs w:val="16"/>
              </w:rPr>
            </w:pPr>
            <w:r w:rsidRPr="00503014">
              <w:rPr>
                <w:rFonts w:eastAsia="Calibri" w:cs="Calibri"/>
                <w:sz w:val="16"/>
                <w:szCs w:val="16"/>
              </w:rPr>
              <w:t>1.292</w:t>
            </w:r>
          </w:p>
        </w:tc>
        <w:tc>
          <w:tcPr>
            <w:tcW w:w="851" w:type="dxa"/>
          </w:tcPr>
          <w:p w14:paraId="4B78055C" w14:textId="77777777" w:rsidR="00695AE2" w:rsidRPr="00503014" w:rsidRDefault="00695AE2" w:rsidP="00980493">
            <w:pPr>
              <w:jc w:val="center"/>
              <w:rPr>
                <w:rFonts w:eastAsia="Calibri" w:cs="Calibri"/>
                <w:sz w:val="16"/>
                <w:szCs w:val="16"/>
              </w:rPr>
            </w:pPr>
            <w:r w:rsidRPr="00503014">
              <w:rPr>
                <w:rFonts w:eastAsia="Calibri" w:cs="Calibri"/>
                <w:sz w:val="16"/>
                <w:szCs w:val="16"/>
              </w:rPr>
              <w:t>503</w:t>
            </w:r>
          </w:p>
        </w:tc>
        <w:tc>
          <w:tcPr>
            <w:tcW w:w="1276" w:type="dxa"/>
          </w:tcPr>
          <w:p w14:paraId="56727742" w14:textId="77777777" w:rsidR="00695AE2" w:rsidRPr="00503014" w:rsidRDefault="00695AE2" w:rsidP="00980493">
            <w:pPr>
              <w:jc w:val="center"/>
              <w:rPr>
                <w:rFonts w:eastAsia="Calibri" w:cs="Calibri"/>
                <w:sz w:val="16"/>
                <w:szCs w:val="16"/>
              </w:rPr>
            </w:pPr>
            <w:r w:rsidRPr="00503014">
              <w:rPr>
                <w:rFonts w:eastAsia="Calibri" w:cs="Calibri"/>
                <w:sz w:val="16"/>
                <w:szCs w:val="16"/>
              </w:rPr>
              <w:t>789</w:t>
            </w:r>
          </w:p>
        </w:tc>
        <w:tc>
          <w:tcPr>
            <w:tcW w:w="1559" w:type="dxa"/>
          </w:tcPr>
          <w:p w14:paraId="0055FAD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AB4DC21" w14:textId="77777777" w:rsidTr="00980493">
        <w:trPr>
          <w:trHeight w:val="179"/>
        </w:trPr>
        <w:tc>
          <w:tcPr>
            <w:tcW w:w="2972" w:type="dxa"/>
          </w:tcPr>
          <w:p w14:paraId="6C636105"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3B8DE38B" w14:textId="77777777" w:rsidR="00695AE2" w:rsidRPr="00503014" w:rsidRDefault="00695AE2" w:rsidP="00980493">
            <w:pPr>
              <w:jc w:val="center"/>
              <w:rPr>
                <w:rFonts w:eastAsia="Calibri" w:cs="Calibri"/>
                <w:sz w:val="16"/>
                <w:szCs w:val="16"/>
              </w:rPr>
            </w:pPr>
            <w:r w:rsidRPr="00503014">
              <w:rPr>
                <w:rFonts w:eastAsia="Calibri" w:cs="Calibri"/>
                <w:sz w:val="16"/>
                <w:szCs w:val="16"/>
              </w:rPr>
              <w:t>1.114</w:t>
            </w:r>
          </w:p>
        </w:tc>
        <w:tc>
          <w:tcPr>
            <w:tcW w:w="897" w:type="dxa"/>
          </w:tcPr>
          <w:p w14:paraId="4D5F2689" w14:textId="77777777" w:rsidR="00695AE2" w:rsidRPr="00503014" w:rsidRDefault="00695AE2" w:rsidP="00980493">
            <w:pPr>
              <w:jc w:val="center"/>
              <w:rPr>
                <w:rFonts w:eastAsia="Calibri" w:cs="Calibri"/>
                <w:sz w:val="16"/>
                <w:szCs w:val="16"/>
              </w:rPr>
            </w:pPr>
            <w:r w:rsidRPr="00503014">
              <w:rPr>
                <w:rFonts w:eastAsia="Calibri" w:cs="Calibri"/>
                <w:sz w:val="16"/>
                <w:szCs w:val="16"/>
              </w:rPr>
              <w:t>875</w:t>
            </w:r>
          </w:p>
        </w:tc>
        <w:tc>
          <w:tcPr>
            <w:tcW w:w="945" w:type="dxa"/>
          </w:tcPr>
          <w:p w14:paraId="565623D8" w14:textId="77777777" w:rsidR="00695AE2" w:rsidRPr="00503014" w:rsidRDefault="00695AE2" w:rsidP="00980493">
            <w:pPr>
              <w:jc w:val="center"/>
              <w:rPr>
                <w:rFonts w:eastAsia="Calibri" w:cs="Calibri"/>
                <w:sz w:val="16"/>
                <w:szCs w:val="16"/>
              </w:rPr>
            </w:pPr>
            <w:r w:rsidRPr="00503014">
              <w:rPr>
                <w:rFonts w:eastAsia="Calibri" w:cs="Calibri"/>
                <w:sz w:val="16"/>
                <w:szCs w:val="16"/>
              </w:rPr>
              <w:t>1.989</w:t>
            </w:r>
          </w:p>
        </w:tc>
        <w:tc>
          <w:tcPr>
            <w:tcW w:w="851" w:type="dxa"/>
          </w:tcPr>
          <w:p w14:paraId="41A9F9A6" w14:textId="77777777" w:rsidR="00695AE2" w:rsidRPr="00503014" w:rsidRDefault="00695AE2" w:rsidP="00980493">
            <w:pPr>
              <w:jc w:val="center"/>
              <w:rPr>
                <w:rFonts w:eastAsia="Calibri" w:cs="Calibri"/>
                <w:sz w:val="16"/>
                <w:szCs w:val="16"/>
              </w:rPr>
            </w:pPr>
            <w:r w:rsidRPr="00503014">
              <w:rPr>
                <w:rFonts w:eastAsia="Calibri" w:cs="Calibri"/>
                <w:sz w:val="16"/>
                <w:szCs w:val="16"/>
              </w:rPr>
              <w:t>1.039</w:t>
            </w:r>
          </w:p>
        </w:tc>
        <w:tc>
          <w:tcPr>
            <w:tcW w:w="1276" w:type="dxa"/>
          </w:tcPr>
          <w:p w14:paraId="30DB2986" w14:textId="77777777" w:rsidR="00695AE2" w:rsidRPr="00503014" w:rsidRDefault="00695AE2" w:rsidP="00980493">
            <w:pPr>
              <w:jc w:val="center"/>
              <w:rPr>
                <w:rFonts w:eastAsia="Calibri" w:cs="Calibri"/>
                <w:sz w:val="16"/>
                <w:szCs w:val="16"/>
              </w:rPr>
            </w:pPr>
            <w:r w:rsidRPr="00503014">
              <w:rPr>
                <w:rFonts w:eastAsia="Calibri" w:cs="Calibri"/>
                <w:sz w:val="16"/>
                <w:szCs w:val="16"/>
              </w:rPr>
              <w:t>950</w:t>
            </w:r>
          </w:p>
        </w:tc>
        <w:tc>
          <w:tcPr>
            <w:tcW w:w="1559" w:type="dxa"/>
          </w:tcPr>
          <w:p w14:paraId="62D4D9D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77D21E8" w14:textId="77777777" w:rsidTr="00980493">
        <w:trPr>
          <w:trHeight w:val="192"/>
        </w:trPr>
        <w:tc>
          <w:tcPr>
            <w:tcW w:w="2972" w:type="dxa"/>
          </w:tcPr>
          <w:p w14:paraId="276D901E"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313E963B" w14:textId="77777777" w:rsidR="00695AE2" w:rsidRPr="00503014" w:rsidRDefault="00695AE2" w:rsidP="00980493">
            <w:pPr>
              <w:jc w:val="center"/>
              <w:rPr>
                <w:rFonts w:eastAsia="Calibri" w:cs="Calibri"/>
                <w:sz w:val="16"/>
                <w:szCs w:val="16"/>
              </w:rPr>
            </w:pPr>
            <w:r w:rsidRPr="00503014">
              <w:rPr>
                <w:rFonts w:eastAsia="Calibri" w:cs="Calibri"/>
                <w:sz w:val="16"/>
                <w:szCs w:val="16"/>
              </w:rPr>
              <w:t>20</w:t>
            </w:r>
          </w:p>
        </w:tc>
        <w:tc>
          <w:tcPr>
            <w:tcW w:w="897" w:type="dxa"/>
          </w:tcPr>
          <w:p w14:paraId="49162C46" w14:textId="77777777" w:rsidR="00695AE2" w:rsidRPr="00503014" w:rsidRDefault="00695AE2" w:rsidP="00980493">
            <w:pPr>
              <w:jc w:val="center"/>
              <w:rPr>
                <w:rFonts w:eastAsia="Calibri" w:cs="Calibri"/>
                <w:sz w:val="16"/>
                <w:szCs w:val="16"/>
              </w:rPr>
            </w:pPr>
            <w:r w:rsidRPr="00503014">
              <w:rPr>
                <w:rFonts w:eastAsia="Calibri" w:cs="Calibri"/>
                <w:sz w:val="16"/>
                <w:szCs w:val="16"/>
              </w:rPr>
              <w:t>40</w:t>
            </w:r>
          </w:p>
        </w:tc>
        <w:tc>
          <w:tcPr>
            <w:tcW w:w="945" w:type="dxa"/>
          </w:tcPr>
          <w:p w14:paraId="72AD6746" w14:textId="77777777" w:rsidR="00695AE2" w:rsidRPr="00503014" w:rsidRDefault="00695AE2" w:rsidP="00980493">
            <w:pPr>
              <w:jc w:val="center"/>
              <w:rPr>
                <w:rFonts w:eastAsia="Calibri" w:cs="Calibri"/>
                <w:sz w:val="16"/>
                <w:szCs w:val="16"/>
              </w:rPr>
            </w:pPr>
            <w:r w:rsidRPr="00503014">
              <w:rPr>
                <w:rFonts w:eastAsia="Calibri" w:cs="Calibri"/>
                <w:sz w:val="16"/>
                <w:szCs w:val="16"/>
              </w:rPr>
              <w:t>60</w:t>
            </w:r>
          </w:p>
        </w:tc>
        <w:tc>
          <w:tcPr>
            <w:tcW w:w="851" w:type="dxa"/>
          </w:tcPr>
          <w:p w14:paraId="015FCD36" w14:textId="77777777" w:rsidR="00695AE2" w:rsidRPr="00503014" w:rsidRDefault="00695AE2" w:rsidP="00980493">
            <w:pPr>
              <w:jc w:val="center"/>
              <w:rPr>
                <w:rFonts w:eastAsia="Calibri" w:cs="Calibri"/>
                <w:sz w:val="16"/>
                <w:szCs w:val="16"/>
              </w:rPr>
            </w:pPr>
            <w:r w:rsidRPr="00503014">
              <w:rPr>
                <w:rFonts w:eastAsia="Calibri" w:cs="Calibri"/>
                <w:sz w:val="16"/>
                <w:szCs w:val="16"/>
              </w:rPr>
              <w:t>50</w:t>
            </w:r>
          </w:p>
        </w:tc>
        <w:tc>
          <w:tcPr>
            <w:tcW w:w="1276" w:type="dxa"/>
          </w:tcPr>
          <w:p w14:paraId="53504FEE" w14:textId="77777777" w:rsidR="00695AE2" w:rsidRPr="00503014" w:rsidRDefault="00695AE2" w:rsidP="00980493">
            <w:pPr>
              <w:jc w:val="center"/>
              <w:rPr>
                <w:rFonts w:eastAsia="Calibri" w:cs="Calibri"/>
                <w:sz w:val="16"/>
                <w:szCs w:val="16"/>
              </w:rPr>
            </w:pPr>
            <w:r w:rsidRPr="00503014">
              <w:rPr>
                <w:rFonts w:eastAsia="Calibri" w:cs="Calibri"/>
                <w:sz w:val="16"/>
                <w:szCs w:val="16"/>
              </w:rPr>
              <w:t>10</w:t>
            </w:r>
          </w:p>
        </w:tc>
        <w:tc>
          <w:tcPr>
            <w:tcW w:w="1559" w:type="dxa"/>
          </w:tcPr>
          <w:p w14:paraId="4B1749F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653D6D5" w14:textId="77777777" w:rsidTr="00980493">
        <w:trPr>
          <w:trHeight w:val="179"/>
        </w:trPr>
        <w:tc>
          <w:tcPr>
            <w:tcW w:w="2972" w:type="dxa"/>
          </w:tcPr>
          <w:p w14:paraId="768A9C51"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3E9BC3DD"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97" w:type="dxa"/>
          </w:tcPr>
          <w:p w14:paraId="78B5D99C" w14:textId="77777777" w:rsidR="00695AE2" w:rsidRPr="00503014" w:rsidRDefault="00695AE2" w:rsidP="00980493">
            <w:pPr>
              <w:jc w:val="center"/>
              <w:rPr>
                <w:rFonts w:eastAsia="Calibri" w:cs="Calibri"/>
                <w:sz w:val="16"/>
                <w:szCs w:val="16"/>
              </w:rPr>
            </w:pPr>
            <w:r w:rsidRPr="00503014">
              <w:rPr>
                <w:rFonts w:eastAsia="Calibri" w:cs="Calibri"/>
                <w:sz w:val="16"/>
                <w:szCs w:val="16"/>
              </w:rPr>
              <w:t>12</w:t>
            </w:r>
          </w:p>
        </w:tc>
        <w:tc>
          <w:tcPr>
            <w:tcW w:w="945" w:type="dxa"/>
          </w:tcPr>
          <w:p w14:paraId="736A3E30" w14:textId="77777777" w:rsidR="00695AE2" w:rsidRPr="00503014" w:rsidRDefault="00695AE2" w:rsidP="00980493">
            <w:pPr>
              <w:jc w:val="center"/>
              <w:rPr>
                <w:rFonts w:eastAsia="Calibri" w:cs="Calibri"/>
                <w:sz w:val="16"/>
                <w:szCs w:val="16"/>
              </w:rPr>
            </w:pPr>
            <w:r w:rsidRPr="00503014">
              <w:rPr>
                <w:rFonts w:eastAsia="Calibri" w:cs="Calibri"/>
                <w:sz w:val="16"/>
                <w:szCs w:val="16"/>
              </w:rPr>
              <w:t>15</w:t>
            </w:r>
          </w:p>
        </w:tc>
        <w:tc>
          <w:tcPr>
            <w:tcW w:w="851" w:type="dxa"/>
          </w:tcPr>
          <w:p w14:paraId="4DE0B5D7" w14:textId="77777777" w:rsidR="00695AE2" w:rsidRPr="00503014" w:rsidRDefault="00695AE2" w:rsidP="00980493">
            <w:pPr>
              <w:jc w:val="center"/>
              <w:rPr>
                <w:rFonts w:eastAsia="Calibri" w:cs="Calibri"/>
                <w:sz w:val="16"/>
                <w:szCs w:val="16"/>
              </w:rPr>
            </w:pPr>
            <w:r w:rsidRPr="00503014">
              <w:rPr>
                <w:rFonts w:eastAsia="Calibri" w:cs="Calibri"/>
                <w:sz w:val="16"/>
                <w:szCs w:val="16"/>
              </w:rPr>
              <w:t>10</w:t>
            </w:r>
          </w:p>
        </w:tc>
        <w:tc>
          <w:tcPr>
            <w:tcW w:w="1276" w:type="dxa"/>
          </w:tcPr>
          <w:p w14:paraId="40ACE36E" w14:textId="77777777" w:rsidR="00695AE2" w:rsidRPr="00503014" w:rsidRDefault="00695AE2" w:rsidP="00980493">
            <w:pPr>
              <w:jc w:val="center"/>
              <w:rPr>
                <w:rFonts w:eastAsia="Calibri" w:cs="Calibri"/>
                <w:sz w:val="16"/>
                <w:szCs w:val="16"/>
              </w:rPr>
            </w:pPr>
            <w:r w:rsidRPr="00503014">
              <w:rPr>
                <w:rFonts w:eastAsia="Calibri" w:cs="Calibri"/>
                <w:sz w:val="16"/>
                <w:szCs w:val="16"/>
              </w:rPr>
              <w:t>15</w:t>
            </w:r>
          </w:p>
        </w:tc>
        <w:tc>
          <w:tcPr>
            <w:tcW w:w="1559" w:type="dxa"/>
          </w:tcPr>
          <w:p w14:paraId="439DC32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D920372" w14:textId="77777777" w:rsidTr="00980493">
        <w:trPr>
          <w:trHeight w:val="192"/>
        </w:trPr>
        <w:tc>
          <w:tcPr>
            <w:tcW w:w="2972" w:type="dxa"/>
          </w:tcPr>
          <w:p w14:paraId="296556F0"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2FC4F973"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897" w:type="dxa"/>
          </w:tcPr>
          <w:p w14:paraId="32A27676" w14:textId="77777777" w:rsidR="00695AE2" w:rsidRPr="00503014" w:rsidRDefault="00695AE2" w:rsidP="00980493">
            <w:pPr>
              <w:jc w:val="center"/>
              <w:rPr>
                <w:rFonts w:eastAsia="Calibri" w:cs="Calibri"/>
                <w:sz w:val="16"/>
                <w:szCs w:val="16"/>
              </w:rPr>
            </w:pPr>
            <w:r w:rsidRPr="00503014">
              <w:rPr>
                <w:rFonts w:eastAsia="Calibri" w:cs="Calibri"/>
                <w:sz w:val="16"/>
                <w:szCs w:val="16"/>
              </w:rPr>
              <w:t>21</w:t>
            </w:r>
          </w:p>
        </w:tc>
        <w:tc>
          <w:tcPr>
            <w:tcW w:w="945" w:type="dxa"/>
          </w:tcPr>
          <w:p w14:paraId="1DA763DD" w14:textId="77777777" w:rsidR="00695AE2" w:rsidRPr="00503014" w:rsidRDefault="00695AE2" w:rsidP="00980493">
            <w:pPr>
              <w:jc w:val="center"/>
              <w:rPr>
                <w:rFonts w:eastAsia="Calibri" w:cs="Calibri"/>
                <w:sz w:val="16"/>
                <w:szCs w:val="16"/>
              </w:rPr>
            </w:pPr>
            <w:r w:rsidRPr="00503014">
              <w:rPr>
                <w:rFonts w:eastAsia="Calibri" w:cs="Calibri"/>
                <w:sz w:val="16"/>
                <w:szCs w:val="16"/>
              </w:rPr>
              <w:t>26</w:t>
            </w:r>
          </w:p>
        </w:tc>
        <w:tc>
          <w:tcPr>
            <w:tcW w:w="851" w:type="dxa"/>
          </w:tcPr>
          <w:p w14:paraId="39AEC457" w14:textId="77777777" w:rsidR="00695AE2" w:rsidRPr="00503014" w:rsidRDefault="00695AE2" w:rsidP="00980493">
            <w:pPr>
              <w:jc w:val="center"/>
              <w:rPr>
                <w:rFonts w:eastAsia="Calibri" w:cs="Calibri"/>
                <w:sz w:val="16"/>
                <w:szCs w:val="16"/>
              </w:rPr>
            </w:pPr>
            <w:r w:rsidRPr="00503014">
              <w:rPr>
                <w:rFonts w:eastAsia="Calibri" w:cs="Calibri"/>
                <w:sz w:val="16"/>
                <w:szCs w:val="16"/>
              </w:rPr>
              <w:t>19</w:t>
            </w:r>
          </w:p>
        </w:tc>
        <w:tc>
          <w:tcPr>
            <w:tcW w:w="1276" w:type="dxa"/>
          </w:tcPr>
          <w:p w14:paraId="00AF1A25" w14:textId="77777777" w:rsidR="00695AE2" w:rsidRPr="00503014" w:rsidRDefault="00695AE2" w:rsidP="00980493">
            <w:pPr>
              <w:jc w:val="center"/>
              <w:rPr>
                <w:rFonts w:eastAsia="Calibri" w:cs="Calibri"/>
                <w:sz w:val="16"/>
                <w:szCs w:val="16"/>
              </w:rPr>
            </w:pPr>
            <w:r w:rsidRPr="00503014">
              <w:rPr>
                <w:rFonts w:eastAsia="Calibri" w:cs="Calibri"/>
                <w:sz w:val="16"/>
                <w:szCs w:val="16"/>
              </w:rPr>
              <w:t>7</w:t>
            </w:r>
          </w:p>
        </w:tc>
        <w:tc>
          <w:tcPr>
            <w:tcW w:w="1559" w:type="dxa"/>
          </w:tcPr>
          <w:p w14:paraId="588ABD6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0FBFC0D" w14:textId="77777777" w:rsidTr="00980493">
        <w:trPr>
          <w:trHeight w:val="179"/>
        </w:trPr>
        <w:tc>
          <w:tcPr>
            <w:tcW w:w="2972" w:type="dxa"/>
          </w:tcPr>
          <w:p w14:paraId="459B1397"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694B6643" w14:textId="77777777" w:rsidR="00695AE2" w:rsidRPr="00503014" w:rsidRDefault="00695AE2" w:rsidP="00980493">
            <w:pPr>
              <w:jc w:val="center"/>
              <w:rPr>
                <w:rFonts w:eastAsia="Calibri" w:cs="Calibri"/>
                <w:sz w:val="16"/>
                <w:szCs w:val="16"/>
              </w:rPr>
            </w:pPr>
            <w:r w:rsidRPr="00503014">
              <w:rPr>
                <w:rFonts w:eastAsia="Calibri" w:cs="Calibri"/>
                <w:sz w:val="16"/>
                <w:szCs w:val="16"/>
              </w:rPr>
              <w:t>37</w:t>
            </w:r>
          </w:p>
        </w:tc>
        <w:tc>
          <w:tcPr>
            <w:tcW w:w="897" w:type="dxa"/>
          </w:tcPr>
          <w:p w14:paraId="0C9F137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DB9E6F6" w14:textId="77777777" w:rsidR="00695AE2" w:rsidRPr="00503014" w:rsidRDefault="00695AE2" w:rsidP="00980493">
            <w:pPr>
              <w:jc w:val="center"/>
              <w:rPr>
                <w:rFonts w:eastAsia="Calibri" w:cs="Calibri"/>
                <w:sz w:val="16"/>
                <w:szCs w:val="16"/>
              </w:rPr>
            </w:pPr>
            <w:r w:rsidRPr="00503014">
              <w:rPr>
                <w:rFonts w:eastAsia="Calibri" w:cs="Calibri"/>
                <w:sz w:val="16"/>
                <w:szCs w:val="16"/>
              </w:rPr>
              <w:t>37</w:t>
            </w:r>
          </w:p>
        </w:tc>
        <w:tc>
          <w:tcPr>
            <w:tcW w:w="851" w:type="dxa"/>
          </w:tcPr>
          <w:p w14:paraId="6FDE5071" w14:textId="77777777" w:rsidR="00695AE2" w:rsidRPr="00503014" w:rsidRDefault="00695AE2" w:rsidP="00980493">
            <w:pPr>
              <w:jc w:val="center"/>
              <w:rPr>
                <w:rFonts w:eastAsia="Calibri" w:cs="Calibri"/>
                <w:sz w:val="16"/>
                <w:szCs w:val="16"/>
              </w:rPr>
            </w:pPr>
            <w:r w:rsidRPr="00503014">
              <w:rPr>
                <w:rFonts w:eastAsia="Calibri" w:cs="Calibri"/>
                <w:sz w:val="16"/>
                <w:szCs w:val="16"/>
              </w:rPr>
              <w:t>16</w:t>
            </w:r>
          </w:p>
        </w:tc>
        <w:tc>
          <w:tcPr>
            <w:tcW w:w="1276" w:type="dxa"/>
          </w:tcPr>
          <w:p w14:paraId="3EC10087" w14:textId="77777777" w:rsidR="00695AE2" w:rsidRPr="00503014" w:rsidRDefault="00695AE2" w:rsidP="00980493">
            <w:pPr>
              <w:jc w:val="center"/>
              <w:rPr>
                <w:rFonts w:eastAsia="Calibri" w:cs="Calibri"/>
                <w:sz w:val="16"/>
                <w:szCs w:val="16"/>
              </w:rPr>
            </w:pPr>
            <w:r w:rsidRPr="00503014">
              <w:rPr>
                <w:rFonts w:eastAsia="Calibri" w:cs="Calibri"/>
                <w:sz w:val="16"/>
                <w:szCs w:val="16"/>
              </w:rPr>
              <w:t>21</w:t>
            </w:r>
          </w:p>
        </w:tc>
        <w:tc>
          <w:tcPr>
            <w:tcW w:w="1559" w:type="dxa"/>
          </w:tcPr>
          <w:p w14:paraId="0D3E101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2B03914" w14:textId="77777777" w:rsidTr="00980493">
        <w:trPr>
          <w:trHeight w:val="192"/>
        </w:trPr>
        <w:tc>
          <w:tcPr>
            <w:tcW w:w="2972" w:type="dxa"/>
          </w:tcPr>
          <w:p w14:paraId="7E015350"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13E6270A" w14:textId="77777777" w:rsidR="00695AE2" w:rsidRPr="00503014" w:rsidRDefault="00695AE2" w:rsidP="00980493">
            <w:pPr>
              <w:jc w:val="center"/>
              <w:rPr>
                <w:rFonts w:eastAsia="Calibri" w:cs="Calibri"/>
                <w:sz w:val="16"/>
                <w:szCs w:val="16"/>
              </w:rPr>
            </w:pPr>
            <w:r w:rsidRPr="00503014">
              <w:rPr>
                <w:rFonts w:eastAsia="Calibri" w:cs="Calibri"/>
                <w:sz w:val="16"/>
                <w:szCs w:val="16"/>
              </w:rPr>
              <w:t>3.490</w:t>
            </w:r>
          </w:p>
        </w:tc>
        <w:tc>
          <w:tcPr>
            <w:tcW w:w="897" w:type="dxa"/>
          </w:tcPr>
          <w:p w14:paraId="7F747196" w14:textId="77777777" w:rsidR="00695AE2" w:rsidRPr="00503014" w:rsidRDefault="00695AE2" w:rsidP="00980493">
            <w:pPr>
              <w:jc w:val="center"/>
              <w:rPr>
                <w:rFonts w:eastAsia="Calibri" w:cs="Calibri"/>
                <w:sz w:val="16"/>
                <w:szCs w:val="16"/>
              </w:rPr>
            </w:pPr>
            <w:r w:rsidRPr="00503014">
              <w:rPr>
                <w:rFonts w:eastAsia="Calibri" w:cs="Calibri"/>
                <w:sz w:val="16"/>
                <w:szCs w:val="16"/>
              </w:rPr>
              <w:t>1.494</w:t>
            </w:r>
          </w:p>
        </w:tc>
        <w:tc>
          <w:tcPr>
            <w:tcW w:w="945" w:type="dxa"/>
          </w:tcPr>
          <w:p w14:paraId="31368838" w14:textId="77777777" w:rsidR="00695AE2" w:rsidRPr="00503014" w:rsidRDefault="00695AE2" w:rsidP="00980493">
            <w:pPr>
              <w:jc w:val="center"/>
              <w:rPr>
                <w:rFonts w:eastAsia="Calibri" w:cs="Calibri"/>
                <w:sz w:val="16"/>
                <w:szCs w:val="16"/>
              </w:rPr>
            </w:pPr>
            <w:r w:rsidRPr="00503014">
              <w:rPr>
                <w:rFonts w:eastAsia="Calibri" w:cs="Calibri"/>
                <w:sz w:val="16"/>
                <w:szCs w:val="16"/>
              </w:rPr>
              <w:t>4.984</w:t>
            </w:r>
          </w:p>
        </w:tc>
        <w:tc>
          <w:tcPr>
            <w:tcW w:w="851" w:type="dxa"/>
          </w:tcPr>
          <w:p w14:paraId="1414A895" w14:textId="77777777" w:rsidR="00695AE2" w:rsidRPr="00503014" w:rsidRDefault="00695AE2" w:rsidP="00980493">
            <w:pPr>
              <w:jc w:val="center"/>
              <w:rPr>
                <w:rFonts w:eastAsia="Calibri" w:cs="Calibri"/>
                <w:sz w:val="16"/>
                <w:szCs w:val="16"/>
              </w:rPr>
            </w:pPr>
            <w:r w:rsidRPr="00503014">
              <w:rPr>
                <w:rFonts w:eastAsia="Calibri" w:cs="Calibri"/>
                <w:sz w:val="16"/>
                <w:szCs w:val="16"/>
              </w:rPr>
              <w:t>1.712</w:t>
            </w:r>
          </w:p>
        </w:tc>
        <w:tc>
          <w:tcPr>
            <w:tcW w:w="1276" w:type="dxa"/>
          </w:tcPr>
          <w:p w14:paraId="7794269B" w14:textId="77777777" w:rsidR="00695AE2" w:rsidRPr="00503014" w:rsidRDefault="00695AE2" w:rsidP="00980493">
            <w:pPr>
              <w:jc w:val="center"/>
              <w:rPr>
                <w:rFonts w:eastAsia="Calibri" w:cs="Calibri"/>
                <w:sz w:val="16"/>
                <w:szCs w:val="16"/>
              </w:rPr>
            </w:pPr>
            <w:r w:rsidRPr="00503014">
              <w:rPr>
                <w:rFonts w:eastAsia="Calibri" w:cs="Calibri"/>
                <w:sz w:val="16"/>
                <w:szCs w:val="16"/>
              </w:rPr>
              <w:t>3.272</w:t>
            </w:r>
          </w:p>
        </w:tc>
        <w:tc>
          <w:tcPr>
            <w:tcW w:w="1559" w:type="dxa"/>
          </w:tcPr>
          <w:p w14:paraId="0999F74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E2D8F5E" w14:textId="77777777" w:rsidTr="00980493">
        <w:trPr>
          <w:trHeight w:val="192"/>
        </w:trPr>
        <w:tc>
          <w:tcPr>
            <w:tcW w:w="2972" w:type="dxa"/>
          </w:tcPr>
          <w:p w14:paraId="6D8AAFBF"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7C851969" w14:textId="77777777" w:rsidR="00695AE2" w:rsidRPr="00503014" w:rsidRDefault="00695AE2" w:rsidP="00980493">
            <w:pPr>
              <w:jc w:val="center"/>
              <w:rPr>
                <w:rFonts w:eastAsia="Calibri" w:cs="Calibri"/>
                <w:sz w:val="16"/>
                <w:szCs w:val="16"/>
              </w:rPr>
            </w:pPr>
            <w:r w:rsidRPr="00503014">
              <w:rPr>
                <w:rFonts w:eastAsia="Calibri" w:cs="Calibri"/>
                <w:sz w:val="16"/>
                <w:szCs w:val="16"/>
              </w:rPr>
              <w:t>2.813</w:t>
            </w:r>
          </w:p>
        </w:tc>
        <w:tc>
          <w:tcPr>
            <w:tcW w:w="897" w:type="dxa"/>
          </w:tcPr>
          <w:p w14:paraId="192CC80F" w14:textId="77777777" w:rsidR="00695AE2" w:rsidRPr="00503014" w:rsidRDefault="00695AE2" w:rsidP="00980493">
            <w:pPr>
              <w:jc w:val="center"/>
              <w:rPr>
                <w:rFonts w:eastAsia="Calibri" w:cs="Calibri"/>
                <w:sz w:val="16"/>
                <w:szCs w:val="16"/>
              </w:rPr>
            </w:pPr>
            <w:r w:rsidRPr="00503014">
              <w:rPr>
                <w:rFonts w:eastAsia="Calibri" w:cs="Calibri"/>
                <w:sz w:val="16"/>
                <w:szCs w:val="16"/>
              </w:rPr>
              <w:t>1.870</w:t>
            </w:r>
          </w:p>
        </w:tc>
        <w:tc>
          <w:tcPr>
            <w:tcW w:w="945" w:type="dxa"/>
          </w:tcPr>
          <w:p w14:paraId="6603A51D" w14:textId="77777777" w:rsidR="00695AE2" w:rsidRPr="00503014" w:rsidRDefault="00695AE2" w:rsidP="00980493">
            <w:pPr>
              <w:jc w:val="center"/>
              <w:rPr>
                <w:rFonts w:eastAsia="Calibri" w:cs="Calibri"/>
                <w:sz w:val="16"/>
                <w:szCs w:val="16"/>
              </w:rPr>
            </w:pPr>
            <w:r w:rsidRPr="00503014">
              <w:rPr>
                <w:rFonts w:eastAsia="Calibri" w:cs="Calibri"/>
                <w:sz w:val="16"/>
                <w:szCs w:val="16"/>
              </w:rPr>
              <w:t>4.683</w:t>
            </w:r>
          </w:p>
        </w:tc>
        <w:tc>
          <w:tcPr>
            <w:tcW w:w="851" w:type="dxa"/>
          </w:tcPr>
          <w:p w14:paraId="34E2362F" w14:textId="77777777" w:rsidR="00695AE2" w:rsidRPr="00503014" w:rsidRDefault="00695AE2" w:rsidP="00980493">
            <w:pPr>
              <w:jc w:val="center"/>
              <w:rPr>
                <w:rFonts w:eastAsia="Calibri" w:cs="Calibri"/>
                <w:sz w:val="16"/>
                <w:szCs w:val="16"/>
              </w:rPr>
            </w:pPr>
            <w:r w:rsidRPr="00503014">
              <w:rPr>
                <w:rFonts w:eastAsia="Calibri" w:cs="Calibri"/>
                <w:sz w:val="16"/>
                <w:szCs w:val="16"/>
              </w:rPr>
              <w:t>1.841</w:t>
            </w:r>
          </w:p>
        </w:tc>
        <w:tc>
          <w:tcPr>
            <w:tcW w:w="1276" w:type="dxa"/>
          </w:tcPr>
          <w:p w14:paraId="65456B16" w14:textId="77777777" w:rsidR="00695AE2" w:rsidRPr="00503014" w:rsidRDefault="00695AE2" w:rsidP="00980493">
            <w:pPr>
              <w:jc w:val="center"/>
              <w:rPr>
                <w:rFonts w:eastAsia="Calibri" w:cs="Calibri"/>
                <w:sz w:val="16"/>
                <w:szCs w:val="16"/>
              </w:rPr>
            </w:pPr>
            <w:r w:rsidRPr="00503014">
              <w:rPr>
                <w:rFonts w:eastAsia="Calibri" w:cs="Calibri"/>
                <w:sz w:val="16"/>
                <w:szCs w:val="16"/>
              </w:rPr>
              <w:t>2.842</w:t>
            </w:r>
          </w:p>
        </w:tc>
        <w:tc>
          <w:tcPr>
            <w:tcW w:w="1559" w:type="dxa"/>
          </w:tcPr>
          <w:p w14:paraId="332A05C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6BB0B2C" w14:textId="77777777" w:rsidTr="00980493">
        <w:trPr>
          <w:trHeight w:val="192"/>
        </w:trPr>
        <w:tc>
          <w:tcPr>
            <w:tcW w:w="2972" w:type="dxa"/>
          </w:tcPr>
          <w:p w14:paraId="64E1F9B0"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4C34CE8C" w14:textId="77777777" w:rsidR="00695AE2" w:rsidRPr="00503014" w:rsidRDefault="00695AE2" w:rsidP="00980493">
            <w:pPr>
              <w:jc w:val="center"/>
              <w:rPr>
                <w:rFonts w:eastAsia="Calibri" w:cs="Calibri"/>
                <w:sz w:val="16"/>
                <w:szCs w:val="16"/>
              </w:rPr>
            </w:pPr>
            <w:r w:rsidRPr="00503014">
              <w:rPr>
                <w:rFonts w:eastAsia="Calibri" w:cs="Calibri"/>
                <w:sz w:val="16"/>
                <w:szCs w:val="16"/>
              </w:rPr>
              <w:t>2.248</w:t>
            </w:r>
          </w:p>
        </w:tc>
        <w:tc>
          <w:tcPr>
            <w:tcW w:w="897" w:type="dxa"/>
          </w:tcPr>
          <w:p w14:paraId="20E4A322" w14:textId="77777777" w:rsidR="00695AE2" w:rsidRPr="00503014" w:rsidRDefault="00695AE2" w:rsidP="00980493">
            <w:pPr>
              <w:jc w:val="center"/>
              <w:rPr>
                <w:rFonts w:eastAsia="Calibri" w:cs="Calibri"/>
                <w:sz w:val="16"/>
                <w:szCs w:val="16"/>
              </w:rPr>
            </w:pPr>
            <w:r w:rsidRPr="00503014">
              <w:rPr>
                <w:rFonts w:eastAsia="Calibri" w:cs="Calibri"/>
                <w:sz w:val="16"/>
                <w:szCs w:val="16"/>
              </w:rPr>
              <w:t>3.367</w:t>
            </w:r>
          </w:p>
        </w:tc>
        <w:tc>
          <w:tcPr>
            <w:tcW w:w="945" w:type="dxa"/>
          </w:tcPr>
          <w:p w14:paraId="7E5313C2" w14:textId="77777777" w:rsidR="00695AE2" w:rsidRPr="00503014" w:rsidRDefault="00695AE2" w:rsidP="00980493">
            <w:pPr>
              <w:jc w:val="center"/>
              <w:rPr>
                <w:rFonts w:eastAsia="Calibri" w:cs="Calibri"/>
                <w:sz w:val="16"/>
                <w:szCs w:val="16"/>
              </w:rPr>
            </w:pPr>
            <w:r w:rsidRPr="00503014">
              <w:rPr>
                <w:rFonts w:eastAsia="Calibri" w:cs="Calibri"/>
                <w:sz w:val="16"/>
                <w:szCs w:val="16"/>
              </w:rPr>
              <w:t>5.615</w:t>
            </w:r>
          </w:p>
        </w:tc>
        <w:tc>
          <w:tcPr>
            <w:tcW w:w="851" w:type="dxa"/>
          </w:tcPr>
          <w:p w14:paraId="5429F375" w14:textId="77777777" w:rsidR="00695AE2" w:rsidRPr="00503014" w:rsidRDefault="00695AE2" w:rsidP="00980493">
            <w:pPr>
              <w:jc w:val="center"/>
              <w:rPr>
                <w:rFonts w:eastAsia="Calibri" w:cs="Calibri"/>
                <w:sz w:val="16"/>
                <w:szCs w:val="16"/>
              </w:rPr>
            </w:pPr>
            <w:r w:rsidRPr="00503014">
              <w:rPr>
                <w:rFonts w:eastAsia="Calibri" w:cs="Calibri"/>
                <w:sz w:val="16"/>
                <w:szCs w:val="16"/>
              </w:rPr>
              <w:t>2.947</w:t>
            </w:r>
          </w:p>
        </w:tc>
        <w:tc>
          <w:tcPr>
            <w:tcW w:w="1276" w:type="dxa"/>
          </w:tcPr>
          <w:p w14:paraId="686DC49D" w14:textId="77777777" w:rsidR="00695AE2" w:rsidRPr="00503014" w:rsidRDefault="00695AE2" w:rsidP="00980493">
            <w:pPr>
              <w:jc w:val="center"/>
              <w:rPr>
                <w:rFonts w:eastAsia="Calibri" w:cs="Calibri"/>
                <w:sz w:val="16"/>
                <w:szCs w:val="16"/>
              </w:rPr>
            </w:pPr>
            <w:r w:rsidRPr="00503014">
              <w:rPr>
                <w:rFonts w:eastAsia="Calibri" w:cs="Calibri"/>
                <w:sz w:val="16"/>
                <w:szCs w:val="16"/>
              </w:rPr>
              <w:t>2.668</w:t>
            </w:r>
          </w:p>
        </w:tc>
        <w:tc>
          <w:tcPr>
            <w:tcW w:w="1559" w:type="dxa"/>
          </w:tcPr>
          <w:p w14:paraId="561CB791"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99DB97A" w14:textId="77777777" w:rsidTr="00980493">
        <w:trPr>
          <w:trHeight w:val="192"/>
        </w:trPr>
        <w:tc>
          <w:tcPr>
            <w:tcW w:w="2972" w:type="dxa"/>
          </w:tcPr>
          <w:p w14:paraId="70A85420"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04B031DC" w14:textId="77777777" w:rsidR="00695AE2" w:rsidRPr="00503014" w:rsidRDefault="00695AE2" w:rsidP="00980493">
            <w:pPr>
              <w:jc w:val="center"/>
              <w:rPr>
                <w:rFonts w:eastAsia="Calibri" w:cs="Calibri"/>
                <w:sz w:val="16"/>
                <w:szCs w:val="16"/>
              </w:rPr>
            </w:pPr>
            <w:r w:rsidRPr="00503014">
              <w:rPr>
                <w:rFonts w:eastAsia="Calibri" w:cs="Calibri"/>
                <w:sz w:val="16"/>
                <w:szCs w:val="16"/>
              </w:rPr>
              <w:t>384</w:t>
            </w:r>
          </w:p>
        </w:tc>
        <w:tc>
          <w:tcPr>
            <w:tcW w:w="897" w:type="dxa"/>
          </w:tcPr>
          <w:p w14:paraId="76757D7D" w14:textId="77777777" w:rsidR="00695AE2" w:rsidRPr="00503014" w:rsidRDefault="00695AE2" w:rsidP="00980493">
            <w:pPr>
              <w:jc w:val="center"/>
              <w:rPr>
                <w:rFonts w:eastAsia="Calibri" w:cs="Calibri"/>
                <w:sz w:val="16"/>
                <w:szCs w:val="16"/>
              </w:rPr>
            </w:pPr>
            <w:r w:rsidRPr="00503014">
              <w:rPr>
                <w:rFonts w:eastAsia="Calibri" w:cs="Calibri"/>
                <w:sz w:val="16"/>
                <w:szCs w:val="16"/>
              </w:rPr>
              <w:t>148</w:t>
            </w:r>
          </w:p>
        </w:tc>
        <w:tc>
          <w:tcPr>
            <w:tcW w:w="945" w:type="dxa"/>
          </w:tcPr>
          <w:p w14:paraId="145C29EF" w14:textId="77777777" w:rsidR="00695AE2" w:rsidRPr="00503014" w:rsidRDefault="00695AE2" w:rsidP="00980493">
            <w:pPr>
              <w:jc w:val="center"/>
              <w:rPr>
                <w:rFonts w:eastAsia="Calibri" w:cs="Calibri"/>
                <w:sz w:val="16"/>
                <w:szCs w:val="16"/>
              </w:rPr>
            </w:pPr>
            <w:r w:rsidRPr="00503014">
              <w:rPr>
                <w:rFonts w:eastAsia="Calibri" w:cs="Calibri"/>
                <w:sz w:val="16"/>
                <w:szCs w:val="16"/>
              </w:rPr>
              <w:t>532</w:t>
            </w:r>
          </w:p>
        </w:tc>
        <w:tc>
          <w:tcPr>
            <w:tcW w:w="851" w:type="dxa"/>
          </w:tcPr>
          <w:p w14:paraId="2EC183AD" w14:textId="77777777" w:rsidR="00695AE2" w:rsidRPr="00503014" w:rsidRDefault="00695AE2" w:rsidP="00980493">
            <w:pPr>
              <w:jc w:val="center"/>
              <w:rPr>
                <w:rFonts w:eastAsia="Calibri" w:cs="Calibri"/>
                <w:sz w:val="16"/>
                <w:szCs w:val="16"/>
              </w:rPr>
            </w:pPr>
            <w:r w:rsidRPr="00503014">
              <w:rPr>
                <w:rFonts w:eastAsia="Calibri" w:cs="Calibri"/>
                <w:sz w:val="16"/>
                <w:szCs w:val="16"/>
              </w:rPr>
              <w:t>150</w:t>
            </w:r>
          </w:p>
        </w:tc>
        <w:tc>
          <w:tcPr>
            <w:tcW w:w="1276" w:type="dxa"/>
          </w:tcPr>
          <w:p w14:paraId="50E5531F" w14:textId="77777777" w:rsidR="00695AE2" w:rsidRPr="00503014" w:rsidRDefault="00695AE2" w:rsidP="00980493">
            <w:pPr>
              <w:jc w:val="center"/>
              <w:rPr>
                <w:rFonts w:eastAsia="Calibri" w:cs="Calibri"/>
                <w:sz w:val="16"/>
                <w:szCs w:val="16"/>
              </w:rPr>
            </w:pPr>
            <w:r w:rsidRPr="00503014">
              <w:rPr>
                <w:rFonts w:eastAsia="Calibri" w:cs="Calibri"/>
                <w:sz w:val="16"/>
                <w:szCs w:val="16"/>
              </w:rPr>
              <w:t>382</w:t>
            </w:r>
          </w:p>
        </w:tc>
        <w:tc>
          <w:tcPr>
            <w:tcW w:w="1559" w:type="dxa"/>
          </w:tcPr>
          <w:p w14:paraId="08B2ACD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BE281E7" w14:textId="77777777" w:rsidTr="00980493">
        <w:trPr>
          <w:trHeight w:val="192"/>
        </w:trPr>
        <w:tc>
          <w:tcPr>
            <w:tcW w:w="2972" w:type="dxa"/>
          </w:tcPr>
          <w:p w14:paraId="42E16373"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5BB0FC5B" w14:textId="77777777" w:rsidR="00695AE2" w:rsidRPr="00503014" w:rsidRDefault="00695AE2" w:rsidP="00980493">
            <w:pPr>
              <w:jc w:val="center"/>
              <w:rPr>
                <w:rFonts w:eastAsia="Calibri" w:cs="Calibri"/>
                <w:sz w:val="16"/>
                <w:szCs w:val="16"/>
              </w:rPr>
            </w:pPr>
            <w:r w:rsidRPr="00503014">
              <w:rPr>
                <w:rFonts w:eastAsia="Calibri" w:cs="Calibri"/>
                <w:sz w:val="16"/>
                <w:szCs w:val="16"/>
              </w:rPr>
              <w:t>268</w:t>
            </w:r>
          </w:p>
        </w:tc>
        <w:tc>
          <w:tcPr>
            <w:tcW w:w="897" w:type="dxa"/>
          </w:tcPr>
          <w:p w14:paraId="2FCE1723" w14:textId="77777777" w:rsidR="00695AE2" w:rsidRPr="00503014" w:rsidRDefault="00695AE2" w:rsidP="00980493">
            <w:pPr>
              <w:jc w:val="center"/>
              <w:rPr>
                <w:rFonts w:eastAsia="Calibri" w:cs="Calibri"/>
                <w:sz w:val="16"/>
                <w:szCs w:val="16"/>
              </w:rPr>
            </w:pPr>
            <w:r w:rsidRPr="00503014">
              <w:rPr>
                <w:rFonts w:eastAsia="Calibri" w:cs="Calibri"/>
                <w:sz w:val="16"/>
                <w:szCs w:val="16"/>
              </w:rPr>
              <w:t>5.959</w:t>
            </w:r>
          </w:p>
        </w:tc>
        <w:tc>
          <w:tcPr>
            <w:tcW w:w="945" w:type="dxa"/>
          </w:tcPr>
          <w:p w14:paraId="105A58A8" w14:textId="77777777" w:rsidR="00695AE2" w:rsidRPr="00503014" w:rsidRDefault="00695AE2" w:rsidP="00980493">
            <w:pPr>
              <w:jc w:val="center"/>
              <w:rPr>
                <w:rFonts w:eastAsia="Calibri" w:cs="Calibri"/>
                <w:sz w:val="16"/>
                <w:szCs w:val="16"/>
              </w:rPr>
            </w:pPr>
            <w:r w:rsidRPr="00503014">
              <w:rPr>
                <w:rFonts w:eastAsia="Calibri" w:cs="Calibri"/>
                <w:sz w:val="16"/>
                <w:szCs w:val="16"/>
              </w:rPr>
              <w:t>6.227</w:t>
            </w:r>
          </w:p>
        </w:tc>
        <w:tc>
          <w:tcPr>
            <w:tcW w:w="851" w:type="dxa"/>
          </w:tcPr>
          <w:p w14:paraId="7507EEAF" w14:textId="77777777" w:rsidR="00695AE2" w:rsidRPr="00503014" w:rsidRDefault="00695AE2" w:rsidP="00980493">
            <w:pPr>
              <w:jc w:val="center"/>
              <w:rPr>
                <w:rFonts w:eastAsia="Calibri" w:cs="Calibri"/>
                <w:sz w:val="16"/>
                <w:szCs w:val="16"/>
              </w:rPr>
            </w:pPr>
            <w:r w:rsidRPr="00503014">
              <w:rPr>
                <w:rFonts w:eastAsia="Calibri" w:cs="Calibri"/>
                <w:sz w:val="16"/>
                <w:szCs w:val="16"/>
              </w:rPr>
              <w:t>6.121</w:t>
            </w:r>
          </w:p>
        </w:tc>
        <w:tc>
          <w:tcPr>
            <w:tcW w:w="1276" w:type="dxa"/>
          </w:tcPr>
          <w:p w14:paraId="4C5C9E9E" w14:textId="77777777" w:rsidR="00695AE2" w:rsidRPr="00503014" w:rsidRDefault="00695AE2" w:rsidP="00980493">
            <w:pPr>
              <w:jc w:val="center"/>
              <w:rPr>
                <w:rFonts w:eastAsia="Calibri" w:cs="Calibri"/>
                <w:sz w:val="16"/>
                <w:szCs w:val="16"/>
              </w:rPr>
            </w:pPr>
            <w:r w:rsidRPr="00503014">
              <w:rPr>
                <w:rFonts w:eastAsia="Calibri" w:cs="Calibri"/>
                <w:sz w:val="16"/>
                <w:szCs w:val="16"/>
              </w:rPr>
              <w:t>106</w:t>
            </w:r>
          </w:p>
        </w:tc>
        <w:tc>
          <w:tcPr>
            <w:tcW w:w="1559" w:type="dxa"/>
          </w:tcPr>
          <w:p w14:paraId="183DF4B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F724300" w14:textId="77777777" w:rsidTr="00980493">
        <w:trPr>
          <w:trHeight w:val="192"/>
        </w:trPr>
        <w:tc>
          <w:tcPr>
            <w:tcW w:w="2972" w:type="dxa"/>
          </w:tcPr>
          <w:p w14:paraId="5B9E37D5"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5FD0DA11" w14:textId="77777777" w:rsidR="00695AE2" w:rsidRPr="00503014" w:rsidRDefault="00695AE2" w:rsidP="00980493">
            <w:pPr>
              <w:jc w:val="center"/>
              <w:rPr>
                <w:rFonts w:eastAsia="Calibri" w:cs="Calibri"/>
                <w:sz w:val="16"/>
                <w:szCs w:val="16"/>
              </w:rPr>
            </w:pPr>
            <w:r w:rsidRPr="00503014">
              <w:rPr>
                <w:rFonts w:eastAsia="Calibri" w:cs="Calibri"/>
                <w:sz w:val="16"/>
                <w:szCs w:val="16"/>
              </w:rPr>
              <w:t>15</w:t>
            </w:r>
          </w:p>
        </w:tc>
        <w:tc>
          <w:tcPr>
            <w:tcW w:w="897" w:type="dxa"/>
          </w:tcPr>
          <w:p w14:paraId="6A4AA965"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945" w:type="dxa"/>
          </w:tcPr>
          <w:p w14:paraId="4D51851F" w14:textId="77777777" w:rsidR="00695AE2" w:rsidRPr="00503014" w:rsidRDefault="00695AE2" w:rsidP="00980493">
            <w:pPr>
              <w:jc w:val="center"/>
              <w:rPr>
                <w:rFonts w:eastAsia="Calibri" w:cs="Calibri"/>
                <w:sz w:val="16"/>
                <w:szCs w:val="16"/>
              </w:rPr>
            </w:pPr>
            <w:r w:rsidRPr="00503014">
              <w:rPr>
                <w:rFonts w:eastAsia="Calibri" w:cs="Calibri"/>
                <w:sz w:val="16"/>
                <w:szCs w:val="16"/>
              </w:rPr>
              <w:t>16</w:t>
            </w:r>
          </w:p>
        </w:tc>
        <w:tc>
          <w:tcPr>
            <w:tcW w:w="851" w:type="dxa"/>
          </w:tcPr>
          <w:p w14:paraId="4B6CD2A6"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276" w:type="dxa"/>
          </w:tcPr>
          <w:p w14:paraId="28DA02B9" w14:textId="77777777" w:rsidR="00695AE2" w:rsidRPr="00503014" w:rsidRDefault="00695AE2" w:rsidP="00980493">
            <w:pPr>
              <w:jc w:val="center"/>
              <w:rPr>
                <w:rFonts w:eastAsia="Calibri" w:cs="Calibri"/>
                <w:sz w:val="16"/>
                <w:szCs w:val="16"/>
              </w:rPr>
            </w:pPr>
            <w:r w:rsidRPr="00503014">
              <w:rPr>
                <w:rFonts w:eastAsia="Calibri" w:cs="Calibri"/>
                <w:sz w:val="16"/>
                <w:szCs w:val="16"/>
              </w:rPr>
              <w:t>14</w:t>
            </w:r>
          </w:p>
        </w:tc>
        <w:tc>
          <w:tcPr>
            <w:tcW w:w="1559" w:type="dxa"/>
          </w:tcPr>
          <w:p w14:paraId="4EA7339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B3E21ED" w14:textId="77777777" w:rsidTr="00980493">
        <w:trPr>
          <w:trHeight w:val="192"/>
        </w:trPr>
        <w:tc>
          <w:tcPr>
            <w:tcW w:w="2972" w:type="dxa"/>
          </w:tcPr>
          <w:p w14:paraId="5D814478"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432C97F8"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97" w:type="dxa"/>
          </w:tcPr>
          <w:p w14:paraId="20CEDFE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3B70A6D1"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51" w:type="dxa"/>
          </w:tcPr>
          <w:p w14:paraId="6BBC6A1A"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363F60E8"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559" w:type="dxa"/>
          </w:tcPr>
          <w:p w14:paraId="387568B1"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306B936" w14:textId="77777777" w:rsidTr="00980493">
        <w:trPr>
          <w:trHeight w:val="192"/>
        </w:trPr>
        <w:tc>
          <w:tcPr>
            <w:tcW w:w="2972" w:type="dxa"/>
          </w:tcPr>
          <w:p w14:paraId="69A8297B"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734C503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51AE237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2093BC8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EB4BCF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6C250D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7A3D3F1"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13FC45C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500DB21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Celju</w:t>
      </w:r>
    </w:p>
    <w:p w14:paraId="38770609" w14:textId="77777777" w:rsidR="00695AE2" w:rsidRPr="00503014" w:rsidRDefault="00695AE2" w:rsidP="00695AE2">
      <w:pPr>
        <w:spacing w:line="240" w:lineRule="auto"/>
        <w:rPr>
          <w:rFonts w:eastAsia="Calibri"/>
          <w:sz w:val="20"/>
          <w:szCs w:val="20"/>
        </w:rPr>
      </w:pPr>
    </w:p>
    <w:tbl>
      <w:tblPr>
        <w:tblStyle w:val="Tabelamrea2"/>
        <w:tblW w:w="9918" w:type="dxa"/>
        <w:tblLayout w:type="fixed"/>
        <w:tblLook w:val="04A0" w:firstRow="1" w:lastRow="0" w:firstColumn="1" w:lastColumn="0" w:noHBand="0" w:noVBand="1"/>
      </w:tblPr>
      <w:tblGrid>
        <w:gridCol w:w="2972"/>
        <w:gridCol w:w="1418"/>
        <w:gridCol w:w="850"/>
        <w:gridCol w:w="992"/>
        <w:gridCol w:w="851"/>
        <w:gridCol w:w="1276"/>
        <w:gridCol w:w="1559"/>
      </w:tblGrid>
      <w:tr w:rsidR="00695AE2" w:rsidRPr="00503014" w14:paraId="548107E1" w14:textId="77777777" w:rsidTr="00980493">
        <w:trPr>
          <w:trHeight w:val="801"/>
        </w:trPr>
        <w:tc>
          <w:tcPr>
            <w:tcW w:w="2972" w:type="dxa"/>
          </w:tcPr>
          <w:p w14:paraId="492F58A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38686F7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50" w:type="dxa"/>
          </w:tcPr>
          <w:p w14:paraId="1988BA3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92" w:type="dxa"/>
          </w:tcPr>
          <w:p w14:paraId="2D5C9A3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5495C9D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116DE38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3FBD728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61DF7464" w14:textId="77777777" w:rsidR="00695AE2" w:rsidRPr="00503014" w:rsidRDefault="00695AE2" w:rsidP="00980493">
            <w:pPr>
              <w:jc w:val="center"/>
              <w:rPr>
                <w:rFonts w:eastAsia="Times New Roman" w:cs="Calibri"/>
                <w:sz w:val="16"/>
                <w:szCs w:val="16"/>
              </w:rPr>
            </w:pPr>
          </w:p>
        </w:tc>
      </w:tr>
      <w:tr w:rsidR="00695AE2" w:rsidRPr="00503014" w14:paraId="7E97A68B" w14:textId="77777777" w:rsidTr="00980493">
        <w:trPr>
          <w:trHeight w:val="192"/>
        </w:trPr>
        <w:tc>
          <w:tcPr>
            <w:tcW w:w="2972" w:type="dxa"/>
          </w:tcPr>
          <w:p w14:paraId="75181DA0"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393569A1" w14:textId="77777777" w:rsidR="00695AE2" w:rsidRPr="00503014" w:rsidRDefault="00695AE2" w:rsidP="00980493">
            <w:pPr>
              <w:jc w:val="center"/>
              <w:rPr>
                <w:rFonts w:eastAsia="Calibri" w:cs="Calibri"/>
                <w:sz w:val="16"/>
                <w:szCs w:val="16"/>
              </w:rPr>
            </w:pPr>
            <w:r w:rsidRPr="00503014">
              <w:rPr>
                <w:rFonts w:eastAsia="Calibri" w:cs="Calibri"/>
                <w:sz w:val="16"/>
                <w:szCs w:val="16"/>
              </w:rPr>
              <w:t>79</w:t>
            </w:r>
          </w:p>
        </w:tc>
        <w:tc>
          <w:tcPr>
            <w:tcW w:w="850" w:type="dxa"/>
          </w:tcPr>
          <w:p w14:paraId="51220B8C" w14:textId="77777777" w:rsidR="00695AE2" w:rsidRPr="00503014" w:rsidRDefault="00695AE2" w:rsidP="00980493">
            <w:pPr>
              <w:jc w:val="center"/>
              <w:rPr>
                <w:rFonts w:eastAsia="Calibri" w:cs="Calibri"/>
                <w:sz w:val="16"/>
                <w:szCs w:val="16"/>
              </w:rPr>
            </w:pPr>
            <w:r w:rsidRPr="00503014">
              <w:rPr>
                <w:rFonts w:eastAsia="Calibri" w:cs="Calibri"/>
                <w:sz w:val="16"/>
                <w:szCs w:val="16"/>
              </w:rPr>
              <w:t>39</w:t>
            </w:r>
          </w:p>
        </w:tc>
        <w:tc>
          <w:tcPr>
            <w:tcW w:w="992" w:type="dxa"/>
          </w:tcPr>
          <w:p w14:paraId="2221CD55" w14:textId="77777777" w:rsidR="00695AE2" w:rsidRPr="00503014" w:rsidRDefault="00695AE2" w:rsidP="00980493">
            <w:pPr>
              <w:jc w:val="center"/>
              <w:rPr>
                <w:rFonts w:eastAsia="Calibri" w:cs="Calibri"/>
                <w:sz w:val="16"/>
                <w:szCs w:val="16"/>
              </w:rPr>
            </w:pPr>
            <w:r w:rsidRPr="00503014">
              <w:rPr>
                <w:rFonts w:eastAsia="Calibri" w:cs="Calibri"/>
                <w:sz w:val="16"/>
                <w:szCs w:val="16"/>
              </w:rPr>
              <w:t>118</w:t>
            </w:r>
          </w:p>
        </w:tc>
        <w:tc>
          <w:tcPr>
            <w:tcW w:w="851" w:type="dxa"/>
          </w:tcPr>
          <w:p w14:paraId="05CEF6B2" w14:textId="77777777" w:rsidR="00695AE2" w:rsidRPr="00503014" w:rsidRDefault="00695AE2" w:rsidP="00980493">
            <w:pPr>
              <w:jc w:val="center"/>
              <w:rPr>
                <w:rFonts w:eastAsia="Calibri" w:cs="Calibri"/>
                <w:sz w:val="16"/>
                <w:szCs w:val="16"/>
              </w:rPr>
            </w:pPr>
            <w:r w:rsidRPr="00503014">
              <w:rPr>
                <w:rFonts w:eastAsia="Calibri" w:cs="Calibri"/>
                <w:sz w:val="16"/>
                <w:szCs w:val="16"/>
              </w:rPr>
              <w:t>45</w:t>
            </w:r>
          </w:p>
        </w:tc>
        <w:tc>
          <w:tcPr>
            <w:tcW w:w="1276" w:type="dxa"/>
          </w:tcPr>
          <w:p w14:paraId="6FDAC2B5" w14:textId="77777777" w:rsidR="00695AE2" w:rsidRPr="00503014" w:rsidRDefault="00695AE2" w:rsidP="00980493">
            <w:pPr>
              <w:jc w:val="center"/>
              <w:rPr>
                <w:rFonts w:eastAsia="Calibri" w:cs="Calibri"/>
                <w:sz w:val="16"/>
                <w:szCs w:val="16"/>
              </w:rPr>
            </w:pPr>
            <w:r w:rsidRPr="00503014">
              <w:rPr>
                <w:rFonts w:eastAsia="Calibri" w:cs="Calibri"/>
                <w:sz w:val="16"/>
                <w:szCs w:val="16"/>
              </w:rPr>
              <w:t>73</w:t>
            </w:r>
          </w:p>
        </w:tc>
        <w:tc>
          <w:tcPr>
            <w:tcW w:w="1559" w:type="dxa"/>
          </w:tcPr>
          <w:p w14:paraId="366C94DD"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A6C8761" w14:textId="77777777" w:rsidTr="00980493">
        <w:trPr>
          <w:trHeight w:val="179"/>
        </w:trPr>
        <w:tc>
          <w:tcPr>
            <w:tcW w:w="2972" w:type="dxa"/>
          </w:tcPr>
          <w:p w14:paraId="1ADD0E8C"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2D83C1A4" w14:textId="77777777" w:rsidR="00695AE2" w:rsidRPr="00503014" w:rsidRDefault="00695AE2" w:rsidP="00980493">
            <w:pPr>
              <w:jc w:val="center"/>
              <w:rPr>
                <w:rFonts w:eastAsia="Calibri" w:cs="Calibri"/>
                <w:sz w:val="16"/>
                <w:szCs w:val="16"/>
              </w:rPr>
            </w:pPr>
            <w:r w:rsidRPr="00503014">
              <w:rPr>
                <w:rFonts w:eastAsia="Calibri" w:cs="Calibri"/>
                <w:sz w:val="16"/>
                <w:szCs w:val="16"/>
              </w:rPr>
              <w:t>227</w:t>
            </w:r>
          </w:p>
        </w:tc>
        <w:tc>
          <w:tcPr>
            <w:tcW w:w="850" w:type="dxa"/>
          </w:tcPr>
          <w:p w14:paraId="32A86D92" w14:textId="77777777" w:rsidR="00695AE2" w:rsidRPr="00503014" w:rsidRDefault="00695AE2" w:rsidP="00980493">
            <w:pPr>
              <w:jc w:val="center"/>
              <w:rPr>
                <w:rFonts w:eastAsia="Calibri" w:cs="Calibri"/>
                <w:sz w:val="16"/>
                <w:szCs w:val="16"/>
              </w:rPr>
            </w:pPr>
            <w:r w:rsidRPr="00503014">
              <w:rPr>
                <w:rFonts w:eastAsia="Calibri" w:cs="Calibri"/>
                <w:sz w:val="16"/>
                <w:szCs w:val="16"/>
              </w:rPr>
              <w:t>131</w:t>
            </w:r>
          </w:p>
        </w:tc>
        <w:tc>
          <w:tcPr>
            <w:tcW w:w="992" w:type="dxa"/>
          </w:tcPr>
          <w:p w14:paraId="02804E56" w14:textId="77777777" w:rsidR="00695AE2" w:rsidRPr="00503014" w:rsidRDefault="00695AE2" w:rsidP="00980493">
            <w:pPr>
              <w:jc w:val="center"/>
              <w:rPr>
                <w:rFonts w:eastAsia="Calibri" w:cs="Calibri"/>
                <w:sz w:val="16"/>
                <w:szCs w:val="16"/>
              </w:rPr>
            </w:pPr>
            <w:r w:rsidRPr="00503014">
              <w:rPr>
                <w:rFonts w:eastAsia="Calibri" w:cs="Calibri"/>
                <w:sz w:val="16"/>
                <w:szCs w:val="16"/>
              </w:rPr>
              <w:t>358</w:t>
            </w:r>
          </w:p>
        </w:tc>
        <w:tc>
          <w:tcPr>
            <w:tcW w:w="851" w:type="dxa"/>
          </w:tcPr>
          <w:p w14:paraId="0F49F9FC" w14:textId="77777777" w:rsidR="00695AE2" w:rsidRPr="00503014" w:rsidRDefault="00695AE2" w:rsidP="00980493">
            <w:pPr>
              <w:jc w:val="center"/>
              <w:rPr>
                <w:rFonts w:eastAsia="Calibri" w:cs="Calibri"/>
                <w:sz w:val="16"/>
                <w:szCs w:val="16"/>
              </w:rPr>
            </w:pPr>
            <w:r w:rsidRPr="00503014">
              <w:rPr>
                <w:rFonts w:eastAsia="Calibri" w:cs="Calibri"/>
                <w:sz w:val="16"/>
                <w:szCs w:val="16"/>
              </w:rPr>
              <w:t>295</w:t>
            </w:r>
          </w:p>
        </w:tc>
        <w:tc>
          <w:tcPr>
            <w:tcW w:w="1276" w:type="dxa"/>
          </w:tcPr>
          <w:p w14:paraId="2407E9A1" w14:textId="77777777" w:rsidR="00695AE2" w:rsidRPr="00503014" w:rsidRDefault="00695AE2" w:rsidP="00980493">
            <w:pPr>
              <w:jc w:val="center"/>
              <w:rPr>
                <w:rFonts w:eastAsia="Calibri" w:cs="Calibri"/>
                <w:sz w:val="16"/>
                <w:szCs w:val="16"/>
              </w:rPr>
            </w:pPr>
            <w:r w:rsidRPr="00503014">
              <w:rPr>
                <w:rFonts w:eastAsia="Calibri" w:cs="Calibri"/>
                <w:sz w:val="16"/>
                <w:szCs w:val="16"/>
              </w:rPr>
              <w:t>63</w:t>
            </w:r>
          </w:p>
        </w:tc>
        <w:tc>
          <w:tcPr>
            <w:tcW w:w="1559" w:type="dxa"/>
          </w:tcPr>
          <w:p w14:paraId="5E9A8EF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74B985E" w14:textId="77777777" w:rsidTr="00980493">
        <w:trPr>
          <w:trHeight w:val="192"/>
        </w:trPr>
        <w:tc>
          <w:tcPr>
            <w:tcW w:w="2972" w:type="dxa"/>
          </w:tcPr>
          <w:p w14:paraId="60927DA9"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6EEBAC0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0" w:type="dxa"/>
          </w:tcPr>
          <w:p w14:paraId="6233C7D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92" w:type="dxa"/>
          </w:tcPr>
          <w:p w14:paraId="77862C3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15C15A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4B753F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381C789B"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14B1DB2" w14:textId="77777777" w:rsidTr="00980493">
        <w:trPr>
          <w:trHeight w:val="179"/>
        </w:trPr>
        <w:tc>
          <w:tcPr>
            <w:tcW w:w="2972" w:type="dxa"/>
          </w:tcPr>
          <w:p w14:paraId="6A21219E"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1413919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0" w:type="dxa"/>
          </w:tcPr>
          <w:p w14:paraId="4DC492D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92" w:type="dxa"/>
          </w:tcPr>
          <w:p w14:paraId="09410A4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1F353CE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86D8F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E1AB2D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70FBF44" w14:textId="77777777" w:rsidTr="00980493">
        <w:trPr>
          <w:trHeight w:val="192"/>
        </w:trPr>
        <w:tc>
          <w:tcPr>
            <w:tcW w:w="2972" w:type="dxa"/>
          </w:tcPr>
          <w:p w14:paraId="19BF15CD"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52B40EAC"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50" w:type="dxa"/>
          </w:tcPr>
          <w:p w14:paraId="60A3B4F9" w14:textId="77777777" w:rsidR="00695AE2" w:rsidRPr="00503014" w:rsidRDefault="00695AE2" w:rsidP="00980493">
            <w:pPr>
              <w:jc w:val="center"/>
              <w:rPr>
                <w:rFonts w:eastAsia="Calibri" w:cs="Calibri"/>
                <w:sz w:val="16"/>
                <w:szCs w:val="16"/>
              </w:rPr>
            </w:pPr>
            <w:r w:rsidRPr="00503014">
              <w:rPr>
                <w:rFonts w:eastAsia="Calibri" w:cs="Calibri"/>
                <w:sz w:val="16"/>
                <w:szCs w:val="16"/>
              </w:rPr>
              <w:t>10</w:t>
            </w:r>
          </w:p>
        </w:tc>
        <w:tc>
          <w:tcPr>
            <w:tcW w:w="992" w:type="dxa"/>
          </w:tcPr>
          <w:p w14:paraId="0362A228" w14:textId="77777777" w:rsidR="00695AE2" w:rsidRPr="00503014" w:rsidRDefault="00695AE2" w:rsidP="00980493">
            <w:pPr>
              <w:jc w:val="center"/>
              <w:rPr>
                <w:rFonts w:eastAsia="Calibri" w:cs="Calibri"/>
                <w:sz w:val="16"/>
                <w:szCs w:val="16"/>
              </w:rPr>
            </w:pPr>
            <w:r w:rsidRPr="00503014">
              <w:rPr>
                <w:rFonts w:eastAsia="Calibri" w:cs="Calibri"/>
                <w:sz w:val="16"/>
                <w:szCs w:val="16"/>
              </w:rPr>
              <w:t>12</w:t>
            </w:r>
          </w:p>
        </w:tc>
        <w:tc>
          <w:tcPr>
            <w:tcW w:w="851" w:type="dxa"/>
          </w:tcPr>
          <w:p w14:paraId="79F38902"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1276" w:type="dxa"/>
          </w:tcPr>
          <w:p w14:paraId="0EDBFF93" w14:textId="77777777" w:rsidR="00695AE2" w:rsidRPr="00503014" w:rsidRDefault="00695AE2" w:rsidP="00980493">
            <w:pPr>
              <w:jc w:val="center"/>
              <w:rPr>
                <w:rFonts w:eastAsia="Calibri" w:cs="Calibri"/>
                <w:sz w:val="16"/>
                <w:szCs w:val="16"/>
              </w:rPr>
            </w:pPr>
            <w:r w:rsidRPr="00503014">
              <w:rPr>
                <w:rFonts w:eastAsia="Calibri" w:cs="Calibri"/>
                <w:sz w:val="16"/>
                <w:szCs w:val="16"/>
              </w:rPr>
              <w:t>4</w:t>
            </w:r>
          </w:p>
        </w:tc>
        <w:tc>
          <w:tcPr>
            <w:tcW w:w="1559" w:type="dxa"/>
          </w:tcPr>
          <w:p w14:paraId="28E868F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A25D125" w14:textId="77777777" w:rsidTr="00980493">
        <w:trPr>
          <w:trHeight w:val="179"/>
        </w:trPr>
        <w:tc>
          <w:tcPr>
            <w:tcW w:w="2972" w:type="dxa"/>
          </w:tcPr>
          <w:p w14:paraId="3229975A"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00A0371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0" w:type="dxa"/>
          </w:tcPr>
          <w:p w14:paraId="1D6DDCE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92" w:type="dxa"/>
          </w:tcPr>
          <w:p w14:paraId="1ABF325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33FB75C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0E25C0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16F0422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0369A3A" w14:textId="77777777" w:rsidTr="00980493">
        <w:trPr>
          <w:trHeight w:val="192"/>
        </w:trPr>
        <w:tc>
          <w:tcPr>
            <w:tcW w:w="2972" w:type="dxa"/>
          </w:tcPr>
          <w:p w14:paraId="37D53429"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093ED9D2" w14:textId="77777777" w:rsidR="00695AE2" w:rsidRPr="00503014" w:rsidRDefault="00695AE2" w:rsidP="00980493">
            <w:pPr>
              <w:jc w:val="center"/>
              <w:rPr>
                <w:rFonts w:eastAsia="Calibri" w:cs="Calibri"/>
                <w:sz w:val="16"/>
                <w:szCs w:val="16"/>
              </w:rPr>
            </w:pPr>
            <w:r w:rsidRPr="00503014">
              <w:rPr>
                <w:rFonts w:eastAsia="Calibri" w:cs="Calibri"/>
                <w:sz w:val="16"/>
                <w:szCs w:val="16"/>
              </w:rPr>
              <w:t>657</w:t>
            </w:r>
          </w:p>
        </w:tc>
        <w:tc>
          <w:tcPr>
            <w:tcW w:w="850" w:type="dxa"/>
          </w:tcPr>
          <w:p w14:paraId="4B37075C" w14:textId="77777777" w:rsidR="00695AE2" w:rsidRPr="00503014" w:rsidRDefault="00695AE2" w:rsidP="00980493">
            <w:pPr>
              <w:jc w:val="center"/>
              <w:rPr>
                <w:rFonts w:eastAsia="Calibri" w:cs="Calibri"/>
                <w:sz w:val="16"/>
                <w:szCs w:val="16"/>
              </w:rPr>
            </w:pPr>
            <w:r w:rsidRPr="00503014">
              <w:rPr>
                <w:rFonts w:eastAsia="Calibri" w:cs="Calibri"/>
                <w:sz w:val="16"/>
                <w:szCs w:val="16"/>
              </w:rPr>
              <w:t>396</w:t>
            </w:r>
          </w:p>
        </w:tc>
        <w:tc>
          <w:tcPr>
            <w:tcW w:w="992" w:type="dxa"/>
          </w:tcPr>
          <w:p w14:paraId="1922257F" w14:textId="77777777" w:rsidR="00695AE2" w:rsidRPr="00503014" w:rsidRDefault="00695AE2" w:rsidP="00980493">
            <w:pPr>
              <w:jc w:val="center"/>
              <w:rPr>
                <w:rFonts w:eastAsia="Calibri" w:cs="Calibri"/>
                <w:sz w:val="16"/>
                <w:szCs w:val="16"/>
              </w:rPr>
            </w:pPr>
            <w:r w:rsidRPr="00503014">
              <w:rPr>
                <w:rFonts w:eastAsia="Calibri" w:cs="Calibri"/>
                <w:sz w:val="16"/>
                <w:szCs w:val="16"/>
              </w:rPr>
              <w:t>1.053</w:t>
            </w:r>
          </w:p>
        </w:tc>
        <w:tc>
          <w:tcPr>
            <w:tcW w:w="851" w:type="dxa"/>
          </w:tcPr>
          <w:p w14:paraId="4E054124" w14:textId="77777777" w:rsidR="00695AE2" w:rsidRPr="00503014" w:rsidRDefault="00695AE2" w:rsidP="00980493">
            <w:pPr>
              <w:jc w:val="center"/>
              <w:rPr>
                <w:rFonts w:eastAsia="Calibri" w:cs="Calibri"/>
                <w:sz w:val="16"/>
                <w:szCs w:val="16"/>
              </w:rPr>
            </w:pPr>
            <w:r w:rsidRPr="00503014">
              <w:rPr>
                <w:rFonts w:eastAsia="Calibri" w:cs="Calibri"/>
                <w:sz w:val="16"/>
                <w:szCs w:val="16"/>
              </w:rPr>
              <w:t>454</w:t>
            </w:r>
          </w:p>
        </w:tc>
        <w:tc>
          <w:tcPr>
            <w:tcW w:w="1276" w:type="dxa"/>
          </w:tcPr>
          <w:p w14:paraId="3AA0F146" w14:textId="77777777" w:rsidR="00695AE2" w:rsidRPr="00503014" w:rsidRDefault="00695AE2" w:rsidP="00980493">
            <w:pPr>
              <w:jc w:val="center"/>
              <w:rPr>
                <w:rFonts w:eastAsia="Calibri" w:cs="Calibri"/>
                <w:sz w:val="16"/>
                <w:szCs w:val="16"/>
              </w:rPr>
            </w:pPr>
            <w:r w:rsidRPr="00503014">
              <w:rPr>
                <w:rFonts w:eastAsia="Calibri" w:cs="Calibri"/>
                <w:sz w:val="16"/>
                <w:szCs w:val="16"/>
              </w:rPr>
              <w:t>599</w:t>
            </w:r>
          </w:p>
        </w:tc>
        <w:tc>
          <w:tcPr>
            <w:tcW w:w="1559" w:type="dxa"/>
          </w:tcPr>
          <w:p w14:paraId="4B54D32F"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E0FA5F9" w14:textId="77777777" w:rsidTr="00980493">
        <w:trPr>
          <w:trHeight w:val="192"/>
        </w:trPr>
        <w:tc>
          <w:tcPr>
            <w:tcW w:w="2972" w:type="dxa"/>
          </w:tcPr>
          <w:p w14:paraId="19C768FB"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12132AB8" w14:textId="77777777" w:rsidR="00695AE2" w:rsidRPr="00503014" w:rsidRDefault="00695AE2" w:rsidP="00980493">
            <w:pPr>
              <w:jc w:val="center"/>
              <w:rPr>
                <w:rFonts w:eastAsia="Calibri" w:cs="Calibri"/>
                <w:sz w:val="16"/>
                <w:szCs w:val="16"/>
              </w:rPr>
            </w:pPr>
            <w:r w:rsidRPr="00503014">
              <w:rPr>
                <w:rFonts w:eastAsia="Calibri" w:cs="Calibri"/>
                <w:sz w:val="16"/>
                <w:szCs w:val="16"/>
              </w:rPr>
              <w:t>1.167</w:t>
            </w:r>
          </w:p>
        </w:tc>
        <w:tc>
          <w:tcPr>
            <w:tcW w:w="850" w:type="dxa"/>
          </w:tcPr>
          <w:p w14:paraId="045A9DE7" w14:textId="77777777" w:rsidR="00695AE2" w:rsidRPr="00503014" w:rsidRDefault="00695AE2" w:rsidP="00980493">
            <w:pPr>
              <w:jc w:val="center"/>
              <w:rPr>
                <w:rFonts w:eastAsia="Calibri" w:cs="Calibri"/>
                <w:sz w:val="16"/>
                <w:szCs w:val="16"/>
              </w:rPr>
            </w:pPr>
            <w:r w:rsidRPr="00503014">
              <w:rPr>
                <w:rFonts w:eastAsia="Calibri" w:cs="Calibri"/>
                <w:sz w:val="16"/>
                <w:szCs w:val="16"/>
              </w:rPr>
              <w:t>481</w:t>
            </w:r>
          </w:p>
        </w:tc>
        <w:tc>
          <w:tcPr>
            <w:tcW w:w="992" w:type="dxa"/>
          </w:tcPr>
          <w:p w14:paraId="23685E38" w14:textId="77777777" w:rsidR="00695AE2" w:rsidRPr="00503014" w:rsidRDefault="00695AE2" w:rsidP="00980493">
            <w:pPr>
              <w:jc w:val="center"/>
              <w:rPr>
                <w:rFonts w:eastAsia="Calibri" w:cs="Calibri"/>
                <w:sz w:val="16"/>
                <w:szCs w:val="16"/>
              </w:rPr>
            </w:pPr>
            <w:r w:rsidRPr="00503014">
              <w:rPr>
                <w:rFonts w:eastAsia="Calibri" w:cs="Calibri"/>
                <w:sz w:val="16"/>
                <w:szCs w:val="16"/>
              </w:rPr>
              <w:t>1.648</w:t>
            </w:r>
          </w:p>
        </w:tc>
        <w:tc>
          <w:tcPr>
            <w:tcW w:w="851" w:type="dxa"/>
          </w:tcPr>
          <w:p w14:paraId="75F33FC4" w14:textId="77777777" w:rsidR="00695AE2" w:rsidRPr="00503014" w:rsidRDefault="00695AE2" w:rsidP="00980493">
            <w:pPr>
              <w:jc w:val="center"/>
              <w:rPr>
                <w:rFonts w:eastAsia="Calibri" w:cs="Calibri"/>
                <w:sz w:val="16"/>
                <w:szCs w:val="16"/>
              </w:rPr>
            </w:pPr>
            <w:r w:rsidRPr="00503014">
              <w:rPr>
                <w:rFonts w:eastAsia="Calibri" w:cs="Calibri"/>
                <w:sz w:val="16"/>
                <w:szCs w:val="16"/>
              </w:rPr>
              <w:t>556</w:t>
            </w:r>
          </w:p>
        </w:tc>
        <w:tc>
          <w:tcPr>
            <w:tcW w:w="1276" w:type="dxa"/>
          </w:tcPr>
          <w:p w14:paraId="0FE22F9A" w14:textId="77777777" w:rsidR="00695AE2" w:rsidRPr="00503014" w:rsidRDefault="00695AE2" w:rsidP="00980493">
            <w:pPr>
              <w:jc w:val="center"/>
              <w:rPr>
                <w:rFonts w:eastAsia="Calibri" w:cs="Calibri"/>
                <w:sz w:val="16"/>
                <w:szCs w:val="16"/>
              </w:rPr>
            </w:pPr>
            <w:r w:rsidRPr="00503014">
              <w:rPr>
                <w:rFonts w:eastAsia="Calibri" w:cs="Calibri"/>
                <w:sz w:val="16"/>
                <w:szCs w:val="16"/>
              </w:rPr>
              <w:t>1.092</w:t>
            </w:r>
          </w:p>
        </w:tc>
        <w:tc>
          <w:tcPr>
            <w:tcW w:w="1559" w:type="dxa"/>
          </w:tcPr>
          <w:p w14:paraId="7348E1E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20054CD" w14:textId="77777777" w:rsidTr="00980493">
        <w:trPr>
          <w:trHeight w:val="192"/>
        </w:trPr>
        <w:tc>
          <w:tcPr>
            <w:tcW w:w="2972" w:type="dxa"/>
          </w:tcPr>
          <w:p w14:paraId="495F24E3"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6216F3BA" w14:textId="77777777" w:rsidR="00695AE2" w:rsidRPr="00503014" w:rsidRDefault="00695AE2" w:rsidP="00980493">
            <w:pPr>
              <w:jc w:val="center"/>
              <w:rPr>
                <w:rFonts w:eastAsia="Calibri" w:cs="Calibri"/>
                <w:sz w:val="16"/>
                <w:szCs w:val="16"/>
              </w:rPr>
            </w:pPr>
            <w:r w:rsidRPr="00503014">
              <w:rPr>
                <w:rFonts w:eastAsia="Calibri" w:cs="Calibri"/>
                <w:sz w:val="16"/>
                <w:szCs w:val="16"/>
              </w:rPr>
              <w:t>749</w:t>
            </w:r>
          </w:p>
        </w:tc>
        <w:tc>
          <w:tcPr>
            <w:tcW w:w="850" w:type="dxa"/>
          </w:tcPr>
          <w:p w14:paraId="2591098D" w14:textId="77777777" w:rsidR="00695AE2" w:rsidRPr="00503014" w:rsidRDefault="00695AE2" w:rsidP="00980493">
            <w:pPr>
              <w:jc w:val="center"/>
              <w:rPr>
                <w:rFonts w:eastAsia="Calibri" w:cs="Calibri"/>
                <w:sz w:val="16"/>
                <w:szCs w:val="16"/>
              </w:rPr>
            </w:pPr>
            <w:r w:rsidRPr="00503014">
              <w:rPr>
                <w:rFonts w:eastAsia="Calibri" w:cs="Calibri"/>
                <w:sz w:val="16"/>
                <w:szCs w:val="16"/>
              </w:rPr>
              <w:t>2.282</w:t>
            </w:r>
          </w:p>
        </w:tc>
        <w:tc>
          <w:tcPr>
            <w:tcW w:w="992" w:type="dxa"/>
          </w:tcPr>
          <w:p w14:paraId="48283E0A" w14:textId="77777777" w:rsidR="00695AE2" w:rsidRPr="00503014" w:rsidRDefault="00695AE2" w:rsidP="00980493">
            <w:pPr>
              <w:tabs>
                <w:tab w:val="left" w:pos="200"/>
                <w:tab w:val="center" w:pos="388"/>
              </w:tabs>
              <w:rPr>
                <w:rFonts w:eastAsia="Calibri" w:cs="Calibri"/>
                <w:sz w:val="16"/>
                <w:szCs w:val="16"/>
              </w:rPr>
            </w:pPr>
            <w:r w:rsidRPr="00503014">
              <w:rPr>
                <w:rFonts w:eastAsia="Calibri" w:cs="Calibri"/>
                <w:sz w:val="16"/>
                <w:szCs w:val="16"/>
              </w:rPr>
              <w:tab/>
              <w:t>3.031</w:t>
            </w:r>
          </w:p>
        </w:tc>
        <w:tc>
          <w:tcPr>
            <w:tcW w:w="851" w:type="dxa"/>
          </w:tcPr>
          <w:p w14:paraId="4AE0DAFA" w14:textId="77777777" w:rsidR="00695AE2" w:rsidRPr="00503014" w:rsidRDefault="00695AE2" w:rsidP="00980493">
            <w:pPr>
              <w:jc w:val="center"/>
              <w:rPr>
                <w:rFonts w:eastAsia="Calibri" w:cs="Calibri"/>
                <w:sz w:val="16"/>
                <w:szCs w:val="16"/>
              </w:rPr>
            </w:pPr>
            <w:r w:rsidRPr="00503014">
              <w:rPr>
                <w:rFonts w:eastAsia="Calibri" w:cs="Calibri"/>
                <w:sz w:val="16"/>
                <w:szCs w:val="16"/>
              </w:rPr>
              <w:t>2.434</w:t>
            </w:r>
          </w:p>
        </w:tc>
        <w:tc>
          <w:tcPr>
            <w:tcW w:w="1276" w:type="dxa"/>
          </w:tcPr>
          <w:p w14:paraId="2F3D7E64" w14:textId="77777777" w:rsidR="00695AE2" w:rsidRPr="00503014" w:rsidRDefault="00695AE2" w:rsidP="00980493">
            <w:pPr>
              <w:jc w:val="center"/>
              <w:rPr>
                <w:rFonts w:eastAsia="Calibri" w:cs="Calibri"/>
                <w:sz w:val="16"/>
                <w:szCs w:val="16"/>
              </w:rPr>
            </w:pPr>
            <w:r w:rsidRPr="00503014">
              <w:rPr>
                <w:rFonts w:eastAsia="Calibri" w:cs="Calibri"/>
                <w:sz w:val="16"/>
                <w:szCs w:val="16"/>
              </w:rPr>
              <w:t>597</w:t>
            </w:r>
          </w:p>
        </w:tc>
        <w:tc>
          <w:tcPr>
            <w:tcW w:w="1559" w:type="dxa"/>
          </w:tcPr>
          <w:p w14:paraId="6526867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F6E5352" w14:textId="77777777" w:rsidTr="00980493">
        <w:trPr>
          <w:trHeight w:val="192"/>
        </w:trPr>
        <w:tc>
          <w:tcPr>
            <w:tcW w:w="2972" w:type="dxa"/>
          </w:tcPr>
          <w:p w14:paraId="31C1F558"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78EE05A2" w14:textId="77777777" w:rsidR="00695AE2" w:rsidRPr="00503014" w:rsidRDefault="00695AE2" w:rsidP="00980493">
            <w:pPr>
              <w:jc w:val="center"/>
              <w:rPr>
                <w:rFonts w:eastAsia="Calibri" w:cs="Calibri"/>
                <w:sz w:val="16"/>
                <w:szCs w:val="16"/>
              </w:rPr>
            </w:pPr>
            <w:r w:rsidRPr="00503014">
              <w:rPr>
                <w:rFonts w:eastAsia="Calibri" w:cs="Calibri"/>
                <w:sz w:val="16"/>
                <w:szCs w:val="16"/>
              </w:rPr>
              <w:t>90</w:t>
            </w:r>
          </w:p>
        </w:tc>
        <w:tc>
          <w:tcPr>
            <w:tcW w:w="850" w:type="dxa"/>
          </w:tcPr>
          <w:p w14:paraId="5E5B21CB" w14:textId="77777777" w:rsidR="00695AE2" w:rsidRPr="00503014" w:rsidRDefault="00695AE2" w:rsidP="00980493">
            <w:pPr>
              <w:jc w:val="center"/>
              <w:rPr>
                <w:rFonts w:eastAsia="Calibri" w:cs="Calibri"/>
                <w:sz w:val="16"/>
                <w:szCs w:val="16"/>
              </w:rPr>
            </w:pPr>
            <w:r w:rsidRPr="00503014">
              <w:rPr>
                <w:rFonts w:eastAsia="Calibri" w:cs="Calibri"/>
                <w:sz w:val="16"/>
                <w:szCs w:val="16"/>
              </w:rPr>
              <w:t>55</w:t>
            </w:r>
          </w:p>
        </w:tc>
        <w:tc>
          <w:tcPr>
            <w:tcW w:w="992" w:type="dxa"/>
          </w:tcPr>
          <w:p w14:paraId="692C5205" w14:textId="77777777" w:rsidR="00695AE2" w:rsidRPr="00503014" w:rsidRDefault="00695AE2" w:rsidP="00980493">
            <w:pPr>
              <w:jc w:val="center"/>
              <w:rPr>
                <w:rFonts w:eastAsia="Calibri" w:cs="Calibri"/>
                <w:sz w:val="16"/>
                <w:szCs w:val="16"/>
              </w:rPr>
            </w:pPr>
            <w:r w:rsidRPr="00503014">
              <w:rPr>
                <w:rFonts w:eastAsia="Calibri" w:cs="Calibri"/>
                <w:sz w:val="16"/>
                <w:szCs w:val="16"/>
              </w:rPr>
              <w:t>145</w:t>
            </w:r>
          </w:p>
        </w:tc>
        <w:tc>
          <w:tcPr>
            <w:tcW w:w="851" w:type="dxa"/>
          </w:tcPr>
          <w:p w14:paraId="64536B85" w14:textId="77777777" w:rsidR="00695AE2" w:rsidRPr="00503014" w:rsidRDefault="00695AE2" w:rsidP="00980493">
            <w:pPr>
              <w:jc w:val="center"/>
              <w:rPr>
                <w:rFonts w:eastAsia="Calibri" w:cs="Calibri"/>
                <w:sz w:val="16"/>
                <w:szCs w:val="16"/>
              </w:rPr>
            </w:pPr>
            <w:r w:rsidRPr="00503014">
              <w:rPr>
                <w:rFonts w:eastAsia="Calibri" w:cs="Calibri"/>
                <w:sz w:val="16"/>
                <w:szCs w:val="16"/>
              </w:rPr>
              <w:t>60</w:t>
            </w:r>
          </w:p>
        </w:tc>
        <w:tc>
          <w:tcPr>
            <w:tcW w:w="1276" w:type="dxa"/>
          </w:tcPr>
          <w:p w14:paraId="6F50C81F" w14:textId="77777777" w:rsidR="00695AE2" w:rsidRPr="00503014" w:rsidRDefault="00695AE2" w:rsidP="00980493">
            <w:pPr>
              <w:jc w:val="center"/>
              <w:rPr>
                <w:rFonts w:eastAsia="Calibri" w:cs="Calibri"/>
                <w:sz w:val="16"/>
                <w:szCs w:val="16"/>
              </w:rPr>
            </w:pPr>
            <w:r w:rsidRPr="00503014">
              <w:rPr>
                <w:rFonts w:eastAsia="Calibri" w:cs="Calibri"/>
                <w:sz w:val="16"/>
                <w:szCs w:val="16"/>
              </w:rPr>
              <w:t>85</w:t>
            </w:r>
          </w:p>
        </w:tc>
        <w:tc>
          <w:tcPr>
            <w:tcW w:w="1559" w:type="dxa"/>
          </w:tcPr>
          <w:p w14:paraId="091A424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C207868" w14:textId="77777777" w:rsidTr="00980493">
        <w:trPr>
          <w:trHeight w:val="192"/>
        </w:trPr>
        <w:tc>
          <w:tcPr>
            <w:tcW w:w="2972" w:type="dxa"/>
          </w:tcPr>
          <w:p w14:paraId="567F5857"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6E6CDC7E" w14:textId="77777777" w:rsidR="00695AE2" w:rsidRPr="00503014" w:rsidRDefault="00695AE2" w:rsidP="00980493">
            <w:pPr>
              <w:jc w:val="center"/>
              <w:rPr>
                <w:rFonts w:eastAsia="Calibri" w:cs="Calibri"/>
                <w:sz w:val="16"/>
                <w:szCs w:val="16"/>
              </w:rPr>
            </w:pPr>
            <w:r w:rsidRPr="00503014">
              <w:rPr>
                <w:rFonts w:eastAsia="Calibri" w:cs="Calibri"/>
                <w:sz w:val="16"/>
                <w:szCs w:val="16"/>
              </w:rPr>
              <w:t>105</w:t>
            </w:r>
          </w:p>
        </w:tc>
        <w:tc>
          <w:tcPr>
            <w:tcW w:w="850" w:type="dxa"/>
          </w:tcPr>
          <w:p w14:paraId="6153B446" w14:textId="77777777" w:rsidR="00695AE2" w:rsidRPr="00503014" w:rsidRDefault="00695AE2" w:rsidP="00980493">
            <w:pPr>
              <w:jc w:val="center"/>
              <w:rPr>
                <w:rFonts w:eastAsia="Calibri" w:cs="Calibri"/>
                <w:sz w:val="16"/>
                <w:szCs w:val="16"/>
              </w:rPr>
            </w:pPr>
            <w:r w:rsidRPr="00503014">
              <w:rPr>
                <w:rFonts w:eastAsia="Calibri" w:cs="Calibri"/>
                <w:sz w:val="16"/>
                <w:szCs w:val="16"/>
              </w:rPr>
              <w:t>2.501</w:t>
            </w:r>
          </w:p>
        </w:tc>
        <w:tc>
          <w:tcPr>
            <w:tcW w:w="992" w:type="dxa"/>
          </w:tcPr>
          <w:p w14:paraId="6337CDD9" w14:textId="77777777" w:rsidR="00695AE2" w:rsidRPr="00503014" w:rsidRDefault="00695AE2" w:rsidP="00980493">
            <w:pPr>
              <w:jc w:val="center"/>
              <w:rPr>
                <w:rFonts w:eastAsia="Calibri" w:cs="Calibri"/>
                <w:sz w:val="16"/>
                <w:szCs w:val="16"/>
              </w:rPr>
            </w:pPr>
            <w:r w:rsidRPr="00503014">
              <w:rPr>
                <w:rFonts w:eastAsia="Calibri" w:cs="Calibri"/>
                <w:sz w:val="16"/>
                <w:szCs w:val="16"/>
              </w:rPr>
              <w:t>2.606</w:t>
            </w:r>
          </w:p>
        </w:tc>
        <w:tc>
          <w:tcPr>
            <w:tcW w:w="851" w:type="dxa"/>
          </w:tcPr>
          <w:p w14:paraId="6EE0F7AA" w14:textId="77777777" w:rsidR="00695AE2" w:rsidRPr="00503014" w:rsidRDefault="00695AE2" w:rsidP="00980493">
            <w:pPr>
              <w:jc w:val="center"/>
              <w:rPr>
                <w:rFonts w:eastAsia="Calibri" w:cs="Calibri"/>
                <w:sz w:val="16"/>
                <w:szCs w:val="16"/>
              </w:rPr>
            </w:pPr>
            <w:r w:rsidRPr="00503014">
              <w:rPr>
                <w:rFonts w:eastAsia="Calibri" w:cs="Calibri"/>
                <w:sz w:val="16"/>
                <w:szCs w:val="16"/>
              </w:rPr>
              <w:t>2.460</w:t>
            </w:r>
          </w:p>
        </w:tc>
        <w:tc>
          <w:tcPr>
            <w:tcW w:w="1276" w:type="dxa"/>
          </w:tcPr>
          <w:p w14:paraId="478A1BEF" w14:textId="77777777" w:rsidR="00695AE2" w:rsidRPr="00503014" w:rsidRDefault="00695AE2" w:rsidP="00980493">
            <w:pPr>
              <w:jc w:val="center"/>
              <w:rPr>
                <w:rFonts w:eastAsia="Calibri" w:cs="Calibri"/>
                <w:sz w:val="16"/>
                <w:szCs w:val="16"/>
              </w:rPr>
            </w:pPr>
            <w:r w:rsidRPr="00503014">
              <w:rPr>
                <w:rFonts w:eastAsia="Calibri" w:cs="Calibri"/>
                <w:sz w:val="16"/>
                <w:szCs w:val="16"/>
              </w:rPr>
              <w:t>146</w:t>
            </w:r>
          </w:p>
        </w:tc>
        <w:tc>
          <w:tcPr>
            <w:tcW w:w="1559" w:type="dxa"/>
          </w:tcPr>
          <w:p w14:paraId="185E7E5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A9AF251" w14:textId="77777777" w:rsidTr="00980493">
        <w:trPr>
          <w:trHeight w:val="192"/>
        </w:trPr>
        <w:tc>
          <w:tcPr>
            <w:tcW w:w="2972" w:type="dxa"/>
          </w:tcPr>
          <w:p w14:paraId="04B83A93"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2AABD892"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850" w:type="dxa"/>
          </w:tcPr>
          <w:p w14:paraId="1DA0113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92" w:type="dxa"/>
          </w:tcPr>
          <w:p w14:paraId="20C20D7B"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851" w:type="dxa"/>
          </w:tcPr>
          <w:p w14:paraId="4F8BE3A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44A856F4"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1559" w:type="dxa"/>
          </w:tcPr>
          <w:p w14:paraId="091CA2B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BDE7054" w14:textId="77777777" w:rsidTr="00980493">
        <w:trPr>
          <w:trHeight w:val="192"/>
        </w:trPr>
        <w:tc>
          <w:tcPr>
            <w:tcW w:w="2972" w:type="dxa"/>
          </w:tcPr>
          <w:p w14:paraId="154ECADF" w14:textId="77777777" w:rsidR="00695AE2" w:rsidRPr="00503014" w:rsidRDefault="00695AE2" w:rsidP="00980493">
            <w:pPr>
              <w:rPr>
                <w:rFonts w:eastAsia="Calibri" w:cs="Calibri"/>
                <w:sz w:val="16"/>
                <w:szCs w:val="16"/>
              </w:rPr>
            </w:pPr>
            <w:r w:rsidRPr="00503014">
              <w:rPr>
                <w:rFonts w:eastAsia="Calibri" w:cs="Calibri"/>
                <w:sz w:val="16"/>
                <w:szCs w:val="16"/>
              </w:rPr>
              <w:lastRenderedPageBreak/>
              <w:t>postopki po ZIKS</w:t>
            </w:r>
          </w:p>
        </w:tc>
        <w:tc>
          <w:tcPr>
            <w:tcW w:w="1418" w:type="dxa"/>
          </w:tcPr>
          <w:p w14:paraId="0AC97E6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0" w:type="dxa"/>
          </w:tcPr>
          <w:p w14:paraId="6F0290B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92" w:type="dxa"/>
          </w:tcPr>
          <w:p w14:paraId="5076231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F2CA07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4E13D14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950CD3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00FC5E1" w14:textId="77777777" w:rsidTr="00980493">
        <w:trPr>
          <w:trHeight w:val="192"/>
        </w:trPr>
        <w:tc>
          <w:tcPr>
            <w:tcW w:w="2972" w:type="dxa"/>
          </w:tcPr>
          <w:p w14:paraId="7F88382E"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27E02B9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0" w:type="dxa"/>
          </w:tcPr>
          <w:p w14:paraId="5DF5AC8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92" w:type="dxa"/>
          </w:tcPr>
          <w:p w14:paraId="34E995D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0026DD5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6E05D97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175D24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0827207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6015DD0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Kopru</w:t>
      </w:r>
    </w:p>
    <w:p w14:paraId="41CE6223" w14:textId="77777777" w:rsidR="00695AE2" w:rsidRPr="00503014" w:rsidRDefault="00695AE2" w:rsidP="00695AE2">
      <w:pPr>
        <w:spacing w:line="240" w:lineRule="auto"/>
        <w:rPr>
          <w:rFonts w:eastAsia="Calibri"/>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7D36A9DB" w14:textId="77777777" w:rsidTr="00980493">
        <w:trPr>
          <w:trHeight w:val="801"/>
        </w:trPr>
        <w:tc>
          <w:tcPr>
            <w:tcW w:w="2972" w:type="dxa"/>
          </w:tcPr>
          <w:p w14:paraId="2597C2D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4A19873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506456A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345CA46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611AC5B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5B1F412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5913B9A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64C5395E" w14:textId="77777777" w:rsidR="00695AE2" w:rsidRPr="00503014" w:rsidRDefault="00695AE2" w:rsidP="00980493">
            <w:pPr>
              <w:jc w:val="center"/>
              <w:rPr>
                <w:rFonts w:eastAsia="Times New Roman" w:cs="Calibri"/>
                <w:sz w:val="16"/>
                <w:szCs w:val="16"/>
              </w:rPr>
            </w:pPr>
          </w:p>
        </w:tc>
      </w:tr>
      <w:tr w:rsidR="00695AE2" w:rsidRPr="00503014" w14:paraId="723E188C" w14:textId="77777777" w:rsidTr="00980493">
        <w:trPr>
          <w:trHeight w:val="192"/>
        </w:trPr>
        <w:tc>
          <w:tcPr>
            <w:tcW w:w="2972" w:type="dxa"/>
          </w:tcPr>
          <w:p w14:paraId="351F272D"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072EC37D" w14:textId="77777777" w:rsidR="00695AE2" w:rsidRPr="00503014" w:rsidRDefault="00695AE2" w:rsidP="00980493">
            <w:pPr>
              <w:jc w:val="center"/>
              <w:rPr>
                <w:rFonts w:eastAsia="Calibri" w:cs="Calibri"/>
                <w:sz w:val="16"/>
                <w:szCs w:val="16"/>
              </w:rPr>
            </w:pPr>
            <w:r w:rsidRPr="00503014">
              <w:rPr>
                <w:rFonts w:eastAsia="Calibri" w:cs="Calibri"/>
                <w:sz w:val="16"/>
                <w:szCs w:val="16"/>
              </w:rPr>
              <w:t>78</w:t>
            </w:r>
          </w:p>
        </w:tc>
        <w:tc>
          <w:tcPr>
            <w:tcW w:w="897" w:type="dxa"/>
          </w:tcPr>
          <w:p w14:paraId="280E5998" w14:textId="77777777" w:rsidR="00695AE2" w:rsidRPr="00503014" w:rsidRDefault="00695AE2" w:rsidP="00980493">
            <w:pPr>
              <w:jc w:val="center"/>
              <w:rPr>
                <w:rFonts w:eastAsia="Calibri" w:cs="Calibri"/>
                <w:sz w:val="16"/>
                <w:szCs w:val="16"/>
              </w:rPr>
            </w:pPr>
            <w:r w:rsidRPr="00503014">
              <w:rPr>
                <w:rFonts w:eastAsia="Calibri" w:cs="Calibri"/>
                <w:sz w:val="16"/>
                <w:szCs w:val="16"/>
              </w:rPr>
              <w:t>51</w:t>
            </w:r>
          </w:p>
        </w:tc>
        <w:tc>
          <w:tcPr>
            <w:tcW w:w="945" w:type="dxa"/>
          </w:tcPr>
          <w:p w14:paraId="498FE520" w14:textId="77777777" w:rsidR="00695AE2" w:rsidRPr="00503014" w:rsidRDefault="00695AE2" w:rsidP="00980493">
            <w:pPr>
              <w:jc w:val="center"/>
              <w:rPr>
                <w:rFonts w:eastAsia="Calibri" w:cs="Calibri"/>
                <w:sz w:val="16"/>
                <w:szCs w:val="16"/>
              </w:rPr>
            </w:pPr>
            <w:r w:rsidRPr="00503014">
              <w:rPr>
                <w:rFonts w:eastAsia="Calibri" w:cs="Calibri"/>
                <w:sz w:val="16"/>
                <w:szCs w:val="16"/>
              </w:rPr>
              <w:t>129</w:t>
            </w:r>
          </w:p>
        </w:tc>
        <w:tc>
          <w:tcPr>
            <w:tcW w:w="851" w:type="dxa"/>
          </w:tcPr>
          <w:p w14:paraId="3055CC5A" w14:textId="77777777" w:rsidR="00695AE2" w:rsidRPr="00503014" w:rsidRDefault="00695AE2" w:rsidP="00980493">
            <w:pPr>
              <w:jc w:val="center"/>
              <w:rPr>
                <w:rFonts w:eastAsia="Calibri" w:cs="Calibri"/>
                <w:sz w:val="16"/>
                <w:szCs w:val="16"/>
              </w:rPr>
            </w:pPr>
            <w:r w:rsidRPr="00503014">
              <w:rPr>
                <w:rFonts w:eastAsia="Calibri" w:cs="Calibri"/>
                <w:sz w:val="16"/>
                <w:szCs w:val="16"/>
              </w:rPr>
              <w:t>50</w:t>
            </w:r>
          </w:p>
        </w:tc>
        <w:tc>
          <w:tcPr>
            <w:tcW w:w="1276" w:type="dxa"/>
          </w:tcPr>
          <w:p w14:paraId="668D565C" w14:textId="77777777" w:rsidR="00695AE2" w:rsidRPr="00503014" w:rsidRDefault="00695AE2" w:rsidP="00980493">
            <w:pPr>
              <w:jc w:val="center"/>
              <w:rPr>
                <w:rFonts w:eastAsia="Calibri" w:cs="Calibri"/>
                <w:sz w:val="16"/>
                <w:szCs w:val="16"/>
              </w:rPr>
            </w:pPr>
            <w:r w:rsidRPr="00503014">
              <w:rPr>
                <w:rFonts w:eastAsia="Calibri" w:cs="Calibri"/>
                <w:sz w:val="16"/>
                <w:szCs w:val="16"/>
              </w:rPr>
              <w:t>79</w:t>
            </w:r>
          </w:p>
        </w:tc>
        <w:tc>
          <w:tcPr>
            <w:tcW w:w="1559" w:type="dxa"/>
          </w:tcPr>
          <w:p w14:paraId="5736F411"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DDA94A9" w14:textId="77777777" w:rsidTr="00980493">
        <w:trPr>
          <w:trHeight w:val="179"/>
        </w:trPr>
        <w:tc>
          <w:tcPr>
            <w:tcW w:w="2972" w:type="dxa"/>
          </w:tcPr>
          <w:p w14:paraId="5340B409"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74479CCD" w14:textId="77777777" w:rsidR="00695AE2" w:rsidRPr="00503014" w:rsidRDefault="00695AE2" w:rsidP="00980493">
            <w:pPr>
              <w:jc w:val="center"/>
              <w:rPr>
                <w:rFonts w:eastAsia="Calibri" w:cs="Calibri"/>
                <w:sz w:val="16"/>
                <w:szCs w:val="16"/>
              </w:rPr>
            </w:pPr>
            <w:r w:rsidRPr="00503014">
              <w:rPr>
                <w:rFonts w:eastAsia="Calibri" w:cs="Calibri"/>
                <w:sz w:val="16"/>
                <w:szCs w:val="16"/>
              </w:rPr>
              <w:t>20</w:t>
            </w:r>
          </w:p>
        </w:tc>
        <w:tc>
          <w:tcPr>
            <w:tcW w:w="897" w:type="dxa"/>
          </w:tcPr>
          <w:p w14:paraId="7A575503"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945" w:type="dxa"/>
          </w:tcPr>
          <w:p w14:paraId="03654DB4" w14:textId="77777777" w:rsidR="00695AE2" w:rsidRPr="00503014" w:rsidRDefault="00695AE2" w:rsidP="00980493">
            <w:pPr>
              <w:jc w:val="center"/>
              <w:rPr>
                <w:rFonts w:eastAsia="Calibri" w:cs="Calibri"/>
                <w:sz w:val="16"/>
                <w:szCs w:val="16"/>
              </w:rPr>
            </w:pPr>
            <w:r w:rsidRPr="00503014">
              <w:rPr>
                <w:rFonts w:eastAsia="Calibri" w:cs="Calibri"/>
                <w:sz w:val="16"/>
                <w:szCs w:val="16"/>
              </w:rPr>
              <w:t>28</w:t>
            </w:r>
          </w:p>
        </w:tc>
        <w:tc>
          <w:tcPr>
            <w:tcW w:w="851" w:type="dxa"/>
          </w:tcPr>
          <w:p w14:paraId="60629E5F"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1276" w:type="dxa"/>
          </w:tcPr>
          <w:p w14:paraId="42629441" w14:textId="77777777" w:rsidR="00695AE2" w:rsidRPr="00503014" w:rsidRDefault="00695AE2" w:rsidP="00980493">
            <w:pPr>
              <w:jc w:val="center"/>
              <w:rPr>
                <w:rFonts w:eastAsia="Calibri" w:cs="Calibri"/>
                <w:sz w:val="16"/>
                <w:szCs w:val="16"/>
              </w:rPr>
            </w:pPr>
            <w:r w:rsidRPr="00503014">
              <w:rPr>
                <w:rFonts w:eastAsia="Calibri" w:cs="Calibri"/>
                <w:sz w:val="16"/>
                <w:szCs w:val="16"/>
              </w:rPr>
              <w:t>20</w:t>
            </w:r>
          </w:p>
        </w:tc>
        <w:tc>
          <w:tcPr>
            <w:tcW w:w="1559" w:type="dxa"/>
          </w:tcPr>
          <w:p w14:paraId="5ADE511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77DA2B6" w14:textId="77777777" w:rsidTr="00980493">
        <w:trPr>
          <w:trHeight w:val="192"/>
        </w:trPr>
        <w:tc>
          <w:tcPr>
            <w:tcW w:w="2972" w:type="dxa"/>
          </w:tcPr>
          <w:p w14:paraId="6585EA0A"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5D7068E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3C748B7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5E17BE4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4FECA14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43F3428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64C484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B9C7490" w14:textId="77777777" w:rsidTr="00980493">
        <w:trPr>
          <w:trHeight w:val="179"/>
        </w:trPr>
        <w:tc>
          <w:tcPr>
            <w:tcW w:w="2972" w:type="dxa"/>
          </w:tcPr>
          <w:p w14:paraId="49D7EE91"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7BE8115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10EDCFD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E4BE6A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10DBF28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60F2F8E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444B9E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9A6F857" w14:textId="77777777" w:rsidTr="00980493">
        <w:trPr>
          <w:trHeight w:val="192"/>
        </w:trPr>
        <w:tc>
          <w:tcPr>
            <w:tcW w:w="2972" w:type="dxa"/>
          </w:tcPr>
          <w:p w14:paraId="7C308124"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6BD73132"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97" w:type="dxa"/>
          </w:tcPr>
          <w:p w14:paraId="39873364"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945" w:type="dxa"/>
          </w:tcPr>
          <w:p w14:paraId="12CB5048"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851" w:type="dxa"/>
          </w:tcPr>
          <w:p w14:paraId="1CD3A28A"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1276" w:type="dxa"/>
          </w:tcPr>
          <w:p w14:paraId="7E0F4D70"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1559" w:type="dxa"/>
          </w:tcPr>
          <w:p w14:paraId="2C1AC291"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0D77127" w14:textId="77777777" w:rsidTr="00980493">
        <w:trPr>
          <w:trHeight w:val="179"/>
        </w:trPr>
        <w:tc>
          <w:tcPr>
            <w:tcW w:w="2972" w:type="dxa"/>
          </w:tcPr>
          <w:p w14:paraId="3591D5E8"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36C7F6E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3056E82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1153F3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727F8E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384856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1DFF2913"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EB7BEF5" w14:textId="77777777" w:rsidTr="00980493">
        <w:trPr>
          <w:trHeight w:val="192"/>
        </w:trPr>
        <w:tc>
          <w:tcPr>
            <w:tcW w:w="2972" w:type="dxa"/>
          </w:tcPr>
          <w:p w14:paraId="441CC84C"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1F3CF15D" w14:textId="77777777" w:rsidR="00695AE2" w:rsidRPr="00503014" w:rsidRDefault="00695AE2" w:rsidP="00980493">
            <w:pPr>
              <w:jc w:val="center"/>
              <w:rPr>
                <w:rFonts w:eastAsia="Calibri" w:cs="Calibri"/>
                <w:sz w:val="16"/>
                <w:szCs w:val="16"/>
              </w:rPr>
            </w:pPr>
            <w:r w:rsidRPr="00503014">
              <w:rPr>
                <w:rFonts w:eastAsia="Calibri" w:cs="Calibri"/>
                <w:sz w:val="16"/>
                <w:szCs w:val="16"/>
              </w:rPr>
              <w:t>572</w:t>
            </w:r>
          </w:p>
        </w:tc>
        <w:tc>
          <w:tcPr>
            <w:tcW w:w="897" w:type="dxa"/>
          </w:tcPr>
          <w:p w14:paraId="000449E4" w14:textId="77777777" w:rsidR="00695AE2" w:rsidRPr="00503014" w:rsidRDefault="00695AE2" w:rsidP="00980493">
            <w:pPr>
              <w:jc w:val="center"/>
              <w:rPr>
                <w:rFonts w:eastAsia="Calibri" w:cs="Calibri"/>
                <w:sz w:val="16"/>
                <w:szCs w:val="16"/>
              </w:rPr>
            </w:pPr>
            <w:r w:rsidRPr="00503014">
              <w:rPr>
                <w:rFonts w:eastAsia="Calibri" w:cs="Calibri"/>
                <w:sz w:val="16"/>
                <w:szCs w:val="16"/>
              </w:rPr>
              <w:t>282</w:t>
            </w:r>
          </w:p>
        </w:tc>
        <w:tc>
          <w:tcPr>
            <w:tcW w:w="945" w:type="dxa"/>
          </w:tcPr>
          <w:p w14:paraId="3F935FC8" w14:textId="77777777" w:rsidR="00695AE2" w:rsidRPr="00503014" w:rsidRDefault="00695AE2" w:rsidP="00980493">
            <w:pPr>
              <w:jc w:val="center"/>
              <w:rPr>
                <w:rFonts w:eastAsia="Calibri" w:cs="Calibri"/>
                <w:sz w:val="16"/>
                <w:szCs w:val="16"/>
              </w:rPr>
            </w:pPr>
            <w:r w:rsidRPr="00503014">
              <w:rPr>
                <w:rFonts w:eastAsia="Calibri" w:cs="Calibri"/>
                <w:sz w:val="16"/>
                <w:szCs w:val="16"/>
              </w:rPr>
              <w:t>854</w:t>
            </w:r>
          </w:p>
        </w:tc>
        <w:tc>
          <w:tcPr>
            <w:tcW w:w="851" w:type="dxa"/>
          </w:tcPr>
          <w:p w14:paraId="13CE5F17" w14:textId="77777777" w:rsidR="00695AE2" w:rsidRPr="00503014" w:rsidRDefault="00695AE2" w:rsidP="00980493">
            <w:pPr>
              <w:jc w:val="center"/>
              <w:rPr>
                <w:rFonts w:eastAsia="Calibri" w:cs="Calibri"/>
                <w:sz w:val="16"/>
                <w:szCs w:val="16"/>
              </w:rPr>
            </w:pPr>
            <w:r w:rsidRPr="00503014">
              <w:rPr>
                <w:rFonts w:eastAsia="Calibri" w:cs="Calibri"/>
                <w:sz w:val="16"/>
                <w:szCs w:val="16"/>
              </w:rPr>
              <w:t>300</w:t>
            </w:r>
          </w:p>
        </w:tc>
        <w:tc>
          <w:tcPr>
            <w:tcW w:w="1276" w:type="dxa"/>
          </w:tcPr>
          <w:p w14:paraId="6F22B81D" w14:textId="77777777" w:rsidR="00695AE2" w:rsidRPr="00503014" w:rsidRDefault="00695AE2" w:rsidP="00980493">
            <w:pPr>
              <w:jc w:val="center"/>
              <w:rPr>
                <w:rFonts w:eastAsia="Calibri" w:cs="Calibri"/>
                <w:sz w:val="16"/>
                <w:szCs w:val="16"/>
              </w:rPr>
            </w:pPr>
            <w:r w:rsidRPr="00503014">
              <w:rPr>
                <w:rFonts w:eastAsia="Calibri" w:cs="Calibri"/>
                <w:sz w:val="16"/>
                <w:szCs w:val="16"/>
              </w:rPr>
              <w:t>554</w:t>
            </w:r>
          </w:p>
        </w:tc>
        <w:tc>
          <w:tcPr>
            <w:tcW w:w="1559" w:type="dxa"/>
          </w:tcPr>
          <w:p w14:paraId="21FE2AA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739720C" w14:textId="77777777" w:rsidTr="00980493">
        <w:trPr>
          <w:trHeight w:val="192"/>
        </w:trPr>
        <w:tc>
          <w:tcPr>
            <w:tcW w:w="2972" w:type="dxa"/>
          </w:tcPr>
          <w:p w14:paraId="5A2598DD"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6F664AA5" w14:textId="77777777" w:rsidR="00695AE2" w:rsidRPr="00503014" w:rsidRDefault="00695AE2" w:rsidP="00980493">
            <w:pPr>
              <w:jc w:val="center"/>
              <w:rPr>
                <w:rFonts w:eastAsia="Calibri" w:cs="Calibri"/>
                <w:sz w:val="16"/>
                <w:szCs w:val="16"/>
              </w:rPr>
            </w:pPr>
            <w:r w:rsidRPr="00503014">
              <w:rPr>
                <w:rFonts w:eastAsia="Calibri" w:cs="Calibri"/>
                <w:sz w:val="16"/>
                <w:szCs w:val="16"/>
              </w:rPr>
              <w:t>650</w:t>
            </w:r>
          </w:p>
        </w:tc>
        <w:tc>
          <w:tcPr>
            <w:tcW w:w="897" w:type="dxa"/>
          </w:tcPr>
          <w:p w14:paraId="424A9F84" w14:textId="77777777" w:rsidR="00695AE2" w:rsidRPr="00503014" w:rsidRDefault="00695AE2" w:rsidP="00980493">
            <w:pPr>
              <w:jc w:val="center"/>
              <w:rPr>
                <w:rFonts w:eastAsia="Calibri" w:cs="Calibri"/>
                <w:sz w:val="16"/>
                <w:szCs w:val="16"/>
              </w:rPr>
            </w:pPr>
            <w:r w:rsidRPr="00503014">
              <w:rPr>
                <w:rFonts w:eastAsia="Calibri" w:cs="Calibri"/>
                <w:sz w:val="16"/>
                <w:szCs w:val="16"/>
              </w:rPr>
              <w:t>274</w:t>
            </w:r>
          </w:p>
        </w:tc>
        <w:tc>
          <w:tcPr>
            <w:tcW w:w="945" w:type="dxa"/>
          </w:tcPr>
          <w:p w14:paraId="43D6634B" w14:textId="77777777" w:rsidR="00695AE2" w:rsidRPr="00503014" w:rsidRDefault="00695AE2" w:rsidP="00980493">
            <w:pPr>
              <w:jc w:val="center"/>
              <w:rPr>
                <w:rFonts w:eastAsia="Calibri" w:cs="Calibri"/>
                <w:sz w:val="16"/>
                <w:szCs w:val="16"/>
              </w:rPr>
            </w:pPr>
            <w:r w:rsidRPr="00503014">
              <w:rPr>
                <w:rFonts w:eastAsia="Calibri" w:cs="Calibri"/>
                <w:sz w:val="16"/>
                <w:szCs w:val="16"/>
              </w:rPr>
              <w:t>924</w:t>
            </w:r>
          </w:p>
        </w:tc>
        <w:tc>
          <w:tcPr>
            <w:tcW w:w="851" w:type="dxa"/>
          </w:tcPr>
          <w:p w14:paraId="12AC1402" w14:textId="77777777" w:rsidR="00695AE2" w:rsidRPr="00503014" w:rsidRDefault="00695AE2" w:rsidP="00980493">
            <w:pPr>
              <w:jc w:val="center"/>
              <w:rPr>
                <w:rFonts w:eastAsia="Calibri" w:cs="Calibri"/>
                <w:sz w:val="16"/>
                <w:szCs w:val="16"/>
              </w:rPr>
            </w:pPr>
            <w:r w:rsidRPr="00503014">
              <w:rPr>
                <w:rFonts w:eastAsia="Calibri" w:cs="Calibri"/>
                <w:sz w:val="16"/>
                <w:szCs w:val="16"/>
              </w:rPr>
              <w:t>340</w:t>
            </w:r>
          </w:p>
        </w:tc>
        <w:tc>
          <w:tcPr>
            <w:tcW w:w="1276" w:type="dxa"/>
          </w:tcPr>
          <w:p w14:paraId="6E884972" w14:textId="77777777" w:rsidR="00695AE2" w:rsidRPr="00503014" w:rsidRDefault="00695AE2" w:rsidP="00980493">
            <w:pPr>
              <w:jc w:val="center"/>
              <w:rPr>
                <w:rFonts w:eastAsia="Calibri" w:cs="Calibri"/>
                <w:sz w:val="16"/>
                <w:szCs w:val="16"/>
              </w:rPr>
            </w:pPr>
            <w:r w:rsidRPr="00503014">
              <w:rPr>
                <w:rFonts w:eastAsia="Calibri" w:cs="Calibri"/>
                <w:sz w:val="16"/>
                <w:szCs w:val="16"/>
              </w:rPr>
              <w:t>584</w:t>
            </w:r>
          </w:p>
        </w:tc>
        <w:tc>
          <w:tcPr>
            <w:tcW w:w="1559" w:type="dxa"/>
          </w:tcPr>
          <w:p w14:paraId="7D76878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53E0492" w14:textId="77777777" w:rsidTr="00980493">
        <w:trPr>
          <w:trHeight w:val="192"/>
        </w:trPr>
        <w:tc>
          <w:tcPr>
            <w:tcW w:w="2972" w:type="dxa"/>
          </w:tcPr>
          <w:p w14:paraId="01D91EE3"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0182ACDB" w14:textId="77777777" w:rsidR="00695AE2" w:rsidRPr="00503014" w:rsidRDefault="00695AE2" w:rsidP="00980493">
            <w:pPr>
              <w:jc w:val="center"/>
              <w:rPr>
                <w:rFonts w:eastAsia="Calibri" w:cs="Calibri"/>
                <w:sz w:val="16"/>
                <w:szCs w:val="16"/>
              </w:rPr>
            </w:pPr>
            <w:r w:rsidRPr="00503014">
              <w:rPr>
                <w:rFonts w:eastAsia="Calibri" w:cs="Calibri"/>
                <w:sz w:val="16"/>
                <w:szCs w:val="16"/>
              </w:rPr>
              <w:t>1.228</w:t>
            </w:r>
          </w:p>
        </w:tc>
        <w:tc>
          <w:tcPr>
            <w:tcW w:w="897" w:type="dxa"/>
          </w:tcPr>
          <w:p w14:paraId="0D2DFE7E" w14:textId="77777777" w:rsidR="00695AE2" w:rsidRPr="00503014" w:rsidRDefault="00695AE2" w:rsidP="00980493">
            <w:pPr>
              <w:jc w:val="center"/>
              <w:rPr>
                <w:rFonts w:eastAsia="Calibri" w:cs="Calibri"/>
                <w:sz w:val="16"/>
                <w:szCs w:val="16"/>
              </w:rPr>
            </w:pPr>
            <w:r w:rsidRPr="00503014">
              <w:rPr>
                <w:rFonts w:eastAsia="Calibri" w:cs="Calibri"/>
                <w:sz w:val="16"/>
                <w:szCs w:val="16"/>
              </w:rPr>
              <w:t>1.712</w:t>
            </w:r>
          </w:p>
        </w:tc>
        <w:tc>
          <w:tcPr>
            <w:tcW w:w="945" w:type="dxa"/>
          </w:tcPr>
          <w:p w14:paraId="3888E356" w14:textId="77777777" w:rsidR="00695AE2" w:rsidRPr="00503014" w:rsidRDefault="00695AE2" w:rsidP="00980493">
            <w:pPr>
              <w:jc w:val="center"/>
              <w:rPr>
                <w:rFonts w:eastAsia="Calibri" w:cs="Calibri"/>
                <w:sz w:val="16"/>
                <w:szCs w:val="16"/>
              </w:rPr>
            </w:pPr>
            <w:r w:rsidRPr="00503014">
              <w:rPr>
                <w:rFonts w:eastAsia="Calibri" w:cs="Calibri"/>
                <w:sz w:val="16"/>
                <w:szCs w:val="16"/>
              </w:rPr>
              <w:t>2.940</w:t>
            </w:r>
          </w:p>
        </w:tc>
        <w:tc>
          <w:tcPr>
            <w:tcW w:w="851" w:type="dxa"/>
          </w:tcPr>
          <w:p w14:paraId="76863077" w14:textId="77777777" w:rsidR="00695AE2" w:rsidRPr="00503014" w:rsidRDefault="00695AE2" w:rsidP="00980493">
            <w:pPr>
              <w:jc w:val="center"/>
              <w:rPr>
                <w:rFonts w:eastAsia="Calibri" w:cs="Calibri"/>
                <w:sz w:val="16"/>
                <w:szCs w:val="16"/>
              </w:rPr>
            </w:pPr>
            <w:r w:rsidRPr="00503014">
              <w:rPr>
                <w:rFonts w:eastAsia="Calibri" w:cs="Calibri"/>
                <w:sz w:val="16"/>
                <w:szCs w:val="16"/>
              </w:rPr>
              <w:t>1.826</w:t>
            </w:r>
          </w:p>
        </w:tc>
        <w:tc>
          <w:tcPr>
            <w:tcW w:w="1276" w:type="dxa"/>
          </w:tcPr>
          <w:p w14:paraId="14FE2990" w14:textId="77777777" w:rsidR="00695AE2" w:rsidRPr="00503014" w:rsidRDefault="00695AE2" w:rsidP="00980493">
            <w:pPr>
              <w:jc w:val="center"/>
              <w:rPr>
                <w:rFonts w:eastAsia="Calibri" w:cs="Calibri"/>
                <w:sz w:val="16"/>
                <w:szCs w:val="16"/>
              </w:rPr>
            </w:pPr>
            <w:r w:rsidRPr="00503014">
              <w:rPr>
                <w:rFonts w:eastAsia="Calibri" w:cs="Calibri"/>
                <w:sz w:val="16"/>
                <w:szCs w:val="16"/>
              </w:rPr>
              <w:t>1.114</w:t>
            </w:r>
          </w:p>
        </w:tc>
        <w:tc>
          <w:tcPr>
            <w:tcW w:w="1559" w:type="dxa"/>
          </w:tcPr>
          <w:p w14:paraId="758D352D"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BE87837" w14:textId="77777777" w:rsidTr="00980493">
        <w:trPr>
          <w:trHeight w:val="192"/>
        </w:trPr>
        <w:tc>
          <w:tcPr>
            <w:tcW w:w="2972" w:type="dxa"/>
          </w:tcPr>
          <w:p w14:paraId="77422D60"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40D3C1FF" w14:textId="77777777" w:rsidR="00695AE2" w:rsidRPr="00503014" w:rsidRDefault="00695AE2" w:rsidP="00980493">
            <w:pPr>
              <w:jc w:val="center"/>
              <w:rPr>
                <w:rFonts w:eastAsia="Calibri" w:cs="Calibri"/>
                <w:sz w:val="16"/>
                <w:szCs w:val="16"/>
              </w:rPr>
            </w:pPr>
            <w:r w:rsidRPr="00503014">
              <w:rPr>
                <w:rFonts w:eastAsia="Calibri" w:cs="Calibri"/>
                <w:sz w:val="16"/>
                <w:szCs w:val="16"/>
              </w:rPr>
              <w:t>680</w:t>
            </w:r>
          </w:p>
        </w:tc>
        <w:tc>
          <w:tcPr>
            <w:tcW w:w="897" w:type="dxa"/>
          </w:tcPr>
          <w:p w14:paraId="16C632E0" w14:textId="77777777" w:rsidR="00695AE2" w:rsidRPr="00503014" w:rsidRDefault="00695AE2" w:rsidP="00980493">
            <w:pPr>
              <w:jc w:val="center"/>
              <w:rPr>
                <w:rFonts w:eastAsia="Calibri" w:cs="Calibri"/>
                <w:sz w:val="16"/>
                <w:szCs w:val="16"/>
              </w:rPr>
            </w:pPr>
            <w:r w:rsidRPr="00503014">
              <w:rPr>
                <w:rFonts w:eastAsia="Calibri" w:cs="Calibri"/>
                <w:sz w:val="16"/>
                <w:szCs w:val="16"/>
              </w:rPr>
              <w:t>97</w:t>
            </w:r>
          </w:p>
        </w:tc>
        <w:tc>
          <w:tcPr>
            <w:tcW w:w="945" w:type="dxa"/>
          </w:tcPr>
          <w:p w14:paraId="4C9A69AE" w14:textId="77777777" w:rsidR="00695AE2" w:rsidRPr="00503014" w:rsidRDefault="00695AE2" w:rsidP="00980493">
            <w:pPr>
              <w:jc w:val="center"/>
              <w:rPr>
                <w:rFonts w:eastAsia="Calibri" w:cs="Calibri"/>
                <w:sz w:val="16"/>
                <w:szCs w:val="16"/>
              </w:rPr>
            </w:pPr>
            <w:r w:rsidRPr="00503014">
              <w:rPr>
                <w:rFonts w:eastAsia="Calibri" w:cs="Calibri"/>
                <w:sz w:val="16"/>
                <w:szCs w:val="16"/>
              </w:rPr>
              <w:t>777</w:t>
            </w:r>
          </w:p>
        </w:tc>
        <w:tc>
          <w:tcPr>
            <w:tcW w:w="851" w:type="dxa"/>
          </w:tcPr>
          <w:p w14:paraId="5AD51BCA" w14:textId="77777777" w:rsidR="00695AE2" w:rsidRPr="00503014" w:rsidRDefault="00695AE2" w:rsidP="00980493">
            <w:pPr>
              <w:jc w:val="center"/>
              <w:rPr>
                <w:rFonts w:eastAsia="Calibri" w:cs="Calibri"/>
                <w:sz w:val="16"/>
                <w:szCs w:val="16"/>
              </w:rPr>
            </w:pPr>
            <w:r w:rsidRPr="00503014">
              <w:rPr>
                <w:rFonts w:eastAsia="Calibri" w:cs="Calibri"/>
                <w:sz w:val="16"/>
                <w:szCs w:val="16"/>
              </w:rPr>
              <w:t>202</w:t>
            </w:r>
          </w:p>
        </w:tc>
        <w:tc>
          <w:tcPr>
            <w:tcW w:w="1276" w:type="dxa"/>
          </w:tcPr>
          <w:p w14:paraId="3C97FD95" w14:textId="77777777" w:rsidR="00695AE2" w:rsidRPr="00503014" w:rsidRDefault="00695AE2" w:rsidP="00980493">
            <w:pPr>
              <w:jc w:val="center"/>
              <w:rPr>
                <w:rFonts w:eastAsia="Calibri" w:cs="Calibri"/>
                <w:sz w:val="16"/>
                <w:szCs w:val="16"/>
              </w:rPr>
            </w:pPr>
            <w:r w:rsidRPr="00503014">
              <w:rPr>
                <w:rFonts w:eastAsia="Calibri" w:cs="Calibri"/>
                <w:sz w:val="16"/>
                <w:szCs w:val="16"/>
              </w:rPr>
              <w:t>575</w:t>
            </w:r>
          </w:p>
        </w:tc>
        <w:tc>
          <w:tcPr>
            <w:tcW w:w="1559" w:type="dxa"/>
          </w:tcPr>
          <w:p w14:paraId="2DE817D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30A618E" w14:textId="77777777" w:rsidTr="00980493">
        <w:trPr>
          <w:trHeight w:val="192"/>
        </w:trPr>
        <w:tc>
          <w:tcPr>
            <w:tcW w:w="2972" w:type="dxa"/>
          </w:tcPr>
          <w:p w14:paraId="6058A447"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43A330E1" w14:textId="77777777" w:rsidR="00695AE2" w:rsidRPr="00503014" w:rsidRDefault="00695AE2" w:rsidP="00980493">
            <w:pPr>
              <w:jc w:val="center"/>
              <w:rPr>
                <w:rFonts w:eastAsia="Calibri" w:cs="Calibri"/>
                <w:sz w:val="16"/>
                <w:szCs w:val="16"/>
              </w:rPr>
            </w:pPr>
            <w:r w:rsidRPr="00503014">
              <w:rPr>
                <w:rFonts w:eastAsia="Calibri" w:cs="Calibri"/>
                <w:sz w:val="16"/>
                <w:szCs w:val="16"/>
              </w:rPr>
              <w:t>81</w:t>
            </w:r>
          </w:p>
        </w:tc>
        <w:tc>
          <w:tcPr>
            <w:tcW w:w="897" w:type="dxa"/>
          </w:tcPr>
          <w:p w14:paraId="6696EF98" w14:textId="77777777" w:rsidR="00695AE2" w:rsidRPr="00503014" w:rsidRDefault="00695AE2" w:rsidP="00980493">
            <w:pPr>
              <w:jc w:val="center"/>
              <w:rPr>
                <w:rFonts w:eastAsia="Calibri" w:cs="Calibri"/>
                <w:sz w:val="16"/>
                <w:szCs w:val="16"/>
              </w:rPr>
            </w:pPr>
            <w:r w:rsidRPr="00503014">
              <w:rPr>
                <w:rFonts w:eastAsia="Calibri" w:cs="Calibri"/>
                <w:sz w:val="16"/>
                <w:szCs w:val="16"/>
              </w:rPr>
              <w:t>1.278</w:t>
            </w:r>
          </w:p>
        </w:tc>
        <w:tc>
          <w:tcPr>
            <w:tcW w:w="945" w:type="dxa"/>
          </w:tcPr>
          <w:p w14:paraId="47727B7A" w14:textId="77777777" w:rsidR="00695AE2" w:rsidRPr="00503014" w:rsidRDefault="00695AE2" w:rsidP="00980493">
            <w:pPr>
              <w:jc w:val="center"/>
              <w:rPr>
                <w:rFonts w:eastAsia="Calibri" w:cs="Calibri"/>
                <w:sz w:val="16"/>
                <w:szCs w:val="16"/>
              </w:rPr>
            </w:pPr>
            <w:r w:rsidRPr="00503014">
              <w:rPr>
                <w:rFonts w:eastAsia="Calibri" w:cs="Calibri"/>
                <w:sz w:val="16"/>
                <w:szCs w:val="16"/>
              </w:rPr>
              <w:t>1.359</w:t>
            </w:r>
          </w:p>
        </w:tc>
        <w:tc>
          <w:tcPr>
            <w:tcW w:w="851" w:type="dxa"/>
          </w:tcPr>
          <w:p w14:paraId="0DF7C852" w14:textId="77777777" w:rsidR="00695AE2" w:rsidRPr="00503014" w:rsidRDefault="00695AE2" w:rsidP="00980493">
            <w:pPr>
              <w:jc w:val="center"/>
              <w:rPr>
                <w:rFonts w:eastAsia="Calibri" w:cs="Calibri"/>
                <w:sz w:val="16"/>
                <w:szCs w:val="16"/>
              </w:rPr>
            </w:pPr>
            <w:r w:rsidRPr="00503014">
              <w:rPr>
                <w:rFonts w:eastAsia="Calibri" w:cs="Calibri"/>
                <w:sz w:val="16"/>
                <w:szCs w:val="16"/>
              </w:rPr>
              <w:t>1.317</w:t>
            </w:r>
          </w:p>
        </w:tc>
        <w:tc>
          <w:tcPr>
            <w:tcW w:w="1276" w:type="dxa"/>
          </w:tcPr>
          <w:p w14:paraId="75CCB2D3" w14:textId="77777777" w:rsidR="00695AE2" w:rsidRPr="00503014" w:rsidRDefault="00695AE2" w:rsidP="00980493">
            <w:pPr>
              <w:jc w:val="center"/>
              <w:rPr>
                <w:rFonts w:eastAsia="Calibri" w:cs="Calibri"/>
                <w:sz w:val="16"/>
                <w:szCs w:val="16"/>
              </w:rPr>
            </w:pPr>
            <w:r w:rsidRPr="00503014">
              <w:rPr>
                <w:rFonts w:eastAsia="Calibri" w:cs="Calibri"/>
                <w:sz w:val="16"/>
                <w:szCs w:val="16"/>
              </w:rPr>
              <w:t>42</w:t>
            </w:r>
          </w:p>
        </w:tc>
        <w:tc>
          <w:tcPr>
            <w:tcW w:w="1559" w:type="dxa"/>
          </w:tcPr>
          <w:p w14:paraId="48F53BF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2FA756F" w14:textId="77777777" w:rsidTr="00980493">
        <w:trPr>
          <w:trHeight w:val="192"/>
        </w:trPr>
        <w:tc>
          <w:tcPr>
            <w:tcW w:w="2972" w:type="dxa"/>
          </w:tcPr>
          <w:p w14:paraId="404D2A80"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6B6446E4"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97" w:type="dxa"/>
          </w:tcPr>
          <w:p w14:paraId="01009A3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F299796"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51" w:type="dxa"/>
          </w:tcPr>
          <w:p w14:paraId="49A91A4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761F164"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559" w:type="dxa"/>
          </w:tcPr>
          <w:p w14:paraId="0376788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50FBCAD" w14:textId="77777777" w:rsidTr="00980493">
        <w:trPr>
          <w:trHeight w:val="192"/>
        </w:trPr>
        <w:tc>
          <w:tcPr>
            <w:tcW w:w="2972" w:type="dxa"/>
          </w:tcPr>
          <w:p w14:paraId="0D780B7A"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515D0D6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79D715B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B68A7E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08FF33F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4178A6A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4C9D2E8D"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7642C0A" w14:textId="77777777" w:rsidTr="00980493">
        <w:trPr>
          <w:trHeight w:val="192"/>
        </w:trPr>
        <w:tc>
          <w:tcPr>
            <w:tcW w:w="2972" w:type="dxa"/>
          </w:tcPr>
          <w:p w14:paraId="07C61071"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54717F7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2134C05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7FC3B2F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11B5235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6D18AAD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65E36AB"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68FA676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695CD5B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Kranju</w:t>
      </w:r>
    </w:p>
    <w:p w14:paraId="297FD9BF" w14:textId="77777777" w:rsidR="00695AE2" w:rsidRPr="00503014" w:rsidRDefault="00695AE2" w:rsidP="00695AE2">
      <w:pPr>
        <w:spacing w:line="240" w:lineRule="auto"/>
        <w:rPr>
          <w:rFonts w:eastAsia="Calibri"/>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67C6FB1F" w14:textId="77777777" w:rsidTr="00980493">
        <w:trPr>
          <w:trHeight w:val="925"/>
        </w:trPr>
        <w:tc>
          <w:tcPr>
            <w:tcW w:w="2972" w:type="dxa"/>
          </w:tcPr>
          <w:p w14:paraId="28D14F6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00E0D6A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4C9868A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0DF415F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67FC036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4A1BF36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2D5617A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5AD63BF5" w14:textId="77777777" w:rsidR="00695AE2" w:rsidRPr="00503014" w:rsidRDefault="00695AE2" w:rsidP="00980493">
            <w:pPr>
              <w:jc w:val="center"/>
              <w:rPr>
                <w:rFonts w:eastAsia="Times New Roman" w:cs="Calibri"/>
                <w:sz w:val="16"/>
                <w:szCs w:val="16"/>
              </w:rPr>
            </w:pPr>
          </w:p>
        </w:tc>
      </w:tr>
      <w:tr w:rsidR="00695AE2" w:rsidRPr="00503014" w14:paraId="2391D649" w14:textId="77777777" w:rsidTr="00980493">
        <w:trPr>
          <w:trHeight w:val="192"/>
        </w:trPr>
        <w:tc>
          <w:tcPr>
            <w:tcW w:w="2972" w:type="dxa"/>
          </w:tcPr>
          <w:p w14:paraId="579CBB49"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32C9D65B" w14:textId="77777777" w:rsidR="00695AE2" w:rsidRPr="00503014" w:rsidRDefault="00695AE2" w:rsidP="00980493">
            <w:pPr>
              <w:jc w:val="center"/>
              <w:rPr>
                <w:rFonts w:eastAsia="Calibri" w:cs="Calibri"/>
                <w:sz w:val="16"/>
                <w:szCs w:val="16"/>
              </w:rPr>
            </w:pPr>
            <w:r w:rsidRPr="00503014">
              <w:rPr>
                <w:rFonts w:eastAsia="Calibri" w:cs="Calibri"/>
                <w:sz w:val="16"/>
                <w:szCs w:val="16"/>
              </w:rPr>
              <w:t>88</w:t>
            </w:r>
          </w:p>
        </w:tc>
        <w:tc>
          <w:tcPr>
            <w:tcW w:w="897" w:type="dxa"/>
          </w:tcPr>
          <w:p w14:paraId="04313E0C" w14:textId="77777777" w:rsidR="00695AE2" w:rsidRPr="00503014" w:rsidRDefault="00695AE2" w:rsidP="00980493">
            <w:pPr>
              <w:jc w:val="center"/>
              <w:rPr>
                <w:rFonts w:eastAsia="Calibri" w:cs="Calibri"/>
                <w:sz w:val="16"/>
                <w:szCs w:val="16"/>
              </w:rPr>
            </w:pPr>
            <w:r w:rsidRPr="00503014">
              <w:rPr>
                <w:rFonts w:eastAsia="Calibri" w:cs="Calibri"/>
                <w:sz w:val="16"/>
                <w:szCs w:val="16"/>
              </w:rPr>
              <w:t>26</w:t>
            </w:r>
          </w:p>
        </w:tc>
        <w:tc>
          <w:tcPr>
            <w:tcW w:w="945" w:type="dxa"/>
          </w:tcPr>
          <w:p w14:paraId="702615CB" w14:textId="77777777" w:rsidR="00695AE2" w:rsidRPr="00503014" w:rsidRDefault="00695AE2" w:rsidP="00980493">
            <w:pPr>
              <w:jc w:val="center"/>
              <w:rPr>
                <w:rFonts w:eastAsia="Calibri" w:cs="Calibri"/>
                <w:sz w:val="16"/>
                <w:szCs w:val="16"/>
              </w:rPr>
            </w:pPr>
            <w:r w:rsidRPr="00503014">
              <w:rPr>
                <w:rFonts w:eastAsia="Calibri" w:cs="Calibri"/>
                <w:sz w:val="16"/>
                <w:szCs w:val="16"/>
              </w:rPr>
              <w:t>114</w:t>
            </w:r>
          </w:p>
        </w:tc>
        <w:tc>
          <w:tcPr>
            <w:tcW w:w="851" w:type="dxa"/>
          </w:tcPr>
          <w:p w14:paraId="001EF8DF" w14:textId="77777777" w:rsidR="00695AE2" w:rsidRPr="00503014" w:rsidRDefault="00695AE2" w:rsidP="00980493">
            <w:pPr>
              <w:jc w:val="center"/>
              <w:rPr>
                <w:rFonts w:eastAsia="Calibri" w:cs="Calibri"/>
                <w:sz w:val="16"/>
                <w:szCs w:val="16"/>
              </w:rPr>
            </w:pPr>
            <w:r w:rsidRPr="00503014">
              <w:rPr>
                <w:rFonts w:eastAsia="Calibri" w:cs="Calibri"/>
                <w:sz w:val="16"/>
                <w:szCs w:val="16"/>
              </w:rPr>
              <w:t>51</w:t>
            </w:r>
          </w:p>
        </w:tc>
        <w:tc>
          <w:tcPr>
            <w:tcW w:w="1276" w:type="dxa"/>
          </w:tcPr>
          <w:p w14:paraId="3F3E3AAF" w14:textId="77777777" w:rsidR="00695AE2" w:rsidRPr="00503014" w:rsidRDefault="00695AE2" w:rsidP="00980493">
            <w:pPr>
              <w:jc w:val="center"/>
              <w:rPr>
                <w:rFonts w:eastAsia="Calibri" w:cs="Calibri"/>
                <w:sz w:val="16"/>
                <w:szCs w:val="16"/>
              </w:rPr>
            </w:pPr>
            <w:r w:rsidRPr="00503014">
              <w:rPr>
                <w:rFonts w:eastAsia="Calibri" w:cs="Calibri"/>
                <w:sz w:val="16"/>
                <w:szCs w:val="16"/>
              </w:rPr>
              <w:t>63</w:t>
            </w:r>
          </w:p>
        </w:tc>
        <w:tc>
          <w:tcPr>
            <w:tcW w:w="1559" w:type="dxa"/>
          </w:tcPr>
          <w:p w14:paraId="515E23D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9001CA2" w14:textId="77777777" w:rsidTr="00980493">
        <w:trPr>
          <w:trHeight w:val="179"/>
        </w:trPr>
        <w:tc>
          <w:tcPr>
            <w:tcW w:w="2972" w:type="dxa"/>
          </w:tcPr>
          <w:p w14:paraId="2CD66691"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38299D6C" w14:textId="77777777" w:rsidR="00695AE2" w:rsidRPr="00503014" w:rsidRDefault="00695AE2" w:rsidP="00980493">
            <w:pPr>
              <w:jc w:val="center"/>
              <w:rPr>
                <w:rFonts w:eastAsia="Calibri" w:cs="Calibri"/>
                <w:sz w:val="16"/>
                <w:szCs w:val="16"/>
              </w:rPr>
            </w:pPr>
            <w:r w:rsidRPr="00503014">
              <w:rPr>
                <w:rFonts w:eastAsia="Calibri" w:cs="Calibri"/>
                <w:sz w:val="16"/>
                <w:szCs w:val="16"/>
              </w:rPr>
              <w:t>16</w:t>
            </w:r>
          </w:p>
        </w:tc>
        <w:tc>
          <w:tcPr>
            <w:tcW w:w="897" w:type="dxa"/>
          </w:tcPr>
          <w:p w14:paraId="2F88FC6C"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945" w:type="dxa"/>
          </w:tcPr>
          <w:p w14:paraId="354879F3" w14:textId="77777777" w:rsidR="00695AE2" w:rsidRPr="00503014" w:rsidRDefault="00695AE2" w:rsidP="00980493">
            <w:pPr>
              <w:jc w:val="center"/>
              <w:rPr>
                <w:rFonts w:eastAsia="Calibri" w:cs="Calibri"/>
                <w:sz w:val="16"/>
                <w:szCs w:val="16"/>
              </w:rPr>
            </w:pPr>
            <w:r w:rsidRPr="00503014">
              <w:rPr>
                <w:rFonts w:eastAsia="Calibri" w:cs="Calibri"/>
                <w:sz w:val="16"/>
                <w:szCs w:val="16"/>
              </w:rPr>
              <w:t>21</w:t>
            </w:r>
          </w:p>
        </w:tc>
        <w:tc>
          <w:tcPr>
            <w:tcW w:w="851" w:type="dxa"/>
          </w:tcPr>
          <w:p w14:paraId="387B3A64" w14:textId="77777777" w:rsidR="00695AE2" w:rsidRPr="00503014" w:rsidRDefault="00695AE2" w:rsidP="00980493">
            <w:pPr>
              <w:jc w:val="center"/>
              <w:rPr>
                <w:rFonts w:eastAsia="Calibri" w:cs="Calibri"/>
                <w:sz w:val="16"/>
                <w:szCs w:val="16"/>
              </w:rPr>
            </w:pPr>
            <w:r w:rsidRPr="00503014">
              <w:rPr>
                <w:rFonts w:eastAsia="Calibri" w:cs="Calibri"/>
                <w:sz w:val="16"/>
                <w:szCs w:val="16"/>
              </w:rPr>
              <w:t>11</w:t>
            </w:r>
          </w:p>
        </w:tc>
        <w:tc>
          <w:tcPr>
            <w:tcW w:w="1276" w:type="dxa"/>
          </w:tcPr>
          <w:p w14:paraId="6A7BE35F" w14:textId="77777777" w:rsidR="00695AE2" w:rsidRPr="00503014" w:rsidRDefault="00695AE2" w:rsidP="00980493">
            <w:pPr>
              <w:jc w:val="center"/>
              <w:rPr>
                <w:rFonts w:eastAsia="Calibri" w:cs="Calibri"/>
                <w:sz w:val="16"/>
                <w:szCs w:val="16"/>
              </w:rPr>
            </w:pPr>
            <w:r w:rsidRPr="00503014">
              <w:rPr>
                <w:rFonts w:eastAsia="Calibri" w:cs="Calibri"/>
                <w:sz w:val="16"/>
                <w:szCs w:val="16"/>
              </w:rPr>
              <w:t>10</w:t>
            </w:r>
          </w:p>
        </w:tc>
        <w:tc>
          <w:tcPr>
            <w:tcW w:w="1559" w:type="dxa"/>
          </w:tcPr>
          <w:p w14:paraId="2DCE939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0881514" w14:textId="77777777" w:rsidTr="00980493">
        <w:trPr>
          <w:trHeight w:val="192"/>
        </w:trPr>
        <w:tc>
          <w:tcPr>
            <w:tcW w:w="2972" w:type="dxa"/>
          </w:tcPr>
          <w:p w14:paraId="44574F77"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64904F3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0F3ABEC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5BB69A8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075442D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46959C6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49E1B3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3F2F837" w14:textId="77777777" w:rsidTr="00980493">
        <w:trPr>
          <w:trHeight w:val="179"/>
        </w:trPr>
        <w:tc>
          <w:tcPr>
            <w:tcW w:w="2972" w:type="dxa"/>
          </w:tcPr>
          <w:p w14:paraId="2F9D8E56"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4A6A4CA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6B0AE96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CA9B6C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35D551A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3AA1BF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40003B6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8180748" w14:textId="77777777" w:rsidTr="00980493">
        <w:trPr>
          <w:trHeight w:val="192"/>
        </w:trPr>
        <w:tc>
          <w:tcPr>
            <w:tcW w:w="2972" w:type="dxa"/>
          </w:tcPr>
          <w:p w14:paraId="7B29391B"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7780CCEC"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897" w:type="dxa"/>
          </w:tcPr>
          <w:p w14:paraId="23426D5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669D3A9"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851" w:type="dxa"/>
          </w:tcPr>
          <w:p w14:paraId="64E9DC8C"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7ABEE51C" w14:textId="77777777" w:rsidR="00695AE2" w:rsidRPr="00503014" w:rsidRDefault="00695AE2" w:rsidP="00980493">
            <w:pPr>
              <w:jc w:val="center"/>
              <w:rPr>
                <w:rFonts w:eastAsia="Calibri" w:cs="Calibri"/>
                <w:sz w:val="16"/>
                <w:szCs w:val="16"/>
              </w:rPr>
            </w:pPr>
            <w:r w:rsidRPr="00503014">
              <w:rPr>
                <w:rFonts w:eastAsia="Calibri" w:cs="Calibri"/>
                <w:sz w:val="16"/>
                <w:szCs w:val="16"/>
              </w:rPr>
              <w:t>7</w:t>
            </w:r>
          </w:p>
        </w:tc>
        <w:tc>
          <w:tcPr>
            <w:tcW w:w="1559" w:type="dxa"/>
          </w:tcPr>
          <w:p w14:paraId="086865DA"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3D98685" w14:textId="77777777" w:rsidTr="00980493">
        <w:trPr>
          <w:trHeight w:val="179"/>
        </w:trPr>
        <w:tc>
          <w:tcPr>
            <w:tcW w:w="2972" w:type="dxa"/>
          </w:tcPr>
          <w:p w14:paraId="3CDC19A4"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62D0832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7444D33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F6914C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4D4F81C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E331E9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0A2A4D0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47E0391" w14:textId="77777777" w:rsidTr="00980493">
        <w:trPr>
          <w:trHeight w:val="192"/>
        </w:trPr>
        <w:tc>
          <w:tcPr>
            <w:tcW w:w="2972" w:type="dxa"/>
          </w:tcPr>
          <w:p w14:paraId="1B0A5DA8"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77B7B87D" w14:textId="77777777" w:rsidR="00695AE2" w:rsidRPr="00503014" w:rsidRDefault="00695AE2" w:rsidP="00980493">
            <w:pPr>
              <w:jc w:val="center"/>
              <w:rPr>
                <w:rFonts w:eastAsia="Calibri" w:cs="Calibri"/>
                <w:sz w:val="16"/>
                <w:szCs w:val="16"/>
              </w:rPr>
            </w:pPr>
            <w:r w:rsidRPr="00503014">
              <w:rPr>
                <w:rFonts w:eastAsia="Calibri" w:cs="Calibri"/>
                <w:sz w:val="16"/>
                <w:szCs w:val="16"/>
              </w:rPr>
              <w:t>416</w:t>
            </w:r>
          </w:p>
        </w:tc>
        <w:tc>
          <w:tcPr>
            <w:tcW w:w="897" w:type="dxa"/>
          </w:tcPr>
          <w:p w14:paraId="5E2D9808" w14:textId="77777777" w:rsidR="00695AE2" w:rsidRPr="00503014" w:rsidRDefault="00695AE2" w:rsidP="00980493">
            <w:pPr>
              <w:jc w:val="center"/>
              <w:rPr>
                <w:rFonts w:eastAsia="Calibri" w:cs="Calibri"/>
                <w:sz w:val="16"/>
                <w:szCs w:val="16"/>
              </w:rPr>
            </w:pPr>
            <w:r w:rsidRPr="00503014">
              <w:rPr>
                <w:rFonts w:eastAsia="Calibri" w:cs="Calibri"/>
                <w:sz w:val="16"/>
                <w:szCs w:val="16"/>
              </w:rPr>
              <w:t>281</w:t>
            </w:r>
          </w:p>
        </w:tc>
        <w:tc>
          <w:tcPr>
            <w:tcW w:w="945" w:type="dxa"/>
          </w:tcPr>
          <w:p w14:paraId="162E583B" w14:textId="77777777" w:rsidR="00695AE2" w:rsidRPr="00503014" w:rsidRDefault="00695AE2" w:rsidP="00980493">
            <w:pPr>
              <w:jc w:val="center"/>
              <w:rPr>
                <w:rFonts w:eastAsia="Calibri" w:cs="Calibri"/>
                <w:sz w:val="16"/>
                <w:szCs w:val="16"/>
              </w:rPr>
            </w:pPr>
            <w:r w:rsidRPr="00503014">
              <w:rPr>
                <w:rFonts w:eastAsia="Calibri" w:cs="Calibri"/>
                <w:sz w:val="16"/>
                <w:szCs w:val="16"/>
              </w:rPr>
              <w:t>697</w:t>
            </w:r>
          </w:p>
        </w:tc>
        <w:tc>
          <w:tcPr>
            <w:tcW w:w="851" w:type="dxa"/>
          </w:tcPr>
          <w:p w14:paraId="0AFB8370" w14:textId="77777777" w:rsidR="00695AE2" w:rsidRPr="00503014" w:rsidRDefault="00695AE2" w:rsidP="00980493">
            <w:pPr>
              <w:jc w:val="center"/>
              <w:rPr>
                <w:rFonts w:eastAsia="Calibri" w:cs="Calibri"/>
                <w:sz w:val="16"/>
                <w:szCs w:val="16"/>
              </w:rPr>
            </w:pPr>
            <w:r w:rsidRPr="00503014">
              <w:rPr>
                <w:rFonts w:eastAsia="Calibri" w:cs="Calibri"/>
                <w:sz w:val="16"/>
                <w:szCs w:val="16"/>
              </w:rPr>
              <w:t>288</w:t>
            </w:r>
          </w:p>
        </w:tc>
        <w:tc>
          <w:tcPr>
            <w:tcW w:w="1276" w:type="dxa"/>
          </w:tcPr>
          <w:p w14:paraId="6DEE1569" w14:textId="77777777" w:rsidR="00695AE2" w:rsidRPr="00503014" w:rsidRDefault="00695AE2" w:rsidP="00980493">
            <w:pPr>
              <w:jc w:val="center"/>
              <w:rPr>
                <w:rFonts w:eastAsia="Calibri" w:cs="Calibri"/>
                <w:sz w:val="16"/>
                <w:szCs w:val="16"/>
              </w:rPr>
            </w:pPr>
            <w:r w:rsidRPr="00503014">
              <w:rPr>
                <w:rFonts w:eastAsia="Calibri" w:cs="Calibri"/>
                <w:sz w:val="16"/>
                <w:szCs w:val="16"/>
              </w:rPr>
              <w:t>409</w:t>
            </w:r>
          </w:p>
        </w:tc>
        <w:tc>
          <w:tcPr>
            <w:tcW w:w="1559" w:type="dxa"/>
          </w:tcPr>
          <w:p w14:paraId="61B8400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49AD36D" w14:textId="77777777" w:rsidTr="00980493">
        <w:trPr>
          <w:trHeight w:val="192"/>
        </w:trPr>
        <w:tc>
          <w:tcPr>
            <w:tcW w:w="2972" w:type="dxa"/>
          </w:tcPr>
          <w:p w14:paraId="215BD181"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5A811735" w14:textId="77777777" w:rsidR="00695AE2" w:rsidRPr="00503014" w:rsidRDefault="00695AE2" w:rsidP="00980493">
            <w:pPr>
              <w:jc w:val="center"/>
              <w:rPr>
                <w:rFonts w:eastAsia="Calibri" w:cs="Calibri"/>
                <w:sz w:val="16"/>
                <w:szCs w:val="16"/>
              </w:rPr>
            </w:pPr>
            <w:r w:rsidRPr="00503014">
              <w:rPr>
                <w:rFonts w:eastAsia="Calibri" w:cs="Calibri"/>
                <w:sz w:val="16"/>
                <w:szCs w:val="16"/>
              </w:rPr>
              <w:t>630</w:t>
            </w:r>
          </w:p>
        </w:tc>
        <w:tc>
          <w:tcPr>
            <w:tcW w:w="897" w:type="dxa"/>
          </w:tcPr>
          <w:p w14:paraId="256421D3" w14:textId="77777777" w:rsidR="00695AE2" w:rsidRPr="00503014" w:rsidRDefault="00695AE2" w:rsidP="00980493">
            <w:pPr>
              <w:jc w:val="center"/>
              <w:rPr>
                <w:rFonts w:eastAsia="Calibri" w:cs="Calibri"/>
                <w:sz w:val="16"/>
                <w:szCs w:val="16"/>
              </w:rPr>
            </w:pPr>
            <w:r w:rsidRPr="00503014">
              <w:rPr>
                <w:rFonts w:eastAsia="Calibri" w:cs="Calibri"/>
                <w:sz w:val="16"/>
                <w:szCs w:val="16"/>
              </w:rPr>
              <w:t>282</w:t>
            </w:r>
          </w:p>
        </w:tc>
        <w:tc>
          <w:tcPr>
            <w:tcW w:w="945" w:type="dxa"/>
          </w:tcPr>
          <w:p w14:paraId="0D725FC4" w14:textId="77777777" w:rsidR="00695AE2" w:rsidRPr="00503014" w:rsidRDefault="00695AE2" w:rsidP="00980493">
            <w:pPr>
              <w:jc w:val="center"/>
              <w:rPr>
                <w:rFonts w:eastAsia="Calibri" w:cs="Calibri"/>
                <w:sz w:val="16"/>
                <w:szCs w:val="16"/>
              </w:rPr>
            </w:pPr>
            <w:r w:rsidRPr="00503014">
              <w:rPr>
                <w:rFonts w:eastAsia="Calibri" w:cs="Calibri"/>
                <w:sz w:val="16"/>
                <w:szCs w:val="16"/>
              </w:rPr>
              <w:t>912</w:t>
            </w:r>
          </w:p>
        </w:tc>
        <w:tc>
          <w:tcPr>
            <w:tcW w:w="851" w:type="dxa"/>
          </w:tcPr>
          <w:p w14:paraId="77D099F2" w14:textId="77777777" w:rsidR="00695AE2" w:rsidRPr="00503014" w:rsidRDefault="00695AE2" w:rsidP="00980493">
            <w:pPr>
              <w:jc w:val="center"/>
              <w:rPr>
                <w:rFonts w:eastAsia="Calibri" w:cs="Calibri"/>
                <w:sz w:val="16"/>
                <w:szCs w:val="16"/>
              </w:rPr>
            </w:pPr>
            <w:r w:rsidRPr="00503014">
              <w:rPr>
                <w:rFonts w:eastAsia="Calibri" w:cs="Calibri"/>
                <w:sz w:val="16"/>
                <w:szCs w:val="16"/>
              </w:rPr>
              <w:t>382</w:t>
            </w:r>
          </w:p>
        </w:tc>
        <w:tc>
          <w:tcPr>
            <w:tcW w:w="1276" w:type="dxa"/>
          </w:tcPr>
          <w:p w14:paraId="18AEDE84" w14:textId="77777777" w:rsidR="00695AE2" w:rsidRPr="00503014" w:rsidRDefault="00695AE2" w:rsidP="00980493">
            <w:pPr>
              <w:jc w:val="center"/>
              <w:rPr>
                <w:rFonts w:eastAsia="Calibri" w:cs="Calibri"/>
                <w:sz w:val="16"/>
                <w:szCs w:val="16"/>
              </w:rPr>
            </w:pPr>
            <w:r w:rsidRPr="00503014">
              <w:rPr>
                <w:rFonts w:eastAsia="Calibri" w:cs="Calibri"/>
                <w:sz w:val="16"/>
                <w:szCs w:val="16"/>
              </w:rPr>
              <w:t>530</w:t>
            </w:r>
          </w:p>
        </w:tc>
        <w:tc>
          <w:tcPr>
            <w:tcW w:w="1559" w:type="dxa"/>
          </w:tcPr>
          <w:p w14:paraId="079B1C5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A8EA70E" w14:textId="77777777" w:rsidTr="00980493">
        <w:trPr>
          <w:trHeight w:val="192"/>
        </w:trPr>
        <w:tc>
          <w:tcPr>
            <w:tcW w:w="2972" w:type="dxa"/>
          </w:tcPr>
          <w:p w14:paraId="22ADE1AE"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03B784F7" w14:textId="77777777" w:rsidR="00695AE2" w:rsidRPr="00503014" w:rsidRDefault="00695AE2" w:rsidP="00980493">
            <w:pPr>
              <w:jc w:val="center"/>
              <w:rPr>
                <w:rFonts w:eastAsia="Calibri" w:cs="Calibri"/>
                <w:sz w:val="16"/>
                <w:szCs w:val="16"/>
              </w:rPr>
            </w:pPr>
            <w:r w:rsidRPr="00503014">
              <w:rPr>
                <w:rFonts w:eastAsia="Calibri" w:cs="Calibri"/>
                <w:sz w:val="16"/>
                <w:szCs w:val="16"/>
              </w:rPr>
              <w:t>950</w:t>
            </w:r>
          </w:p>
        </w:tc>
        <w:tc>
          <w:tcPr>
            <w:tcW w:w="897" w:type="dxa"/>
          </w:tcPr>
          <w:p w14:paraId="3274A669" w14:textId="77777777" w:rsidR="00695AE2" w:rsidRPr="00503014" w:rsidRDefault="00695AE2" w:rsidP="00980493">
            <w:pPr>
              <w:jc w:val="center"/>
              <w:rPr>
                <w:rFonts w:eastAsia="Calibri" w:cs="Calibri"/>
                <w:sz w:val="16"/>
                <w:szCs w:val="16"/>
              </w:rPr>
            </w:pPr>
            <w:r w:rsidRPr="00503014">
              <w:rPr>
                <w:rFonts w:eastAsia="Calibri" w:cs="Calibri"/>
                <w:sz w:val="16"/>
                <w:szCs w:val="16"/>
              </w:rPr>
              <w:t>1.096</w:t>
            </w:r>
          </w:p>
        </w:tc>
        <w:tc>
          <w:tcPr>
            <w:tcW w:w="945" w:type="dxa"/>
          </w:tcPr>
          <w:p w14:paraId="4020EA34" w14:textId="77777777" w:rsidR="00695AE2" w:rsidRPr="00503014" w:rsidRDefault="00695AE2" w:rsidP="00980493">
            <w:pPr>
              <w:jc w:val="center"/>
              <w:rPr>
                <w:rFonts w:eastAsia="Calibri" w:cs="Calibri"/>
                <w:sz w:val="16"/>
                <w:szCs w:val="16"/>
              </w:rPr>
            </w:pPr>
            <w:r w:rsidRPr="00503014">
              <w:rPr>
                <w:rFonts w:eastAsia="Calibri" w:cs="Calibri"/>
                <w:sz w:val="16"/>
                <w:szCs w:val="16"/>
              </w:rPr>
              <w:t>2.046</w:t>
            </w:r>
          </w:p>
        </w:tc>
        <w:tc>
          <w:tcPr>
            <w:tcW w:w="851" w:type="dxa"/>
          </w:tcPr>
          <w:p w14:paraId="49C5A17C" w14:textId="77777777" w:rsidR="00695AE2" w:rsidRPr="00503014" w:rsidRDefault="00695AE2" w:rsidP="00980493">
            <w:pPr>
              <w:jc w:val="center"/>
              <w:rPr>
                <w:rFonts w:eastAsia="Calibri" w:cs="Calibri"/>
                <w:sz w:val="16"/>
                <w:szCs w:val="16"/>
              </w:rPr>
            </w:pPr>
            <w:r w:rsidRPr="00503014">
              <w:rPr>
                <w:rFonts w:eastAsia="Calibri" w:cs="Calibri"/>
                <w:sz w:val="16"/>
                <w:szCs w:val="16"/>
              </w:rPr>
              <w:t>1.346</w:t>
            </w:r>
          </w:p>
        </w:tc>
        <w:tc>
          <w:tcPr>
            <w:tcW w:w="1276" w:type="dxa"/>
          </w:tcPr>
          <w:p w14:paraId="3DD0EEA9" w14:textId="77777777" w:rsidR="00695AE2" w:rsidRPr="00503014" w:rsidRDefault="00695AE2" w:rsidP="00980493">
            <w:pPr>
              <w:jc w:val="center"/>
              <w:rPr>
                <w:rFonts w:eastAsia="Calibri" w:cs="Calibri"/>
                <w:sz w:val="16"/>
                <w:szCs w:val="16"/>
              </w:rPr>
            </w:pPr>
            <w:r w:rsidRPr="00503014">
              <w:rPr>
                <w:rFonts w:eastAsia="Calibri" w:cs="Calibri"/>
                <w:sz w:val="16"/>
                <w:szCs w:val="16"/>
              </w:rPr>
              <w:t>700</w:t>
            </w:r>
          </w:p>
        </w:tc>
        <w:tc>
          <w:tcPr>
            <w:tcW w:w="1559" w:type="dxa"/>
          </w:tcPr>
          <w:p w14:paraId="1360905B"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3D17188" w14:textId="77777777" w:rsidTr="00980493">
        <w:trPr>
          <w:trHeight w:val="192"/>
        </w:trPr>
        <w:tc>
          <w:tcPr>
            <w:tcW w:w="2972" w:type="dxa"/>
          </w:tcPr>
          <w:p w14:paraId="4DABC689"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51EC58C0" w14:textId="77777777" w:rsidR="00695AE2" w:rsidRPr="00503014" w:rsidRDefault="00695AE2" w:rsidP="00980493">
            <w:pPr>
              <w:jc w:val="center"/>
              <w:rPr>
                <w:rFonts w:eastAsia="Calibri" w:cs="Calibri"/>
                <w:sz w:val="16"/>
                <w:szCs w:val="16"/>
              </w:rPr>
            </w:pPr>
            <w:r w:rsidRPr="00503014">
              <w:rPr>
                <w:rFonts w:eastAsia="Calibri" w:cs="Calibri"/>
                <w:sz w:val="16"/>
                <w:szCs w:val="16"/>
              </w:rPr>
              <w:t>108</w:t>
            </w:r>
          </w:p>
        </w:tc>
        <w:tc>
          <w:tcPr>
            <w:tcW w:w="897" w:type="dxa"/>
          </w:tcPr>
          <w:p w14:paraId="73159590" w14:textId="77777777" w:rsidR="00695AE2" w:rsidRPr="00503014" w:rsidRDefault="00695AE2" w:rsidP="00980493">
            <w:pPr>
              <w:jc w:val="center"/>
              <w:rPr>
                <w:rFonts w:eastAsia="Calibri" w:cs="Calibri"/>
                <w:sz w:val="16"/>
                <w:szCs w:val="16"/>
              </w:rPr>
            </w:pPr>
            <w:r w:rsidRPr="00503014">
              <w:rPr>
                <w:rFonts w:eastAsia="Calibri" w:cs="Calibri"/>
                <w:sz w:val="16"/>
                <w:szCs w:val="16"/>
              </w:rPr>
              <w:t>16</w:t>
            </w:r>
          </w:p>
        </w:tc>
        <w:tc>
          <w:tcPr>
            <w:tcW w:w="945" w:type="dxa"/>
          </w:tcPr>
          <w:p w14:paraId="1E17B106" w14:textId="77777777" w:rsidR="00695AE2" w:rsidRPr="00503014" w:rsidRDefault="00695AE2" w:rsidP="00980493">
            <w:pPr>
              <w:jc w:val="center"/>
              <w:rPr>
                <w:rFonts w:eastAsia="Calibri" w:cs="Calibri"/>
                <w:sz w:val="16"/>
                <w:szCs w:val="16"/>
              </w:rPr>
            </w:pPr>
            <w:r w:rsidRPr="00503014">
              <w:rPr>
                <w:rFonts w:eastAsia="Calibri" w:cs="Calibri"/>
                <w:sz w:val="16"/>
                <w:szCs w:val="16"/>
              </w:rPr>
              <w:t>124</w:t>
            </w:r>
          </w:p>
        </w:tc>
        <w:tc>
          <w:tcPr>
            <w:tcW w:w="851" w:type="dxa"/>
          </w:tcPr>
          <w:p w14:paraId="0DEEE276" w14:textId="77777777" w:rsidR="00695AE2" w:rsidRPr="00503014" w:rsidRDefault="00695AE2" w:rsidP="00980493">
            <w:pPr>
              <w:jc w:val="center"/>
              <w:rPr>
                <w:rFonts w:eastAsia="Calibri" w:cs="Calibri"/>
                <w:sz w:val="16"/>
                <w:szCs w:val="16"/>
              </w:rPr>
            </w:pPr>
            <w:r w:rsidRPr="00503014">
              <w:rPr>
                <w:rFonts w:eastAsia="Calibri" w:cs="Calibri"/>
                <w:sz w:val="16"/>
                <w:szCs w:val="16"/>
              </w:rPr>
              <w:t>32</w:t>
            </w:r>
          </w:p>
        </w:tc>
        <w:tc>
          <w:tcPr>
            <w:tcW w:w="1276" w:type="dxa"/>
          </w:tcPr>
          <w:p w14:paraId="207293F3" w14:textId="77777777" w:rsidR="00695AE2" w:rsidRPr="00503014" w:rsidRDefault="00695AE2" w:rsidP="00980493">
            <w:pPr>
              <w:jc w:val="center"/>
              <w:rPr>
                <w:rFonts w:eastAsia="Calibri" w:cs="Calibri"/>
                <w:sz w:val="16"/>
                <w:szCs w:val="16"/>
              </w:rPr>
            </w:pPr>
            <w:r w:rsidRPr="00503014">
              <w:rPr>
                <w:rFonts w:eastAsia="Calibri" w:cs="Calibri"/>
                <w:sz w:val="16"/>
                <w:szCs w:val="16"/>
              </w:rPr>
              <w:t>92</w:t>
            </w:r>
          </w:p>
        </w:tc>
        <w:tc>
          <w:tcPr>
            <w:tcW w:w="1559" w:type="dxa"/>
          </w:tcPr>
          <w:p w14:paraId="66A284E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014179B" w14:textId="77777777" w:rsidTr="00980493">
        <w:trPr>
          <w:trHeight w:val="192"/>
        </w:trPr>
        <w:tc>
          <w:tcPr>
            <w:tcW w:w="2972" w:type="dxa"/>
          </w:tcPr>
          <w:p w14:paraId="14FD1931"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4CBC3BC6" w14:textId="77777777" w:rsidR="00695AE2" w:rsidRPr="00503014" w:rsidRDefault="00695AE2" w:rsidP="00980493">
            <w:pPr>
              <w:jc w:val="center"/>
              <w:rPr>
                <w:rFonts w:eastAsia="Calibri" w:cs="Calibri"/>
                <w:sz w:val="16"/>
                <w:szCs w:val="16"/>
              </w:rPr>
            </w:pPr>
            <w:r w:rsidRPr="00503014">
              <w:rPr>
                <w:rFonts w:eastAsia="Calibri" w:cs="Calibri"/>
                <w:sz w:val="16"/>
                <w:szCs w:val="16"/>
              </w:rPr>
              <w:t>23</w:t>
            </w:r>
          </w:p>
        </w:tc>
        <w:tc>
          <w:tcPr>
            <w:tcW w:w="897" w:type="dxa"/>
          </w:tcPr>
          <w:p w14:paraId="6C4E0600" w14:textId="77777777" w:rsidR="00695AE2" w:rsidRPr="00503014" w:rsidRDefault="00695AE2" w:rsidP="00980493">
            <w:pPr>
              <w:jc w:val="center"/>
              <w:rPr>
                <w:rFonts w:eastAsia="Calibri" w:cs="Calibri"/>
                <w:sz w:val="16"/>
                <w:szCs w:val="16"/>
              </w:rPr>
            </w:pPr>
            <w:r w:rsidRPr="00503014">
              <w:rPr>
                <w:rFonts w:eastAsia="Calibri" w:cs="Calibri"/>
                <w:sz w:val="16"/>
                <w:szCs w:val="16"/>
              </w:rPr>
              <w:t>1.210</w:t>
            </w:r>
          </w:p>
        </w:tc>
        <w:tc>
          <w:tcPr>
            <w:tcW w:w="945" w:type="dxa"/>
          </w:tcPr>
          <w:p w14:paraId="08491D7F" w14:textId="77777777" w:rsidR="00695AE2" w:rsidRPr="00503014" w:rsidRDefault="00695AE2" w:rsidP="00980493">
            <w:pPr>
              <w:jc w:val="center"/>
              <w:rPr>
                <w:rFonts w:eastAsia="Calibri" w:cs="Calibri"/>
                <w:sz w:val="16"/>
                <w:szCs w:val="16"/>
              </w:rPr>
            </w:pPr>
            <w:r w:rsidRPr="00503014">
              <w:rPr>
                <w:rFonts w:eastAsia="Calibri" w:cs="Calibri"/>
                <w:sz w:val="16"/>
                <w:szCs w:val="16"/>
              </w:rPr>
              <w:t>1.233</w:t>
            </w:r>
          </w:p>
        </w:tc>
        <w:tc>
          <w:tcPr>
            <w:tcW w:w="851" w:type="dxa"/>
          </w:tcPr>
          <w:p w14:paraId="77FD4F66" w14:textId="77777777" w:rsidR="00695AE2" w:rsidRPr="00503014" w:rsidRDefault="00695AE2" w:rsidP="00980493">
            <w:pPr>
              <w:jc w:val="center"/>
              <w:rPr>
                <w:rFonts w:eastAsia="Calibri" w:cs="Calibri"/>
                <w:sz w:val="16"/>
                <w:szCs w:val="16"/>
              </w:rPr>
            </w:pPr>
            <w:r w:rsidRPr="00503014">
              <w:rPr>
                <w:rFonts w:eastAsia="Calibri" w:cs="Calibri"/>
                <w:sz w:val="16"/>
                <w:szCs w:val="16"/>
              </w:rPr>
              <w:t>1.200</w:t>
            </w:r>
          </w:p>
        </w:tc>
        <w:tc>
          <w:tcPr>
            <w:tcW w:w="1276" w:type="dxa"/>
          </w:tcPr>
          <w:p w14:paraId="4BDBFA15" w14:textId="77777777" w:rsidR="00695AE2" w:rsidRPr="00503014" w:rsidRDefault="00695AE2" w:rsidP="00980493">
            <w:pPr>
              <w:jc w:val="center"/>
              <w:rPr>
                <w:rFonts w:eastAsia="Calibri" w:cs="Calibri"/>
                <w:sz w:val="16"/>
                <w:szCs w:val="16"/>
              </w:rPr>
            </w:pPr>
            <w:r w:rsidRPr="00503014">
              <w:rPr>
                <w:rFonts w:eastAsia="Calibri" w:cs="Calibri"/>
                <w:sz w:val="16"/>
                <w:szCs w:val="16"/>
              </w:rPr>
              <w:t>33</w:t>
            </w:r>
          </w:p>
        </w:tc>
        <w:tc>
          <w:tcPr>
            <w:tcW w:w="1559" w:type="dxa"/>
          </w:tcPr>
          <w:p w14:paraId="5115E58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666EBAF" w14:textId="77777777" w:rsidTr="00980493">
        <w:trPr>
          <w:trHeight w:val="192"/>
        </w:trPr>
        <w:tc>
          <w:tcPr>
            <w:tcW w:w="2972" w:type="dxa"/>
          </w:tcPr>
          <w:p w14:paraId="2DDA76CB"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310C0949" w14:textId="77777777" w:rsidR="00695AE2" w:rsidRPr="00503014" w:rsidRDefault="00695AE2" w:rsidP="00980493">
            <w:pPr>
              <w:jc w:val="center"/>
              <w:rPr>
                <w:rFonts w:eastAsia="Calibri" w:cs="Calibri"/>
                <w:sz w:val="16"/>
                <w:szCs w:val="16"/>
              </w:rPr>
            </w:pPr>
            <w:r w:rsidRPr="00503014">
              <w:rPr>
                <w:rFonts w:eastAsia="Calibri" w:cs="Calibri"/>
                <w:sz w:val="16"/>
                <w:szCs w:val="16"/>
              </w:rPr>
              <w:t>13</w:t>
            </w:r>
          </w:p>
        </w:tc>
        <w:tc>
          <w:tcPr>
            <w:tcW w:w="897" w:type="dxa"/>
          </w:tcPr>
          <w:p w14:paraId="35CD108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7010C07" w14:textId="77777777" w:rsidR="00695AE2" w:rsidRPr="00503014" w:rsidRDefault="00695AE2" w:rsidP="00980493">
            <w:pPr>
              <w:jc w:val="center"/>
              <w:rPr>
                <w:rFonts w:eastAsia="Calibri" w:cs="Calibri"/>
                <w:sz w:val="16"/>
                <w:szCs w:val="16"/>
              </w:rPr>
            </w:pPr>
            <w:r w:rsidRPr="00503014">
              <w:rPr>
                <w:rFonts w:eastAsia="Calibri" w:cs="Calibri"/>
                <w:sz w:val="16"/>
                <w:szCs w:val="16"/>
              </w:rPr>
              <w:t>13</w:t>
            </w:r>
          </w:p>
        </w:tc>
        <w:tc>
          <w:tcPr>
            <w:tcW w:w="851" w:type="dxa"/>
          </w:tcPr>
          <w:p w14:paraId="1E37265C"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276" w:type="dxa"/>
          </w:tcPr>
          <w:p w14:paraId="44C76BA4" w14:textId="77777777" w:rsidR="00695AE2" w:rsidRPr="00503014" w:rsidRDefault="00695AE2" w:rsidP="00980493">
            <w:pPr>
              <w:jc w:val="center"/>
              <w:rPr>
                <w:rFonts w:eastAsia="Calibri" w:cs="Calibri"/>
                <w:sz w:val="16"/>
                <w:szCs w:val="16"/>
              </w:rPr>
            </w:pPr>
            <w:r w:rsidRPr="00503014">
              <w:rPr>
                <w:rFonts w:eastAsia="Calibri" w:cs="Calibri"/>
                <w:sz w:val="16"/>
                <w:szCs w:val="16"/>
              </w:rPr>
              <w:t>11</w:t>
            </w:r>
          </w:p>
        </w:tc>
        <w:tc>
          <w:tcPr>
            <w:tcW w:w="1559" w:type="dxa"/>
          </w:tcPr>
          <w:p w14:paraId="317952B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BB044DC" w14:textId="77777777" w:rsidTr="00980493">
        <w:trPr>
          <w:trHeight w:val="192"/>
        </w:trPr>
        <w:tc>
          <w:tcPr>
            <w:tcW w:w="2972" w:type="dxa"/>
          </w:tcPr>
          <w:p w14:paraId="056C4AB5"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267AA2B9"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97" w:type="dxa"/>
          </w:tcPr>
          <w:p w14:paraId="49C16A0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C0E3C35"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51" w:type="dxa"/>
          </w:tcPr>
          <w:p w14:paraId="69287BA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11D34B9"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559" w:type="dxa"/>
          </w:tcPr>
          <w:p w14:paraId="687C82B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6082FB4" w14:textId="77777777" w:rsidTr="00980493">
        <w:trPr>
          <w:trHeight w:val="192"/>
        </w:trPr>
        <w:tc>
          <w:tcPr>
            <w:tcW w:w="2972" w:type="dxa"/>
          </w:tcPr>
          <w:p w14:paraId="044E683E"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4F01CE7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135A911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47BC08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6A95808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470056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588BCB6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031ABFB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3439B994"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Mariboru</w:t>
      </w:r>
    </w:p>
    <w:p w14:paraId="25914467" w14:textId="77777777" w:rsidR="00695AE2" w:rsidRPr="00503014" w:rsidRDefault="00695AE2" w:rsidP="00695AE2">
      <w:pPr>
        <w:spacing w:line="240" w:lineRule="auto"/>
        <w:rPr>
          <w:rFonts w:eastAsia="Calibri"/>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1CA099E3" w14:textId="77777777" w:rsidTr="00980493">
        <w:trPr>
          <w:trHeight w:val="893"/>
        </w:trPr>
        <w:tc>
          <w:tcPr>
            <w:tcW w:w="2972" w:type="dxa"/>
          </w:tcPr>
          <w:p w14:paraId="50F9E18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1D4E0E8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568F142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4A04D2D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361A590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2BD72FB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794EAA8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59F16445" w14:textId="77777777" w:rsidR="00695AE2" w:rsidRPr="00503014" w:rsidRDefault="00695AE2" w:rsidP="00980493">
            <w:pPr>
              <w:jc w:val="center"/>
              <w:rPr>
                <w:rFonts w:eastAsia="Times New Roman" w:cs="Calibri"/>
                <w:sz w:val="16"/>
                <w:szCs w:val="16"/>
              </w:rPr>
            </w:pPr>
          </w:p>
        </w:tc>
      </w:tr>
      <w:tr w:rsidR="00695AE2" w:rsidRPr="00503014" w14:paraId="516571B9" w14:textId="77777777" w:rsidTr="00980493">
        <w:trPr>
          <w:trHeight w:val="192"/>
        </w:trPr>
        <w:tc>
          <w:tcPr>
            <w:tcW w:w="2972" w:type="dxa"/>
          </w:tcPr>
          <w:p w14:paraId="583C65BE"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2018006B" w14:textId="77777777" w:rsidR="00695AE2" w:rsidRPr="00503014" w:rsidRDefault="00695AE2" w:rsidP="00980493">
            <w:pPr>
              <w:jc w:val="center"/>
              <w:rPr>
                <w:rFonts w:eastAsia="Calibri" w:cs="Calibri"/>
                <w:sz w:val="16"/>
                <w:szCs w:val="16"/>
              </w:rPr>
            </w:pPr>
            <w:r w:rsidRPr="00503014">
              <w:rPr>
                <w:rFonts w:eastAsia="Calibri" w:cs="Calibri"/>
                <w:sz w:val="16"/>
                <w:szCs w:val="16"/>
              </w:rPr>
              <w:t>99</w:t>
            </w:r>
          </w:p>
        </w:tc>
        <w:tc>
          <w:tcPr>
            <w:tcW w:w="897" w:type="dxa"/>
          </w:tcPr>
          <w:p w14:paraId="53D4CCE8" w14:textId="77777777" w:rsidR="00695AE2" w:rsidRPr="00503014" w:rsidRDefault="00695AE2" w:rsidP="00980493">
            <w:pPr>
              <w:jc w:val="center"/>
              <w:rPr>
                <w:rFonts w:eastAsia="Calibri" w:cs="Calibri"/>
                <w:sz w:val="16"/>
                <w:szCs w:val="16"/>
              </w:rPr>
            </w:pPr>
            <w:r w:rsidRPr="00503014">
              <w:rPr>
                <w:rFonts w:eastAsia="Calibri" w:cs="Calibri"/>
                <w:sz w:val="16"/>
                <w:szCs w:val="16"/>
              </w:rPr>
              <w:t>63</w:t>
            </w:r>
          </w:p>
        </w:tc>
        <w:tc>
          <w:tcPr>
            <w:tcW w:w="945" w:type="dxa"/>
          </w:tcPr>
          <w:p w14:paraId="25C5B76D" w14:textId="77777777" w:rsidR="00695AE2" w:rsidRPr="00503014" w:rsidRDefault="00695AE2" w:rsidP="00980493">
            <w:pPr>
              <w:jc w:val="center"/>
              <w:rPr>
                <w:rFonts w:eastAsia="Calibri" w:cs="Calibri"/>
                <w:sz w:val="16"/>
                <w:szCs w:val="16"/>
              </w:rPr>
            </w:pPr>
            <w:r w:rsidRPr="00503014">
              <w:rPr>
                <w:rFonts w:eastAsia="Calibri" w:cs="Calibri"/>
                <w:sz w:val="16"/>
                <w:szCs w:val="16"/>
              </w:rPr>
              <w:t>162</w:t>
            </w:r>
          </w:p>
        </w:tc>
        <w:tc>
          <w:tcPr>
            <w:tcW w:w="851" w:type="dxa"/>
          </w:tcPr>
          <w:p w14:paraId="2D1A8D97" w14:textId="77777777" w:rsidR="00695AE2" w:rsidRPr="00503014" w:rsidRDefault="00695AE2" w:rsidP="00980493">
            <w:pPr>
              <w:jc w:val="center"/>
              <w:rPr>
                <w:rFonts w:eastAsia="Calibri" w:cs="Calibri"/>
                <w:sz w:val="16"/>
                <w:szCs w:val="16"/>
              </w:rPr>
            </w:pPr>
            <w:r w:rsidRPr="00503014">
              <w:rPr>
                <w:rFonts w:eastAsia="Calibri" w:cs="Calibri"/>
                <w:sz w:val="16"/>
                <w:szCs w:val="16"/>
              </w:rPr>
              <w:t>88</w:t>
            </w:r>
          </w:p>
        </w:tc>
        <w:tc>
          <w:tcPr>
            <w:tcW w:w="1276" w:type="dxa"/>
          </w:tcPr>
          <w:p w14:paraId="6EB6AE26" w14:textId="77777777" w:rsidR="00695AE2" w:rsidRPr="00503014" w:rsidRDefault="00695AE2" w:rsidP="00980493">
            <w:pPr>
              <w:jc w:val="center"/>
              <w:rPr>
                <w:rFonts w:eastAsia="Calibri" w:cs="Calibri"/>
                <w:sz w:val="16"/>
                <w:szCs w:val="16"/>
              </w:rPr>
            </w:pPr>
            <w:r w:rsidRPr="00503014">
              <w:rPr>
                <w:rFonts w:eastAsia="Calibri" w:cs="Calibri"/>
                <w:sz w:val="16"/>
                <w:szCs w:val="16"/>
              </w:rPr>
              <w:t>74</w:t>
            </w:r>
          </w:p>
        </w:tc>
        <w:tc>
          <w:tcPr>
            <w:tcW w:w="1559" w:type="dxa"/>
          </w:tcPr>
          <w:p w14:paraId="7143CEE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812A722" w14:textId="77777777" w:rsidTr="00980493">
        <w:trPr>
          <w:trHeight w:val="179"/>
        </w:trPr>
        <w:tc>
          <w:tcPr>
            <w:tcW w:w="2972" w:type="dxa"/>
          </w:tcPr>
          <w:p w14:paraId="3BC89F26"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1A8E3F96" w14:textId="77777777" w:rsidR="00695AE2" w:rsidRPr="00503014" w:rsidRDefault="00695AE2" w:rsidP="00980493">
            <w:pPr>
              <w:jc w:val="center"/>
              <w:rPr>
                <w:rFonts w:eastAsia="Calibri" w:cs="Calibri"/>
                <w:sz w:val="16"/>
                <w:szCs w:val="16"/>
              </w:rPr>
            </w:pPr>
            <w:r w:rsidRPr="00503014">
              <w:rPr>
                <w:rFonts w:eastAsia="Calibri" w:cs="Calibri"/>
                <w:sz w:val="16"/>
                <w:szCs w:val="16"/>
              </w:rPr>
              <w:t>276</w:t>
            </w:r>
          </w:p>
        </w:tc>
        <w:tc>
          <w:tcPr>
            <w:tcW w:w="897" w:type="dxa"/>
          </w:tcPr>
          <w:p w14:paraId="5E2A1B9B" w14:textId="77777777" w:rsidR="00695AE2" w:rsidRPr="00503014" w:rsidRDefault="00695AE2" w:rsidP="00980493">
            <w:pPr>
              <w:jc w:val="center"/>
              <w:rPr>
                <w:rFonts w:eastAsia="Calibri" w:cs="Calibri"/>
                <w:sz w:val="16"/>
                <w:szCs w:val="16"/>
              </w:rPr>
            </w:pPr>
            <w:r w:rsidRPr="00503014">
              <w:rPr>
                <w:rFonts w:eastAsia="Calibri" w:cs="Calibri"/>
                <w:sz w:val="16"/>
                <w:szCs w:val="16"/>
              </w:rPr>
              <w:t>158</w:t>
            </w:r>
          </w:p>
        </w:tc>
        <w:tc>
          <w:tcPr>
            <w:tcW w:w="945" w:type="dxa"/>
          </w:tcPr>
          <w:p w14:paraId="1071F968" w14:textId="77777777" w:rsidR="00695AE2" w:rsidRPr="00503014" w:rsidRDefault="00695AE2" w:rsidP="00980493">
            <w:pPr>
              <w:jc w:val="center"/>
              <w:rPr>
                <w:rFonts w:eastAsia="Calibri" w:cs="Calibri"/>
                <w:sz w:val="16"/>
                <w:szCs w:val="16"/>
              </w:rPr>
            </w:pPr>
            <w:r w:rsidRPr="00503014">
              <w:rPr>
                <w:rFonts w:eastAsia="Calibri" w:cs="Calibri"/>
                <w:sz w:val="16"/>
                <w:szCs w:val="16"/>
              </w:rPr>
              <w:t>434</w:t>
            </w:r>
          </w:p>
        </w:tc>
        <w:tc>
          <w:tcPr>
            <w:tcW w:w="851" w:type="dxa"/>
          </w:tcPr>
          <w:p w14:paraId="7F79B410" w14:textId="77777777" w:rsidR="00695AE2" w:rsidRPr="00503014" w:rsidRDefault="00695AE2" w:rsidP="00980493">
            <w:pPr>
              <w:jc w:val="center"/>
              <w:rPr>
                <w:rFonts w:eastAsia="Calibri" w:cs="Calibri"/>
                <w:sz w:val="16"/>
                <w:szCs w:val="16"/>
              </w:rPr>
            </w:pPr>
            <w:r w:rsidRPr="00503014">
              <w:rPr>
                <w:rFonts w:eastAsia="Calibri" w:cs="Calibri"/>
                <w:sz w:val="16"/>
                <w:szCs w:val="16"/>
              </w:rPr>
              <w:t>335</w:t>
            </w:r>
          </w:p>
        </w:tc>
        <w:tc>
          <w:tcPr>
            <w:tcW w:w="1276" w:type="dxa"/>
          </w:tcPr>
          <w:p w14:paraId="7AFDCD3C" w14:textId="77777777" w:rsidR="00695AE2" w:rsidRPr="00503014" w:rsidRDefault="00695AE2" w:rsidP="00980493">
            <w:pPr>
              <w:jc w:val="center"/>
              <w:rPr>
                <w:rFonts w:eastAsia="Calibri" w:cs="Calibri"/>
                <w:sz w:val="16"/>
                <w:szCs w:val="16"/>
              </w:rPr>
            </w:pPr>
            <w:r w:rsidRPr="00503014">
              <w:rPr>
                <w:rFonts w:eastAsia="Calibri" w:cs="Calibri"/>
                <w:sz w:val="16"/>
                <w:szCs w:val="16"/>
              </w:rPr>
              <w:t>99</w:t>
            </w:r>
          </w:p>
        </w:tc>
        <w:tc>
          <w:tcPr>
            <w:tcW w:w="1559" w:type="dxa"/>
          </w:tcPr>
          <w:p w14:paraId="75B767B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4A1116A" w14:textId="77777777" w:rsidTr="00980493">
        <w:trPr>
          <w:trHeight w:val="192"/>
        </w:trPr>
        <w:tc>
          <w:tcPr>
            <w:tcW w:w="2972" w:type="dxa"/>
          </w:tcPr>
          <w:p w14:paraId="1EA27A20"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5A33EEF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1564908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E08F6A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48EBA20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12B3272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DF1E9B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2671D6E" w14:textId="77777777" w:rsidTr="00980493">
        <w:trPr>
          <w:trHeight w:val="179"/>
        </w:trPr>
        <w:tc>
          <w:tcPr>
            <w:tcW w:w="2972" w:type="dxa"/>
          </w:tcPr>
          <w:p w14:paraId="7225DEDB"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31E35F1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7AC4903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1DD35B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E61ABA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40221A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0D18EFB"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C659AEC" w14:textId="77777777" w:rsidTr="00980493">
        <w:trPr>
          <w:trHeight w:val="192"/>
        </w:trPr>
        <w:tc>
          <w:tcPr>
            <w:tcW w:w="2972" w:type="dxa"/>
          </w:tcPr>
          <w:p w14:paraId="28E0F488"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5911CAA4"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97" w:type="dxa"/>
          </w:tcPr>
          <w:p w14:paraId="1A97C920" w14:textId="77777777" w:rsidR="00695AE2" w:rsidRPr="00503014" w:rsidRDefault="00695AE2" w:rsidP="00980493">
            <w:pPr>
              <w:jc w:val="center"/>
              <w:rPr>
                <w:rFonts w:eastAsia="Calibri" w:cs="Calibri"/>
                <w:sz w:val="16"/>
                <w:szCs w:val="16"/>
              </w:rPr>
            </w:pPr>
            <w:r w:rsidRPr="00503014">
              <w:rPr>
                <w:rFonts w:eastAsia="Calibri" w:cs="Calibri"/>
                <w:sz w:val="16"/>
                <w:szCs w:val="16"/>
              </w:rPr>
              <w:t>8</w:t>
            </w:r>
          </w:p>
        </w:tc>
        <w:tc>
          <w:tcPr>
            <w:tcW w:w="945" w:type="dxa"/>
          </w:tcPr>
          <w:p w14:paraId="4C0B9868" w14:textId="77777777" w:rsidR="00695AE2" w:rsidRPr="00503014" w:rsidRDefault="00695AE2" w:rsidP="00980493">
            <w:pPr>
              <w:jc w:val="center"/>
              <w:rPr>
                <w:rFonts w:eastAsia="Calibri" w:cs="Calibri"/>
                <w:sz w:val="16"/>
                <w:szCs w:val="16"/>
              </w:rPr>
            </w:pPr>
            <w:r w:rsidRPr="00503014">
              <w:rPr>
                <w:rFonts w:eastAsia="Calibri" w:cs="Calibri"/>
                <w:sz w:val="16"/>
                <w:szCs w:val="16"/>
              </w:rPr>
              <w:t>10</w:t>
            </w:r>
          </w:p>
        </w:tc>
        <w:tc>
          <w:tcPr>
            <w:tcW w:w="851" w:type="dxa"/>
          </w:tcPr>
          <w:p w14:paraId="73E2A811" w14:textId="77777777" w:rsidR="00695AE2" w:rsidRPr="00503014" w:rsidRDefault="00695AE2" w:rsidP="00980493">
            <w:pPr>
              <w:jc w:val="center"/>
              <w:rPr>
                <w:rFonts w:eastAsia="Calibri" w:cs="Calibri"/>
                <w:sz w:val="16"/>
                <w:szCs w:val="16"/>
              </w:rPr>
            </w:pPr>
            <w:r w:rsidRPr="00503014">
              <w:rPr>
                <w:rFonts w:eastAsia="Calibri" w:cs="Calibri"/>
                <w:sz w:val="16"/>
                <w:szCs w:val="16"/>
              </w:rPr>
              <w:t>9</w:t>
            </w:r>
          </w:p>
        </w:tc>
        <w:tc>
          <w:tcPr>
            <w:tcW w:w="1276" w:type="dxa"/>
          </w:tcPr>
          <w:p w14:paraId="59568FA8"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559" w:type="dxa"/>
          </w:tcPr>
          <w:p w14:paraId="68D2070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AF3523C" w14:textId="77777777" w:rsidTr="00980493">
        <w:trPr>
          <w:trHeight w:val="179"/>
        </w:trPr>
        <w:tc>
          <w:tcPr>
            <w:tcW w:w="2972" w:type="dxa"/>
          </w:tcPr>
          <w:p w14:paraId="40F52CB8"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18C178A5"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97" w:type="dxa"/>
          </w:tcPr>
          <w:p w14:paraId="513E17B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56200BFD"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51" w:type="dxa"/>
          </w:tcPr>
          <w:p w14:paraId="2678BA36"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008C602B"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559" w:type="dxa"/>
          </w:tcPr>
          <w:p w14:paraId="24520E1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291D2DD" w14:textId="77777777" w:rsidTr="00980493">
        <w:trPr>
          <w:trHeight w:val="192"/>
        </w:trPr>
        <w:tc>
          <w:tcPr>
            <w:tcW w:w="2972" w:type="dxa"/>
          </w:tcPr>
          <w:p w14:paraId="63A6B0E2"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0CDCB1AF" w14:textId="77777777" w:rsidR="00695AE2" w:rsidRPr="00503014" w:rsidRDefault="00695AE2" w:rsidP="00980493">
            <w:pPr>
              <w:jc w:val="center"/>
              <w:rPr>
                <w:rFonts w:eastAsia="Calibri" w:cs="Calibri"/>
                <w:sz w:val="16"/>
                <w:szCs w:val="16"/>
              </w:rPr>
            </w:pPr>
            <w:r w:rsidRPr="00503014">
              <w:rPr>
                <w:rFonts w:eastAsia="Calibri" w:cs="Calibri"/>
                <w:sz w:val="16"/>
                <w:szCs w:val="16"/>
              </w:rPr>
              <w:t>1.113</w:t>
            </w:r>
          </w:p>
        </w:tc>
        <w:tc>
          <w:tcPr>
            <w:tcW w:w="897" w:type="dxa"/>
          </w:tcPr>
          <w:p w14:paraId="0999496A" w14:textId="77777777" w:rsidR="00695AE2" w:rsidRPr="00503014" w:rsidRDefault="00695AE2" w:rsidP="00980493">
            <w:pPr>
              <w:jc w:val="center"/>
              <w:rPr>
                <w:rFonts w:eastAsia="Calibri" w:cs="Calibri"/>
                <w:sz w:val="16"/>
                <w:szCs w:val="16"/>
              </w:rPr>
            </w:pPr>
            <w:r w:rsidRPr="00503014">
              <w:rPr>
                <w:rFonts w:eastAsia="Calibri" w:cs="Calibri"/>
                <w:sz w:val="16"/>
                <w:szCs w:val="16"/>
              </w:rPr>
              <w:t>729</w:t>
            </w:r>
          </w:p>
        </w:tc>
        <w:tc>
          <w:tcPr>
            <w:tcW w:w="945" w:type="dxa"/>
          </w:tcPr>
          <w:p w14:paraId="58A21BE2" w14:textId="77777777" w:rsidR="00695AE2" w:rsidRPr="00503014" w:rsidRDefault="00695AE2" w:rsidP="00980493">
            <w:pPr>
              <w:jc w:val="center"/>
              <w:rPr>
                <w:rFonts w:eastAsia="Calibri" w:cs="Calibri"/>
                <w:sz w:val="16"/>
                <w:szCs w:val="16"/>
              </w:rPr>
            </w:pPr>
            <w:r w:rsidRPr="00503014">
              <w:rPr>
                <w:rFonts w:eastAsia="Calibri" w:cs="Calibri"/>
                <w:sz w:val="16"/>
                <w:szCs w:val="16"/>
              </w:rPr>
              <w:t>1.842</w:t>
            </w:r>
          </w:p>
        </w:tc>
        <w:tc>
          <w:tcPr>
            <w:tcW w:w="851" w:type="dxa"/>
          </w:tcPr>
          <w:p w14:paraId="5E1485AA" w14:textId="77777777" w:rsidR="00695AE2" w:rsidRPr="00503014" w:rsidRDefault="00695AE2" w:rsidP="00980493">
            <w:pPr>
              <w:jc w:val="center"/>
              <w:rPr>
                <w:rFonts w:eastAsia="Calibri" w:cs="Calibri"/>
                <w:sz w:val="16"/>
                <w:szCs w:val="16"/>
              </w:rPr>
            </w:pPr>
            <w:r w:rsidRPr="00503014">
              <w:rPr>
                <w:rFonts w:eastAsia="Calibri" w:cs="Calibri"/>
                <w:sz w:val="16"/>
                <w:szCs w:val="16"/>
              </w:rPr>
              <w:t>841</w:t>
            </w:r>
          </w:p>
        </w:tc>
        <w:tc>
          <w:tcPr>
            <w:tcW w:w="1276" w:type="dxa"/>
          </w:tcPr>
          <w:p w14:paraId="5458BF6C" w14:textId="77777777" w:rsidR="00695AE2" w:rsidRPr="00503014" w:rsidRDefault="00695AE2" w:rsidP="00980493">
            <w:pPr>
              <w:jc w:val="center"/>
              <w:rPr>
                <w:rFonts w:eastAsia="Calibri" w:cs="Calibri"/>
                <w:sz w:val="16"/>
                <w:szCs w:val="16"/>
              </w:rPr>
            </w:pPr>
            <w:r w:rsidRPr="00503014">
              <w:rPr>
                <w:rFonts w:eastAsia="Calibri" w:cs="Calibri"/>
                <w:sz w:val="16"/>
                <w:szCs w:val="16"/>
              </w:rPr>
              <w:t>1.001</w:t>
            </w:r>
          </w:p>
        </w:tc>
        <w:tc>
          <w:tcPr>
            <w:tcW w:w="1559" w:type="dxa"/>
          </w:tcPr>
          <w:p w14:paraId="6BB464F4"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953CCA2" w14:textId="77777777" w:rsidTr="00980493">
        <w:trPr>
          <w:trHeight w:val="192"/>
        </w:trPr>
        <w:tc>
          <w:tcPr>
            <w:tcW w:w="2972" w:type="dxa"/>
          </w:tcPr>
          <w:p w14:paraId="2F532341"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237C4C95" w14:textId="77777777" w:rsidR="00695AE2" w:rsidRPr="00503014" w:rsidRDefault="00695AE2" w:rsidP="00980493">
            <w:pPr>
              <w:jc w:val="center"/>
              <w:rPr>
                <w:rFonts w:eastAsia="Calibri" w:cs="Calibri"/>
                <w:sz w:val="16"/>
                <w:szCs w:val="16"/>
              </w:rPr>
            </w:pPr>
            <w:r w:rsidRPr="00503014">
              <w:rPr>
                <w:rFonts w:eastAsia="Calibri" w:cs="Calibri"/>
                <w:sz w:val="16"/>
                <w:szCs w:val="16"/>
              </w:rPr>
              <w:t>1.583</w:t>
            </w:r>
          </w:p>
          <w:p w14:paraId="7292C40C" w14:textId="77777777" w:rsidR="00695AE2" w:rsidRPr="00503014" w:rsidRDefault="00695AE2" w:rsidP="00980493">
            <w:pPr>
              <w:jc w:val="center"/>
              <w:rPr>
                <w:rFonts w:eastAsia="Calibri" w:cs="Calibri"/>
                <w:sz w:val="16"/>
                <w:szCs w:val="16"/>
              </w:rPr>
            </w:pPr>
          </w:p>
        </w:tc>
        <w:tc>
          <w:tcPr>
            <w:tcW w:w="897" w:type="dxa"/>
          </w:tcPr>
          <w:p w14:paraId="0377EAFD" w14:textId="77777777" w:rsidR="00695AE2" w:rsidRPr="00503014" w:rsidRDefault="00695AE2" w:rsidP="00980493">
            <w:pPr>
              <w:jc w:val="center"/>
              <w:rPr>
                <w:rFonts w:eastAsia="Calibri" w:cs="Calibri"/>
                <w:sz w:val="16"/>
                <w:szCs w:val="16"/>
              </w:rPr>
            </w:pPr>
            <w:r w:rsidRPr="00503014">
              <w:rPr>
                <w:rFonts w:eastAsia="Calibri" w:cs="Calibri"/>
                <w:sz w:val="16"/>
                <w:szCs w:val="16"/>
              </w:rPr>
              <w:t>864</w:t>
            </w:r>
          </w:p>
        </w:tc>
        <w:tc>
          <w:tcPr>
            <w:tcW w:w="945" w:type="dxa"/>
          </w:tcPr>
          <w:p w14:paraId="2A7E8B4F" w14:textId="77777777" w:rsidR="00695AE2" w:rsidRPr="00503014" w:rsidRDefault="00695AE2" w:rsidP="00980493">
            <w:pPr>
              <w:jc w:val="center"/>
              <w:rPr>
                <w:rFonts w:eastAsia="Calibri" w:cs="Calibri"/>
                <w:sz w:val="16"/>
                <w:szCs w:val="16"/>
              </w:rPr>
            </w:pPr>
            <w:r w:rsidRPr="00503014">
              <w:rPr>
                <w:rFonts w:eastAsia="Calibri" w:cs="Calibri"/>
                <w:sz w:val="16"/>
                <w:szCs w:val="16"/>
              </w:rPr>
              <w:t>2.447</w:t>
            </w:r>
          </w:p>
        </w:tc>
        <w:tc>
          <w:tcPr>
            <w:tcW w:w="851" w:type="dxa"/>
          </w:tcPr>
          <w:p w14:paraId="53B30D4C" w14:textId="77777777" w:rsidR="00695AE2" w:rsidRPr="00503014" w:rsidRDefault="00695AE2" w:rsidP="00980493">
            <w:pPr>
              <w:jc w:val="center"/>
              <w:rPr>
                <w:rFonts w:eastAsia="Calibri" w:cs="Calibri"/>
                <w:sz w:val="16"/>
                <w:szCs w:val="16"/>
              </w:rPr>
            </w:pPr>
            <w:r w:rsidRPr="00503014">
              <w:rPr>
                <w:rFonts w:eastAsia="Calibri" w:cs="Calibri"/>
                <w:sz w:val="16"/>
                <w:szCs w:val="16"/>
              </w:rPr>
              <w:t>882</w:t>
            </w:r>
          </w:p>
        </w:tc>
        <w:tc>
          <w:tcPr>
            <w:tcW w:w="1276" w:type="dxa"/>
          </w:tcPr>
          <w:p w14:paraId="1711EDE9" w14:textId="77777777" w:rsidR="00695AE2" w:rsidRPr="00503014" w:rsidRDefault="00695AE2" w:rsidP="00980493">
            <w:pPr>
              <w:jc w:val="center"/>
              <w:rPr>
                <w:rFonts w:eastAsia="Calibri" w:cs="Calibri"/>
                <w:sz w:val="16"/>
                <w:szCs w:val="16"/>
              </w:rPr>
            </w:pPr>
            <w:r w:rsidRPr="00503014">
              <w:rPr>
                <w:rFonts w:eastAsia="Calibri" w:cs="Calibri"/>
                <w:sz w:val="16"/>
                <w:szCs w:val="16"/>
              </w:rPr>
              <w:t>1.565</w:t>
            </w:r>
          </w:p>
        </w:tc>
        <w:tc>
          <w:tcPr>
            <w:tcW w:w="1559" w:type="dxa"/>
          </w:tcPr>
          <w:p w14:paraId="25E0BA3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45AF1C4" w14:textId="77777777" w:rsidTr="00980493">
        <w:trPr>
          <w:trHeight w:val="192"/>
        </w:trPr>
        <w:tc>
          <w:tcPr>
            <w:tcW w:w="2972" w:type="dxa"/>
          </w:tcPr>
          <w:p w14:paraId="5EDE2CBB"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0C66DF86" w14:textId="77777777" w:rsidR="00695AE2" w:rsidRPr="00503014" w:rsidRDefault="00695AE2" w:rsidP="00980493">
            <w:pPr>
              <w:jc w:val="center"/>
              <w:rPr>
                <w:rFonts w:eastAsia="Calibri" w:cs="Calibri"/>
                <w:sz w:val="16"/>
                <w:szCs w:val="16"/>
              </w:rPr>
            </w:pPr>
            <w:r w:rsidRPr="00503014">
              <w:rPr>
                <w:rFonts w:eastAsia="Calibri" w:cs="Calibri"/>
                <w:sz w:val="16"/>
                <w:szCs w:val="16"/>
              </w:rPr>
              <w:t>802</w:t>
            </w:r>
          </w:p>
        </w:tc>
        <w:tc>
          <w:tcPr>
            <w:tcW w:w="897" w:type="dxa"/>
          </w:tcPr>
          <w:p w14:paraId="6199C622" w14:textId="77777777" w:rsidR="00695AE2" w:rsidRPr="00503014" w:rsidRDefault="00695AE2" w:rsidP="00980493">
            <w:pPr>
              <w:jc w:val="center"/>
              <w:rPr>
                <w:rFonts w:eastAsia="Calibri" w:cs="Calibri"/>
                <w:sz w:val="16"/>
                <w:szCs w:val="16"/>
              </w:rPr>
            </w:pPr>
            <w:r w:rsidRPr="00503014">
              <w:rPr>
                <w:rFonts w:eastAsia="Calibri" w:cs="Calibri"/>
                <w:sz w:val="16"/>
                <w:szCs w:val="16"/>
              </w:rPr>
              <w:t>2.000</w:t>
            </w:r>
          </w:p>
        </w:tc>
        <w:tc>
          <w:tcPr>
            <w:tcW w:w="945" w:type="dxa"/>
          </w:tcPr>
          <w:p w14:paraId="6352F7DE" w14:textId="77777777" w:rsidR="00695AE2" w:rsidRPr="00503014" w:rsidRDefault="00695AE2" w:rsidP="00980493">
            <w:pPr>
              <w:jc w:val="center"/>
              <w:rPr>
                <w:rFonts w:eastAsia="Calibri" w:cs="Calibri"/>
                <w:sz w:val="16"/>
                <w:szCs w:val="16"/>
              </w:rPr>
            </w:pPr>
            <w:r w:rsidRPr="00503014">
              <w:rPr>
                <w:rFonts w:eastAsia="Calibri" w:cs="Calibri"/>
                <w:sz w:val="16"/>
                <w:szCs w:val="16"/>
              </w:rPr>
              <w:t>2.802</w:t>
            </w:r>
          </w:p>
        </w:tc>
        <w:tc>
          <w:tcPr>
            <w:tcW w:w="851" w:type="dxa"/>
          </w:tcPr>
          <w:p w14:paraId="00FBE09C" w14:textId="77777777" w:rsidR="00695AE2" w:rsidRPr="00503014" w:rsidRDefault="00695AE2" w:rsidP="00980493">
            <w:pPr>
              <w:jc w:val="center"/>
              <w:rPr>
                <w:rFonts w:eastAsia="Calibri" w:cs="Calibri"/>
                <w:sz w:val="16"/>
                <w:szCs w:val="16"/>
              </w:rPr>
            </w:pPr>
            <w:r w:rsidRPr="00503014">
              <w:rPr>
                <w:rFonts w:eastAsia="Calibri" w:cs="Calibri"/>
                <w:sz w:val="16"/>
                <w:szCs w:val="16"/>
              </w:rPr>
              <w:t>2.038</w:t>
            </w:r>
          </w:p>
        </w:tc>
        <w:tc>
          <w:tcPr>
            <w:tcW w:w="1276" w:type="dxa"/>
          </w:tcPr>
          <w:p w14:paraId="59E475CB" w14:textId="77777777" w:rsidR="00695AE2" w:rsidRPr="00503014" w:rsidRDefault="00695AE2" w:rsidP="00980493">
            <w:pPr>
              <w:jc w:val="center"/>
              <w:rPr>
                <w:rFonts w:eastAsia="Calibri" w:cs="Calibri"/>
                <w:sz w:val="16"/>
                <w:szCs w:val="16"/>
              </w:rPr>
            </w:pPr>
            <w:r w:rsidRPr="00503014">
              <w:rPr>
                <w:rFonts w:eastAsia="Calibri" w:cs="Calibri"/>
                <w:sz w:val="16"/>
                <w:szCs w:val="16"/>
              </w:rPr>
              <w:t>764</w:t>
            </w:r>
          </w:p>
        </w:tc>
        <w:tc>
          <w:tcPr>
            <w:tcW w:w="1559" w:type="dxa"/>
          </w:tcPr>
          <w:p w14:paraId="2C87E4A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F2ABDC8" w14:textId="77777777" w:rsidTr="00980493">
        <w:trPr>
          <w:trHeight w:val="192"/>
        </w:trPr>
        <w:tc>
          <w:tcPr>
            <w:tcW w:w="2972" w:type="dxa"/>
          </w:tcPr>
          <w:p w14:paraId="5FF9E104"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103A3730" w14:textId="77777777" w:rsidR="00695AE2" w:rsidRPr="00503014" w:rsidRDefault="00695AE2" w:rsidP="00980493">
            <w:pPr>
              <w:jc w:val="center"/>
              <w:rPr>
                <w:rFonts w:eastAsia="Calibri" w:cs="Calibri"/>
                <w:sz w:val="16"/>
                <w:szCs w:val="16"/>
              </w:rPr>
            </w:pPr>
            <w:r w:rsidRPr="00503014">
              <w:rPr>
                <w:rFonts w:eastAsia="Calibri" w:cs="Calibri"/>
                <w:sz w:val="16"/>
                <w:szCs w:val="16"/>
              </w:rPr>
              <w:t>93</w:t>
            </w:r>
          </w:p>
        </w:tc>
        <w:tc>
          <w:tcPr>
            <w:tcW w:w="897" w:type="dxa"/>
          </w:tcPr>
          <w:p w14:paraId="2463F306" w14:textId="77777777" w:rsidR="00695AE2" w:rsidRPr="00503014" w:rsidRDefault="00695AE2" w:rsidP="00980493">
            <w:pPr>
              <w:jc w:val="center"/>
              <w:rPr>
                <w:rFonts w:eastAsia="Calibri" w:cs="Calibri"/>
                <w:sz w:val="16"/>
                <w:szCs w:val="16"/>
              </w:rPr>
            </w:pPr>
            <w:r w:rsidRPr="00503014">
              <w:rPr>
                <w:rFonts w:eastAsia="Calibri" w:cs="Calibri"/>
                <w:sz w:val="16"/>
                <w:szCs w:val="16"/>
              </w:rPr>
              <w:t>47</w:t>
            </w:r>
          </w:p>
        </w:tc>
        <w:tc>
          <w:tcPr>
            <w:tcW w:w="945" w:type="dxa"/>
          </w:tcPr>
          <w:p w14:paraId="296EE4B4" w14:textId="77777777" w:rsidR="00695AE2" w:rsidRPr="00503014" w:rsidRDefault="00695AE2" w:rsidP="00980493">
            <w:pPr>
              <w:jc w:val="center"/>
              <w:rPr>
                <w:rFonts w:eastAsia="Calibri" w:cs="Calibri"/>
                <w:sz w:val="16"/>
                <w:szCs w:val="16"/>
              </w:rPr>
            </w:pPr>
            <w:r w:rsidRPr="00503014">
              <w:rPr>
                <w:rFonts w:eastAsia="Calibri" w:cs="Calibri"/>
                <w:sz w:val="16"/>
                <w:szCs w:val="16"/>
              </w:rPr>
              <w:t>140</w:t>
            </w:r>
          </w:p>
        </w:tc>
        <w:tc>
          <w:tcPr>
            <w:tcW w:w="851" w:type="dxa"/>
          </w:tcPr>
          <w:p w14:paraId="1E4897B9" w14:textId="77777777" w:rsidR="00695AE2" w:rsidRPr="00503014" w:rsidRDefault="00695AE2" w:rsidP="00980493">
            <w:pPr>
              <w:jc w:val="center"/>
              <w:rPr>
                <w:rFonts w:eastAsia="Calibri" w:cs="Calibri"/>
                <w:sz w:val="16"/>
                <w:szCs w:val="16"/>
              </w:rPr>
            </w:pPr>
            <w:r w:rsidRPr="00503014">
              <w:rPr>
                <w:rFonts w:eastAsia="Calibri" w:cs="Calibri"/>
                <w:sz w:val="16"/>
                <w:szCs w:val="16"/>
              </w:rPr>
              <w:t>79</w:t>
            </w:r>
          </w:p>
        </w:tc>
        <w:tc>
          <w:tcPr>
            <w:tcW w:w="1276" w:type="dxa"/>
          </w:tcPr>
          <w:p w14:paraId="61F14EE0" w14:textId="77777777" w:rsidR="00695AE2" w:rsidRPr="00503014" w:rsidRDefault="00695AE2" w:rsidP="00980493">
            <w:pPr>
              <w:jc w:val="center"/>
              <w:rPr>
                <w:rFonts w:eastAsia="Calibri" w:cs="Calibri"/>
                <w:sz w:val="16"/>
                <w:szCs w:val="16"/>
              </w:rPr>
            </w:pPr>
            <w:r w:rsidRPr="00503014">
              <w:rPr>
                <w:rFonts w:eastAsia="Calibri" w:cs="Calibri"/>
                <w:sz w:val="16"/>
                <w:szCs w:val="16"/>
              </w:rPr>
              <w:t>61</w:t>
            </w:r>
          </w:p>
        </w:tc>
        <w:tc>
          <w:tcPr>
            <w:tcW w:w="1559" w:type="dxa"/>
          </w:tcPr>
          <w:p w14:paraId="016BC9D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CF2885D" w14:textId="77777777" w:rsidTr="00980493">
        <w:trPr>
          <w:trHeight w:val="192"/>
        </w:trPr>
        <w:tc>
          <w:tcPr>
            <w:tcW w:w="2972" w:type="dxa"/>
          </w:tcPr>
          <w:p w14:paraId="45BF6D7C" w14:textId="77777777" w:rsidR="00695AE2" w:rsidRPr="00503014" w:rsidRDefault="00695AE2" w:rsidP="00980493">
            <w:pPr>
              <w:rPr>
                <w:rFonts w:eastAsia="Calibri" w:cs="Calibri"/>
                <w:sz w:val="16"/>
                <w:szCs w:val="16"/>
              </w:rPr>
            </w:pPr>
            <w:r w:rsidRPr="00503014">
              <w:rPr>
                <w:rFonts w:eastAsia="Calibri" w:cs="Calibri"/>
                <w:sz w:val="16"/>
                <w:szCs w:val="16"/>
              </w:rPr>
              <w:lastRenderedPageBreak/>
              <w:t>upravne zadeve</w:t>
            </w:r>
          </w:p>
        </w:tc>
        <w:tc>
          <w:tcPr>
            <w:tcW w:w="1418" w:type="dxa"/>
          </w:tcPr>
          <w:p w14:paraId="5BD80C7E" w14:textId="77777777" w:rsidR="00695AE2" w:rsidRPr="00503014" w:rsidRDefault="00695AE2" w:rsidP="00980493">
            <w:pPr>
              <w:jc w:val="center"/>
              <w:rPr>
                <w:rFonts w:eastAsia="Calibri" w:cs="Calibri"/>
                <w:sz w:val="16"/>
                <w:szCs w:val="16"/>
              </w:rPr>
            </w:pPr>
            <w:r w:rsidRPr="00503014">
              <w:rPr>
                <w:rFonts w:eastAsia="Calibri" w:cs="Calibri"/>
                <w:sz w:val="16"/>
                <w:szCs w:val="16"/>
              </w:rPr>
              <w:t>32</w:t>
            </w:r>
          </w:p>
        </w:tc>
        <w:tc>
          <w:tcPr>
            <w:tcW w:w="897" w:type="dxa"/>
          </w:tcPr>
          <w:p w14:paraId="0A642939" w14:textId="77777777" w:rsidR="00695AE2" w:rsidRPr="00503014" w:rsidRDefault="00695AE2" w:rsidP="00980493">
            <w:pPr>
              <w:jc w:val="center"/>
              <w:rPr>
                <w:rFonts w:eastAsia="Calibri" w:cs="Calibri"/>
                <w:sz w:val="16"/>
                <w:szCs w:val="16"/>
              </w:rPr>
            </w:pPr>
            <w:r w:rsidRPr="00503014">
              <w:rPr>
                <w:rFonts w:eastAsia="Calibri" w:cs="Calibri"/>
                <w:sz w:val="16"/>
                <w:szCs w:val="16"/>
              </w:rPr>
              <w:t>2.901</w:t>
            </w:r>
          </w:p>
        </w:tc>
        <w:tc>
          <w:tcPr>
            <w:tcW w:w="945" w:type="dxa"/>
          </w:tcPr>
          <w:p w14:paraId="3F8E3551" w14:textId="77777777" w:rsidR="00695AE2" w:rsidRPr="00503014" w:rsidRDefault="00695AE2" w:rsidP="00980493">
            <w:pPr>
              <w:jc w:val="center"/>
              <w:rPr>
                <w:rFonts w:eastAsia="Calibri" w:cs="Calibri"/>
                <w:sz w:val="16"/>
                <w:szCs w:val="16"/>
              </w:rPr>
            </w:pPr>
            <w:r w:rsidRPr="00503014">
              <w:rPr>
                <w:rFonts w:eastAsia="Calibri" w:cs="Calibri"/>
                <w:sz w:val="16"/>
                <w:szCs w:val="16"/>
              </w:rPr>
              <w:t>2.933</w:t>
            </w:r>
          </w:p>
        </w:tc>
        <w:tc>
          <w:tcPr>
            <w:tcW w:w="851" w:type="dxa"/>
          </w:tcPr>
          <w:p w14:paraId="4DA03473" w14:textId="77777777" w:rsidR="00695AE2" w:rsidRPr="00503014" w:rsidRDefault="00695AE2" w:rsidP="00980493">
            <w:pPr>
              <w:jc w:val="center"/>
              <w:rPr>
                <w:rFonts w:eastAsia="Calibri" w:cs="Calibri"/>
                <w:sz w:val="16"/>
                <w:szCs w:val="16"/>
              </w:rPr>
            </w:pPr>
            <w:r w:rsidRPr="00503014">
              <w:rPr>
                <w:rFonts w:eastAsia="Calibri" w:cs="Calibri"/>
                <w:sz w:val="16"/>
                <w:szCs w:val="16"/>
              </w:rPr>
              <w:t>2.826</w:t>
            </w:r>
          </w:p>
        </w:tc>
        <w:tc>
          <w:tcPr>
            <w:tcW w:w="1276" w:type="dxa"/>
          </w:tcPr>
          <w:p w14:paraId="1608F952" w14:textId="77777777" w:rsidR="00695AE2" w:rsidRPr="00503014" w:rsidRDefault="00695AE2" w:rsidP="00980493">
            <w:pPr>
              <w:jc w:val="center"/>
              <w:rPr>
                <w:rFonts w:eastAsia="Calibri" w:cs="Calibri"/>
                <w:sz w:val="16"/>
                <w:szCs w:val="16"/>
              </w:rPr>
            </w:pPr>
            <w:r w:rsidRPr="00503014">
              <w:rPr>
                <w:rFonts w:eastAsia="Calibri" w:cs="Calibri"/>
                <w:sz w:val="16"/>
                <w:szCs w:val="16"/>
              </w:rPr>
              <w:t>107</w:t>
            </w:r>
          </w:p>
        </w:tc>
        <w:tc>
          <w:tcPr>
            <w:tcW w:w="1559" w:type="dxa"/>
          </w:tcPr>
          <w:p w14:paraId="7151749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B42171C" w14:textId="77777777" w:rsidTr="00980493">
        <w:trPr>
          <w:trHeight w:val="192"/>
        </w:trPr>
        <w:tc>
          <w:tcPr>
            <w:tcW w:w="2972" w:type="dxa"/>
          </w:tcPr>
          <w:p w14:paraId="5F664AF3"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72562D15" w14:textId="77777777" w:rsidR="00695AE2" w:rsidRPr="00503014" w:rsidRDefault="00695AE2" w:rsidP="00980493">
            <w:pPr>
              <w:jc w:val="center"/>
              <w:rPr>
                <w:rFonts w:eastAsia="Calibri" w:cs="Calibri"/>
                <w:sz w:val="16"/>
                <w:szCs w:val="16"/>
              </w:rPr>
            </w:pPr>
            <w:r w:rsidRPr="00503014">
              <w:rPr>
                <w:rFonts w:eastAsia="Calibri" w:cs="Calibri"/>
                <w:sz w:val="16"/>
                <w:szCs w:val="16"/>
              </w:rPr>
              <w:t>4</w:t>
            </w:r>
          </w:p>
        </w:tc>
        <w:tc>
          <w:tcPr>
            <w:tcW w:w="897" w:type="dxa"/>
          </w:tcPr>
          <w:p w14:paraId="6F0C728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B931856" w14:textId="77777777" w:rsidR="00695AE2" w:rsidRPr="00503014" w:rsidRDefault="00695AE2" w:rsidP="00980493">
            <w:pPr>
              <w:jc w:val="center"/>
              <w:rPr>
                <w:rFonts w:eastAsia="Calibri" w:cs="Calibri"/>
                <w:sz w:val="16"/>
                <w:szCs w:val="16"/>
              </w:rPr>
            </w:pPr>
            <w:r w:rsidRPr="00503014">
              <w:rPr>
                <w:rFonts w:eastAsia="Calibri" w:cs="Calibri"/>
                <w:sz w:val="16"/>
                <w:szCs w:val="16"/>
              </w:rPr>
              <w:t>4</w:t>
            </w:r>
          </w:p>
        </w:tc>
        <w:tc>
          <w:tcPr>
            <w:tcW w:w="851" w:type="dxa"/>
          </w:tcPr>
          <w:p w14:paraId="65196CFD"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1B770645"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1559" w:type="dxa"/>
          </w:tcPr>
          <w:p w14:paraId="40384F2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1AE6FDE" w14:textId="77777777" w:rsidTr="00980493">
        <w:trPr>
          <w:trHeight w:val="58"/>
        </w:trPr>
        <w:tc>
          <w:tcPr>
            <w:tcW w:w="2972" w:type="dxa"/>
          </w:tcPr>
          <w:p w14:paraId="417D7BFE"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060A8B8E"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97" w:type="dxa"/>
          </w:tcPr>
          <w:p w14:paraId="5D98769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3D0B4F6F"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51" w:type="dxa"/>
          </w:tcPr>
          <w:p w14:paraId="75F32C7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CFDB497"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559" w:type="dxa"/>
          </w:tcPr>
          <w:p w14:paraId="7C05B2EF"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A3FB601" w14:textId="77777777" w:rsidTr="00980493">
        <w:trPr>
          <w:trHeight w:val="192"/>
        </w:trPr>
        <w:tc>
          <w:tcPr>
            <w:tcW w:w="2972" w:type="dxa"/>
          </w:tcPr>
          <w:p w14:paraId="1C0640A3"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36EA6E6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5A9A574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E144F2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1C2CB89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AB2992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30A94EC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2936276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1D9312A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Murski Soboti</w:t>
      </w:r>
    </w:p>
    <w:p w14:paraId="2E3F8841" w14:textId="77777777" w:rsidR="00695AE2" w:rsidRPr="00503014" w:rsidRDefault="00695AE2" w:rsidP="00695AE2">
      <w:pPr>
        <w:spacing w:line="240" w:lineRule="auto"/>
        <w:rPr>
          <w:rFonts w:eastAsia="Calibri"/>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23F42B8F" w14:textId="77777777" w:rsidTr="00980493">
        <w:trPr>
          <w:trHeight w:val="889"/>
        </w:trPr>
        <w:tc>
          <w:tcPr>
            <w:tcW w:w="2972" w:type="dxa"/>
          </w:tcPr>
          <w:p w14:paraId="565AFB8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7B715D8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471E40A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6EA28E6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6D3DA91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718C762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349D82D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19B0853D" w14:textId="77777777" w:rsidR="00695AE2" w:rsidRPr="00503014" w:rsidRDefault="00695AE2" w:rsidP="00980493">
            <w:pPr>
              <w:jc w:val="center"/>
              <w:rPr>
                <w:rFonts w:eastAsia="Times New Roman" w:cs="Calibri"/>
                <w:sz w:val="16"/>
                <w:szCs w:val="16"/>
              </w:rPr>
            </w:pPr>
          </w:p>
        </w:tc>
      </w:tr>
      <w:tr w:rsidR="00695AE2" w:rsidRPr="00503014" w14:paraId="27523D33" w14:textId="77777777" w:rsidTr="00980493">
        <w:trPr>
          <w:trHeight w:val="192"/>
        </w:trPr>
        <w:tc>
          <w:tcPr>
            <w:tcW w:w="2972" w:type="dxa"/>
          </w:tcPr>
          <w:p w14:paraId="6937E1D7"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1FDFED98" w14:textId="77777777" w:rsidR="00695AE2" w:rsidRPr="00503014" w:rsidRDefault="00695AE2" w:rsidP="00980493">
            <w:pPr>
              <w:jc w:val="center"/>
              <w:rPr>
                <w:rFonts w:eastAsia="Calibri" w:cs="Calibri"/>
                <w:sz w:val="16"/>
                <w:szCs w:val="16"/>
              </w:rPr>
            </w:pPr>
            <w:r w:rsidRPr="00503014">
              <w:rPr>
                <w:rFonts w:eastAsia="Calibri" w:cs="Calibri"/>
                <w:sz w:val="16"/>
                <w:szCs w:val="16"/>
              </w:rPr>
              <w:t>55</w:t>
            </w:r>
          </w:p>
        </w:tc>
        <w:tc>
          <w:tcPr>
            <w:tcW w:w="897" w:type="dxa"/>
          </w:tcPr>
          <w:p w14:paraId="6CAA96B0" w14:textId="77777777" w:rsidR="00695AE2" w:rsidRPr="00503014" w:rsidRDefault="00695AE2" w:rsidP="00980493">
            <w:pPr>
              <w:jc w:val="center"/>
              <w:rPr>
                <w:rFonts w:eastAsia="Calibri" w:cs="Calibri"/>
                <w:sz w:val="16"/>
                <w:szCs w:val="16"/>
              </w:rPr>
            </w:pPr>
            <w:r w:rsidRPr="00503014">
              <w:rPr>
                <w:rFonts w:eastAsia="Calibri" w:cs="Calibri"/>
                <w:sz w:val="16"/>
                <w:szCs w:val="16"/>
              </w:rPr>
              <w:t>27</w:t>
            </w:r>
          </w:p>
        </w:tc>
        <w:tc>
          <w:tcPr>
            <w:tcW w:w="945" w:type="dxa"/>
          </w:tcPr>
          <w:p w14:paraId="6763E029" w14:textId="77777777" w:rsidR="00695AE2" w:rsidRPr="00503014" w:rsidRDefault="00695AE2" w:rsidP="00980493">
            <w:pPr>
              <w:jc w:val="center"/>
              <w:rPr>
                <w:rFonts w:eastAsia="Calibri" w:cs="Calibri"/>
                <w:sz w:val="16"/>
                <w:szCs w:val="16"/>
              </w:rPr>
            </w:pPr>
            <w:r w:rsidRPr="00503014">
              <w:rPr>
                <w:rFonts w:eastAsia="Calibri" w:cs="Calibri"/>
                <w:sz w:val="16"/>
                <w:szCs w:val="16"/>
              </w:rPr>
              <w:t>82</w:t>
            </w:r>
          </w:p>
        </w:tc>
        <w:tc>
          <w:tcPr>
            <w:tcW w:w="851" w:type="dxa"/>
          </w:tcPr>
          <w:p w14:paraId="7D9B7968" w14:textId="77777777" w:rsidR="00695AE2" w:rsidRPr="00503014" w:rsidRDefault="00695AE2" w:rsidP="00980493">
            <w:pPr>
              <w:jc w:val="center"/>
              <w:rPr>
                <w:rFonts w:eastAsia="Calibri" w:cs="Calibri"/>
                <w:sz w:val="16"/>
                <w:szCs w:val="16"/>
              </w:rPr>
            </w:pPr>
            <w:r w:rsidRPr="00503014">
              <w:rPr>
                <w:rFonts w:eastAsia="Calibri" w:cs="Calibri"/>
                <w:sz w:val="16"/>
                <w:szCs w:val="16"/>
              </w:rPr>
              <w:t>48</w:t>
            </w:r>
          </w:p>
        </w:tc>
        <w:tc>
          <w:tcPr>
            <w:tcW w:w="1276" w:type="dxa"/>
          </w:tcPr>
          <w:p w14:paraId="508D75EE" w14:textId="77777777" w:rsidR="00695AE2" w:rsidRPr="00503014" w:rsidRDefault="00695AE2" w:rsidP="00980493">
            <w:pPr>
              <w:jc w:val="center"/>
              <w:rPr>
                <w:rFonts w:eastAsia="Calibri" w:cs="Calibri"/>
                <w:sz w:val="16"/>
                <w:szCs w:val="16"/>
              </w:rPr>
            </w:pPr>
            <w:r w:rsidRPr="00503014">
              <w:rPr>
                <w:rFonts w:eastAsia="Calibri" w:cs="Calibri"/>
                <w:sz w:val="16"/>
                <w:szCs w:val="16"/>
              </w:rPr>
              <w:t>34</w:t>
            </w:r>
          </w:p>
        </w:tc>
        <w:tc>
          <w:tcPr>
            <w:tcW w:w="1559" w:type="dxa"/>
          </w:tcPr>
          <w:p w14:paraId="5DF1FBB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B99666C" w14:textId="77777777" w:rsidTr="00980493">
        <w:trPr>
          <w:trHeight w:val="179"/>
        </w:trPr>
        <w:tc>
          <w:tcPr>
            <w:tcW w:w="2972" w:type="dxa"/>
          </w:tcPr>
          <w:p w14:paraId="19029D54"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145A6427" w14:textId="77777777" w:rsidR="00695AE2" w:rsidRPr="00503014" w:rsidRDefault="00695AE2" w:rsidP="00980493">
            <w:pPr>
              <w:jc w:val="center"/>
              <w:rPr>
                <w:rFonts w:eastAsia="Calibri" w:cs="Calibri"/>
                <w:sz w:val="16"/>
                <w:szCs w:val="16"/>
              </w:rPr>
            </w:pPr>
            <w:r w:rsidRPr="00503014">
              <w:rPr>
                <w:rFonts w:eastAsia="Calibri" w:cs="Calibri"/>
                <w:sz w:val="16"/>
                <w:szCs w:val="16"/>
              </w:rPr>
              <w:t>147</w:t>
            </w:r>
          </w:p>
        </w:tc>
        <w:tc>
          <w:tcPr>
            <w:tcW w:w="897" w:type="dxa"/>
          </w:tcPr>
          <w:p w14:paraId="6AC0EE54" w14:textId="77777777" w:rsidR="00695AE2" w:rsidRPr="00503014" w:rsidRDefault="00695AE2" w:rsidP="00980493">
            <w:pPr>
              <w:jc w:val="center"/>
              <w:rPr>
                <w:rFonts w:eastAsia="Calibri" w:cs="Calibri"/>
                <w:sz w:val="16"/>
                <w:szCs w:val="16"/>
              </w:rPr>
            </w:pPr>
            <w:r w:rsidRPr="00503014">
              <w:rPr>
                <w:rFonts w:eastAsia="Calibri" w:cs="Calibri"/>
                <w:sz w:val="16"/>
                <w:szCs w:val="16"/>
              </w:rPr>
              <w:t>20</w:t>
            </w:r>
          </w:p>
        </w:tc>
        <w:tc>
          <w:tcPr>
            <w:tcW w:w="945" w:type="dxa"/>
          </w:tcPr>
          <w:p w14:paraId="0683F545" w14:textId="77777777" w:rsidR="00695AE2" w:rsidRPr="00503014" w:rsidRDefault="00695AE2" w:rsidP="00980493">
            <w:pPr>
              <w:jc w:val="center"/>
              <w:rPr>
                <w:rFonts w:eastAsia="Calibri" w:cs="Calibri"/>
                <w:sz w:val="16"/>
                <w:szCs w:val="16"/>
              </w:rPr>
            </w:pPr>
            <w:r w:rsidRPr="00503014">
              <w:rPr>
                <w:rFonts w:eastAsia="Calibri" w:cs="Calibri"/>
                <w:sz w:val="16"/>
                <w:szCs w:val="16"/>
              </w:rPr>
              <w:t>167</w:t>
            </w:r>
          </w:p>
        </w:tc>
        <w:tc>
          <w:tcPr>
            <w:tcW w:w="851" w:type="dxa"/>
          </w:tcPr>
          <w:p w14:paraId="0F6508FF" w14:textId="77777777" w:rsidR="00695AE2" w:rsidRPr="00503014" w:rsidRDefault="00695AE2" w:rsidP="00980493">
            <w:pPr>
              <w:jc w:val="center"/>
              <w:rPr>
                <w:rFonts w:eastAsia="Calibri" w:cs="Calibri"/>
                <w:sz w:val="16"/>
                <w:szCs w:val="16"/>
              </w:rPr>
            </w:pPr>
            <w:r w:rsidRPr="00503014">
              <w:rPr>
                <w:rFonts w:eastAsia="Calibri" w:cs="Calibri"/>
                <w:sz w:val="16"/>
                <w:szCs w:val="16"/>
              </w:rPr>
              <w:t>103</w:t>
            </w:r>
          </w:p>
        </w:tc>
        <w:tc>
          <w:tcPr>
            <w:tcW w:w="1276" w:type="dxa"/>
          </w:tcPr>
          <w:p w14:paraId="3216E991" w14:textId="77777777" w:rsidR="00695AE2" w:rsidRPr="00503014" w:rsidRDefault="00695AE2" w:rsidP="00980493">
            <w:pPr>
              <w:jc w:val="center"/>
              <w:rPr>
                <w:rFonts w:eastAsia="Calibri" w:cs="Calibri"/>
                <w:sz w:val="16"/>
                <w:szCs w:val="16"/>
              </w:rPr>
            </w:pPr>
            <w:r w:rsidRPr="00503014">
              <w:rPr>
                <w:rFonts w:eastAsia="Calibri" w:cs="Calibri"/>
                <w:sz w:val="16"/>
                <w:szCs w:val="16"/>
              </w:rPr>
              <w:t>64</w:t>
            </w:r>
          </w:p>
        </w:tc>
        <w:tc>
          <w:tcPr>
            <w:tcW w:w="1559" w:type="dxa"/>
          </w:tcPr>
          <w:p w14:paraId="340B2BBB"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B70D2A6" w14:textId="77777777" w:rsidTr="00980493">
        <w:trPr>
          <w:trHeight w:val="192"/>
        </w:trPr>
        <w:tc>
          <w:tcPr>
            <w:tcW w:w="2972" w:type="dxa"/>
          </w:tcPr>
          <w:p w14:paraId="36FB0DA2"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5846D5D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3087939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5C350D6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A50C9B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857576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19C025A4"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E029F7C" w14:textId="77777777" w:rsidTr="00980493">
        <w:trPr>
          <w:trHeight w:val="179"/>
        </w:trPr>
        <w:tc>
          <w:tcPr>
            <w:tcW w:w="2972" w:type="dxa"/>
          </w:tcPr>
          <w:p w14:paraId="324E34D9"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7D4E3D1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3D8BDBB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3979460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C7FB9F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4B0DAFD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71EA73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7390D1A" w14:textId="77777777" w:rsidTr="00980493">
        <w:trPr>
          <w:trHeight w:val="192"/>
        </w:trPr>
        <w:tc>
          <w:tcPr>
            <w:tcW w:w="2972" w:type="dxa"/>
          </w:tcPr>
          <w:p w14:paraId="65AD2718"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3EC1B5C3" w14:textId="77777777" w:rsidR="00695AE2" w:rsidRPr="00503014" w:rsidRDefault="00695AE2" w:rsidP="00980493">
            <w:pPr>
              <w:jc w:val="center"/>
              <w:rPr>
                <w:rFonts w:eastAsia="Calibri" w:cs="Calibri"/>
                <w:sz w:val="16"/>
                <w:szCs w:val="16"/>
              </w:rPr>
            </w:pPr>
            <w:r w:rsidRPr="00503014">
              <w:rPr>
                <w:rFonts w:eastAsia="Calibri" w:cs="Calibri"/>
                <w:sz w:val="16"/>
                <w:szCs w:val="16"/>
              </w:rPr>
              <w:t>16</w:t>
            </w:r>
          </w:p>
        </w:tc>
        <w:tc>
          <w:tcPr>
            <w:tcW w:w="897" w:type="dxa"/>
          </w:tcPr>
          <w:p w14:paraId="2866BEDA"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945" w:type="dxa"/>
          </w:tcPr>
          <w:p w14:paraId="08B46FD7" w14:textId="77777777" w:rsidR="00695AE2" w:rsidRPr="00503014" w:rsidRDefault="00695AE2" w:rsidP="00980493">
            <w:pPr>
              <w:jc w:val="center"/>
              <w:rPr>
                <w:rFonts w:eastAsia="Calibri" w:cs="Calibri"/>
                <w:sz w:val="16"/>
                <w:szCs w:val="16"/>
              </w:rPr>
            </w:pPr>
            <w:r w:rsidRPr="00503014">
              <w:rPr>
                <w:rFonts w:eastAsia="Calibri" w:cs="Calibri"/>
                <w:sz w:val="16"/>
                <w:szCs w:val="16"/>
              </w:rPr>
              <w:t>19</w:t>
            </w:r>
          </w:p>
        </w:tc>
        <w:tc>
          <w:tcPr>
            <w:tcW w:w="851" w:type="dxa"/>
          </w:tcPr>
          <w:p w14:paraId="0D3338E4" w14:textId="77777777" w:rsidR="00695AE2" w:rsidRPr="00503014" w:rsidRDefault="00695AE2" w:rsidP="00980493">
            <w:pPr>
              <w:jc w:val="center"/>
              <w:rPr>
                <w:rFonts w:eastAsia="Calibri" w:cs="Calibri"/>
                <w:sz w:val="16"/>
                <w:szCs w:val="16"/>
              </w:rPr>
            </w:pPr>
            <w:r w:rsidRPr="00503014">
              <w:rPr>
                <w:rFonts w:eastAsia="Calibri" w:cs="Calibri"/>
                <w:sz w:val="16"/>
                <w:szCs w:val="16"/>
              </w:rPr>
              <w:t>16</w:t>
            </w:r>
          </w:p>
        </w:tc>
        <w:tc>
          <w:tcPr>
            <w:tcW w:w="1276" w:type="dxa"/>
          </w:tcPr>
          <w:p w14:paraId="011A35A2"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1559" w:type="dxa"/>
          </w:tcPr>
          <w:p w14:paraId="6588412B"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DD2B2F5" w14:textId="77777777" w:rsidTr="00980493">
        <w:trPr>
          <w:trHeight w:val="179"/>
        </w:trPr>
        <w:tc>
          <w:tcPr>
            <w:tcW w:w="2972" w:type="dxa"/>
          </w:tcPr>
          <w:p w14:paraId="22B874C4"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1964404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3602725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6E8E38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F6C56F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A50A3F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02AFD03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3BF6B9C" w14:textId="77777777" w:rsidTr="00980493">
        <w:trPr>
          <w:trHeight w:val="192"/>
        </w:trPr>
        <w:tc>
          <w:tcPr>
            <w:tcW w:w="2972" w:type="dxa"/>
          </w:tcPr>
          <w:p w14:paraId="07281B9B"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28B7AF13" w14:textId="77777777" w:rsidR="00695AE2" w:rsidRPr="00503014" w:rsidRDefault="00695AE2" w:rsidP="00980493">
            <w:pPr>
              <w:jc w:val="center"/>
              <w:rPr>
                <w:rFonts w:eastAsia="Calibri" w:cs="Calibri"/>
                <w:sz w:val="16"/>
                <w:szCs w:val="16"/>
              </w:rPr>
            </w:pPr>
            <w:r w:rsidRPr="00503014">
              <w:rPr>
                <w:rFonts w:eastAsia="Calibri" w:cs="Calibri"/>
                <w:sz w:val="16"/>
                <w:szCs w:val="16"/>
              </w:rPr>
              <w:t>1.071</w:t>
            </w:r>
          </w:p>
        </w:tc>
        <w:tc>
          <w:tcPr>
            <w:tcW w:w="897" w:type="dxa"/>
          </w:tcPr>
          <w:p w14:paraId="29C4345C" w14:textId="77777777" w:rsidR="00695AE2" w:rsidRPr="00503014" w:rsidRDefault="00695AE2" w:rsidP="00980493">
            <w:pPr>
              <w:jc w:val="center"/>
              <w:rPr>
                <w:rFonts w:eastAsia="Calibri" w:cs="Calibri"/>
                <w:sz w:val="16"/>
                <w:szCs w:val="16"/>
              </w:rPr>
            </w:pPr>
            <w:r w:rsidRPr="00503014">
              <w:rPr>
                <w:rFonts w:eastAsia="Calibri" w:cs="Calibri"/>
                <w:sz w:val="16"/>
                <w:szCs w:val="16"/>
              </w:rPr>
              <w:t>354</w:t>
            </w:r>
          </w:p>
        </w:tc>
        <w:tc>
          <w:tcPr>
            <w:tcW w:w="945" w:type="dxa"/>
          </w:tcPr>
          <w:p w14:paraId="671979B2" w14:textId="77777777" w:rsidR="00695AE2" w:rsidRPr="00503014" w:rsidRDefault="00695AE2" w:rsidP="00980493">
            <w:pPr>
              <w:jc w:val="center"/>
              <w:rPr>
                <w:rFonts w:eastAsia="Calibri" w:cs="Calibri"/>
                <w:sz w:val="16"/>
                <w:szCs w:val="16"/>
              </w:rPr>
            </w:pPr>
            <w:r w:rsidRPr="00503014">
              <w:rPr>
                <w:rFonts w:eastAsia="Calibri" w:cs="Calibri"/>
                <w:sz w:val="16"/>
                <w:szCs w:val="16"/>
              </w:rPr>
              <w:t>1.425</w:t>
            </w:r>
          </w:p>
        </w:tc>
        <w:tc>
          <w:tcPr>
            <w:tcW w:w="851" w:type="dxa"/>
          </w:tcPr>
          <w:p w14:paraId="575E9E6B" w14:textId="77777777" w:rsidR="00695AE2" w:rsidRPr="00503014" w:rsidRDefault="00695AE2" w:rsidP="00980493">
            <w:pPr>
              <w:jc w:val="center"/>
              <w:rPr>
                <w:rFonts w:eastAsia="Calibri" w:cs="Calibri"/>
                <w:sz w:val="16"/>
                <w:szCs w:val="16"/>
              </w:rPr>
            </w:pPr>
            <w:r w:rsidRPr="00503014">
              <w:rPr>
                <w:rFonts w:eastAsia="Calibri" w:cs="Calibri"/>
                <w:sz w:val="16"/>
                <w:szCs w:val="16"/>
              </w:rPr>
              <w:t>617</w:t>
            </w:r>
          </w:p>
        </w:tc>
        <w:tc>
          <w:tcPr>
            <w:tcW w:w="1276" w:type="dxa"/>
          </w:tcPr>
          <w:p w14:paraId="63F05944" w14:textId="77777777" w:rsidR="00695AE2" w:rsidRPr="00503014" w:rsidRDefault="00695AE2" w:rsidP="00980493">
            <w:pPr>
              <w:jc w:val="center"/>
              <w:rPr>
                <w:rFonts w:eastAsia="Calibri" w:cs="Calibri"/>
                <w:sz w:val="16"/>
                <w:szCs w:val="16"/>
              </w:rPr>
            </w:pPr>
            <w:r w:rsidRPr="00503014">
              <w:rPr>
                <w:rFonts w:eastAsia="Calibri" w:cs="Calibri"/>
                <w:sz w:val="16"/>
                <w:szCs w:val="16"/>
              </w:rPr>
              <w:t>808</w:t>
            </w:r>
          </w:p>
        </w:tc>
        <w:tc>
          <w:tcPr>
            <w:tcW w:w="1559" w:type="dxa"/>
          </w:tcPr>
          <w:p w14:paraId="169D833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EDB65BA" w14:textId="77777777" w:rsidTr="00980493">
        <w:trPr>
          <w:trHeight w:val="192"/>
        </w:trPr>
        <w:tc>
          <w:tcPr>
            <w:tcW w:w="2972" w:type="dxa"/>
          </w:tcPr>
          <w:p w14:paraId="519013F7"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1F5AD1D6" w14:textId="77777777" w:rsidR="00695AE2" w:rsidRPr="00503014" w:rsidRDefault="00695AE2" w:rsidP="00980493">
            <w:pPr>
              <w:jc w:val="center"/>
              <w:rPr>
                <w:rFonts w:eastAsia="Calibri" w:cs="Calibri"/>
                <w:sz w:val="16"/>
                <w:szCs w:val="16"/>
              </w:rPr>
            </w:pPr>
            <w:r w:rsidRPr="00503014">
              <w:rPr>
                <w:rFonts w:eastAsia="Calibri" w:cs="Calibri"/>
                <w:sz w:val="16"/>
                <w:szCs w:val="16"/>
              </w:rPr>
              <w:t>796</w:t>
            </w:r>
          </w:p>
          <w:p w14:paraId="7A30AFD1" w14:textId="77777777" w:rsidR="00695AE2" w:rsidRPr="00503014" w:rsidRDefault="00695AE2" w:rsidP="00980493">
            <w:pPr>
              <w:jc w:val="center"/>
              <w:rPr>
                <w:rFonts w:eastAsia="Calibri" w:cs="Calibri"/>
                <w:sz w:val="16"/>
                <w:szCs w:val="16"/>
              </w:rPr>
            </w:pPr>
          </w:p>
        </w:tc>
        <w:tc>
          <w:tcPr>
            <w:tcW w:w="897" w:type="dxa"/>
          </w:tcPr>
          <w:p w14:paraId="38D5E428" w14:textId="77777777" w:rsidR="00695AE2" w:rsidRPr="00503014" w:rsidRDefault="00695AE2" w:rsidP="00980493">
            <w:pPr>
              <w:jc w:val="center"/>
              <w:rPr>
                <w:rFonts w:eastAsia="Calibri" w:cs="Calibri"/>
                <w:sz w:val="16"/>
                <w:szCs w:val="16"/>
              </w:rPr>
            </w:pPr>
            <w:r w:rsidRPr="00503014">
              <w:rPr>
                <w:rFonts w:eastAsia="Calibri" w:cs="Calibri"/>
                <w:sz w:val="16"/>
                <w:szCs w:val="16"/>
              </w:rPr>
              <w:t>344</w:t>
            </w:r>
          </w:p>
        </w:tc>
        <w:tc>
          <w:tcPr>
            <w:tcW w:w="945" w:type="dxa"/>
          </w:tcPr>
          <w:p w14:paraId="009E967F" w14:textId="77777777" w:rsidR="00695AE2" w:rsidRPr="00503014" w:rsidRDefault="00695AE2" w:rsidP="00980493">
            <w:pPr>
              <w:jc w:val="center"/>
              <w:rPr>
                <w:rFonts w:eastAsia="Calibri" w:cs="Calibri"/>
                <w:sz w:val="16"/>
                <w:szCs w:val="16"/>
              </w:rPr>
            </w:pPr>
            <w:r w:rsidRPr="00503014">
              <w:rPr>
                <w:rFonts w:eastAsia="Calibri" w:cs="Calibri"/>
                <w:sz w:val="16"/>
                <w:szCs w:val="16"/>
              </w:rPr>
              <w:t>1.140</w:t>
            </w:r>
          </w:p>
        </w:tc>
        <w:tc>
          <w:tcPr>
            <w:tcW w:w="851" w:type="dxa"/>
          </w:tcPr>
          <w:p w14:paraId="5F002FF2" w14:textId="77777777" w:rsidR="00695AE2" w:rsidRPr="00503014" w:rsidRDefault="00695AE2" w:rsidP="00980493">
            <w:pPr>
              <w:jc w:val="center"/>
              <w:rPr>
                <w:rFonts w:eastAsia="Calibri" w:cs="Calibri"/>
                <w:sz w:val="16"/>
                <w:szCs w:val="16"/>
              </w:rPr>
            </w:pPr>
            <w:r w:rsidRPr="00503014">
              <w:rPr>
                <w:rFonts w:eastAsia="Calibri" w:cs="Calibri"/>
                <w:sz w:val="16"/>
                <w:szCs w:val="16"/>
              </w:rPr>
              <w:t>347</w:t>
            </w:r>
          </w:p>
        </w:tc>
        <w:tc>
          <w:tcPr>
            <w:tcW w:w="1276" w:type="dxa"/>
          </w:tcPr>
          <w:p w14:paraId="253C3E65" w14:textId="77777777" w:rsidR="00695AE2" w:rsidRPr="00503014" w:rsidRDefault="00695AE2" w:rsidP="00980493">
            <w:pPr>
              <w:jc w:val="center"/>
              <w:rPr>
                <w:rFonts w:eastAsia="Calibri" w:cs="Calibri"/>
                <w:sz w:val="16"/>
                <w:szCs w:val="16"/>
              </w:rPr>
            </w:pPr>
            <w:r w:rsidRPr="00503014">
              <w:rPr>
                <w:rFonts w:eastAsia="Calibri" w:cs="Calibri"/>
                <w:sz w:val="16"/>
                <w:szCs w:val="16"/>
              </w:rPr>
              <w:t>793</w:t>
            </w:r>
          </w:p>
        </w:tc>
        <w:tc>
          <w:tcPr>
            <w:tcW w:w="1559" w:type="dxa"/>
          </w:tcPr>
          <w:p w14:paraId="133261B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1B1D03A" w14:textId="77777777" w:rsidTr="00980493">
        <w:trPr>
          <w:trHeight w:val="192"/>
        </w:trPr>
        <w:tc>
          <w:tcPr>
            <w:tcW w:w="2972" w:type="dxa"/>
          </w:tcPr>
          <w:p w14:paraId="11DA458C"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7DAACF71" w14:textId="77777777" w:rsidR="00695AE2" w:rsidRPr="00503014" w:rsidRDefault="00695AE2" w:rsidP="00980493">
            <w:pPr>
              <w:jc w:val="center"/>
              <w:rPr>
                <w:rFonts w:eastAsia="Calibri" w:cs="Calibri"/>
                <w:sz w:val="16"/>
                <w:szCs w:val="16"/>
              </w:rPr>
            </w:pPr>
            <w:r w:rsidRPr="00503014">
              <w:rPr>
                <w:rFonts w:eastAsia="Calibri" w:cs="Calibri"/>
                <w:sz w:val="16"/>
                <w:szCs w:val="16"/>
              </w:rPr>
              <w:t>806</w:t>
            </w:r>
          </w:p>
        </w:tc>
        <w:tc>
          <w:tcPr>
            <w:tcW w:w="897" w:type="dxa"/>
          </w:tcPr>
          <w:p w14:paraId="1CE51C1D" w14:textId="77777777" w:rsidR="00695AE2" w:rsidRPr="00503014" w:rsidRDefault="00695AE2" w:rsidP="00980493">
            <w:pPr>
              <w:jc w:val="center"/>
              <w:rPr>
                <w:rFonts w:eastAsia="Calibri" w:cs="Calibri"/>
                <w:sz w:val="16"/>
                <w:szCs w:val="16"/>
              </w:rPr>
            </w:pPr>
            <w:r w:rsidRPr="00503014">
              <w:rPr>
                <w:rFonts w:eastAsia="Calibri" w:cs="Calibri"/>
                <w:sz w:val="16"/>
                <w:szCs w:val="16"/>
              </w:rPr>
              <w:t>1.402</w:t>
            </w:r>
          </w:p>
        </w:tc>
        <w:tc>
          <w:tcPr>
            <w:tcW w:w="945" w:type="dxa"/>
          </w:tcPr>
          <w:p w14:paraId="1C7433F8" w14:textId="77777777" w:rsidR="00695AE2" w:rsidRPr="00503014" w:rsidRDefault="00695AE2" w:rsidP="00980493">
            <w:pPr>
              <w:jc w:val="center"/>
              <w:rPr>
                <w:rFonts w:eastAsia="Calibri" w:cs="Calibri"/>
                <w:sz w:val="16"/>
                <w:szCs w:val="16"/>
              </w:rPr>
            </w:pPr>
            <w:r w:rsidRPr="00503014">
              <w:rPr>
                <w:rFonts w:eastAsia="Calibri" w:cs="Calibri"/>
                <w:sz w:val="16"/>
                <w:szCs w:val="16"/>
              </w:rPr>
              <w:t>2.208</w:t>
            </w:r>
          </w:p>
        </w:tc>
        <w:tc>
          <w:tcPr>
            <w:tcW w:w="851" w:type="dxa"/>
          </w:tcPr>
          <w:p w14:paraId="30FA63BF" w14:textId="77777777" w:rsidR="00695AE2" w:rsidRPr="00503014" w:rsidRDefault="00695AE2" w:rsidP="00980493">
            <w:pPr>
              <w:jc w:val="center"/>
              <w:rPr>
                <w:rFonts w:eastAsia="Calibri" w:cs="Calibri"/>
                <w:sz w:val="16"/>
                <w:szCs w:val="16"/>
              </w:rPr>
            </w:pPr>
            <w:r w:rsidRPr="00503014">
              <w:rPr>
                <w:rFonts w:eastAsia="Calibri" w:cs="Calibri"/>
                <w:sz w:val="16"/>
                <w:szCs w:val="16"/>
              </w:rPr>
              <w:t>1.666</w:t>
            </w:r>
          </w:p>
        </w:tc>
        <w:tc>
          <w:tcPr>
            <w:tcW w:w="1276" w:type="dxa"/>
          </w:tcPr>
          <w:p w14:paraId="10D16823" w14:textId="77777777" w:rsidR="00695AE2" w:rsidRPr="00503014" w:rsidRDefault="00695AE2" w:rsidP="00980493">
            <w:pPr>
              <w:jc w:val="center"/>
              <w:rPr>
                <w:rFonts w:eastAsia="Calibri" w:cs="Calibri"/>
                <w:sz w:val="16"/>
                <w:szCs w:val="16"/>
              </w:rPr>
            </w:pPr>
            <w:r w:rsidRPr="00503014">
              <w:rPr>
                <w:rFonts w:eastAsia="Calibri" w:cs="Calibri"/>
                <w:sz w:val="16"/>
                <w:szCs w:val="16"/>
              </w:rPr>
              <w:t>542</w:t>
            </w:r>
          </w:p>
        </w:tc>
        <w:tc>
          <w:tcPr>
            <w:tcW w:w="1559" w:type="dxa"/>
          </w:tcPr>
          <w:p w14:paraId="4C94C0B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17A1050" w14:textId="77777777" w:rsidTr="00980493">
        <w:trPr>
          <w:trHeight w:val="192"/>
        </w:trPr>
        <w:tc>
          <w:tcPr>
            <w:tcW w:w="2972" w:type="dxa"/>
          </w:tcPr>
          <w:p w14:paraId="1D8DE6D6"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67DD6833" w14:textId="77777777" w:rsidR="00695AE2" w:rsidRPr="00503014" w:rsidRDefault="00695AE2" w:rsidP="00980493">
            <w:pPr>
              <w:jc w:val="center"/>
              <w:rPr>
                <w:rFonts w:eastAsia="Calibri" w:cs="Calibri"/>
                <w:sz w:val="16"/>
                <w:szCs w:val="16"/>
              </w:rPr>
            </w:pPr>
            <w:r w:rsidRPr="00503014">
              <w:rPr>
                <w:rFonts w:eastAsia="Calibri" w:cs="Calibri"/>
                <w:sz w:val="16"/>
                <w:szCs w:val="16"/>
              </w:rPr>
              <w:t>9</w:t>
            </w:r>
          </w:p>
        </w:tc>
        <w:tc>
          <w:tcPr>
            <w:tcW w:w="897" w:type="dxa"/>
          </w:tcPr>
          <w:p w14:paraId="33F34FCF" w14:textId="77777777" w:rsidR="00695AE2" w:rsidRPr="00503014" w:rsidRDefault="00695AE2" w:rsidP="00980493">
            <w:pPr>
              <w:jc w:val="center"/>
              <w:rPr>
                <w:rFonts w:eastAsia="Calibri" w:cs="Calibri"/>
                <w:sz w:val="16"/>
                <w:szCs w:val="16"/>
              </w:rPr>
            </w:pPr>
            <w:r w:rsidRPr="00503014">
              <w:rPr>
                <w:rFonts w:eastAsia="Calibri" w:cs="Calibri"/>
                <w:sz w:val="16"/>
                <w:szCs w:val="16"/>
              </w:rPr>
              <w:t>24</w:t>
            </w:r>
          </w:p>
        </w:tc>
        <w:tc>
          <w:tcPr>
            <w:tcW w:w="945" w:type="dxa"/>
          </w:tcPr>
          <w:p w14:paraId="18498587" w14:textId="77777777" w:rsidR="00695AE2" w:rsidRPr="00503014" w:rsidRDefault="00695AE2" w:rsidP="00980493">
            <w:pPr>
              <w:jc w:val="center"/>
              <w:rPr>
                <w:rFonts w:eastAsia="Calibri" w:cs="Calibri"/>
                <w:sz w:val="16"/>
                <w:szCs w:val="16"/>
              </w:rPr>
            </w:pPr>
            <w:r w:rsidRPr="00503014">
              <w:rPr>
                <w:rFonts w:eastAsia="Calibri" w:cs="Calibri"/>
                <w:sz w:val="16"/>
                <w:szCs w:val="16"/>
              </w:rPr>
              <w:t>33</w:t>
            </w:r>
          </w:p>
        </w:tc>
        <w:tc>
          <w:tcPr>
            <w:tcW w:w="851" w:type="dxa"/>
          </w:tcPr>
          <w:p w14:paraId="579450E7" w14:textId="77777777" w:rsidR="00695AE2" w:rsidRPr="00503014" w:rsidRDefault="00695AE2" w:rsidP="00980493">
            <w:pPr>
              <w:jc w:val="center"/>
              <w:rPr>
                <w:rFonts w:eastAsia="Calibri" w:cs="Calibri"/>
                <w:sz w:val="16"/>
                <w:szCs w:val="16"/>
              </w:rPr>
            </w:pPr>
            <w:r w:rsidRPr="00503014">
              <w:rPr>
                <w:rFonts w:eastAsia="Calibri" w:cs="Calibri"/>
                <w:sz w:val="16"/>
                <w:szCs w:val="16"/>
              </w:rPr>
              <w:t>11</w:t>
            </w:r>
          </w:p>
        </w:tc>
        <w:tc>
          <w:tcPr>
            <w:tcW w:w="1276" w:type="dxa"/>
          </w:tcPr>
          <w:p w14:paraId="6FF084FB" w14:textId="77777777" w:rsidR="00695AE2" w:rsidRPr="00503014" w:rsidRDefault="00695AE2" w:rsidP="00980493">
            <w:pPr>
              <w:jc w:val="center"/>
              <w:rPr>
                <w:rFonts w:eastAsia="Calibri" w:cs="Calibri"/>
                <w:sz w:val="16"/>
                <w:szCs w:val="16"/>
              </w:rPr>
            </w:pPr>
            <w:r w:rsidRPr="00503014">
              <w:rPr>
                <w:rFonts w:eastAsia="Calibri" w:cs="Calibri"/>
                <w:sz w:val="16"/>
                <w:szCs w:val="16"/>
              </w:rPr>
              <w:t>22</w:t>
            </w:r>
          </w:p>
        </w:tc>
        <w:tc>
          <w:tcPr>
            <w:tcW w:w="1559" w:type="dxa"/>
          </w:tcPr>
          <w:p w14:paraId="792A93E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CD3D7F6" w14:textId="77777777" w:rsidTr="00980493">
        <w:trPr>
          <w:trHeight w:val="192"/>
        </w:trPr>
        <w:tc>
          <w:tcPr>
            <w:tcW w:w="2972" w:type="dxa"/>
          </w:tcPr>
          <w:p w14:paraId="72D0BAD4"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4C9C5B43" w14:textId="77777777" w:rsidR="00695AE2" w:rsidRPr="00503014" w:rsidRDefault="00695AE2" w:rsidP="00980493">
            <w:pPr>
              <w:jc w:val="center"/>
              <w:rPr>
                <w:rFonts w:eastAsia="Calibri" w:cs="Calibri"/>
                <w:sz w:val="16"/>
                <w:szCs w:val="16"/>
              </w:rPr>
            </w:pPr>
            <w:r w:rsidRPr="00503014">
              <w:rPr>
                <w:rFonts w:eastAsia="Calibri" w:cs="Calibri"/>
                <w:sz w:val="16"/>
                <w:szCs w:val="16"/>
              </w:rPr>
              <w:t>14</w:t>
            </w:r>
          </w:p>
        </w:tc>
        <w:tc>
          <w:tcPr>
            <w:tcW w:w="897" w:type="dxa"/>
          </w:tcPr>
          <w:p w14:paraId="25660A1C" w14:textId="77777777" w:rsidR="00695AE2" w:rsidRPr="00503014" w:rsidRDefault="00695AE2" w:rsidP="00980493">
            <w:pPr>
              <w:jc w:val="center"/>
              <w:rPr>
                <w:rFonts w:eastAsia="Calibri" w:cs="Calibri"/>
                <w:sz w:val="16"/>
                <w:szCs w:val="16"/>
              </w:rPr>
            </w:pPr>
            <w:r w:rsidRPr="00503014">
              <w:rPr>
                <w:rFonts w:eastAsia="Calibri" w:cs="Calibri"/>
                <w:sz w:val="16"/>
                <w:szCs w:val="16"/>
              </w:rPr>
              <w:t>1.222</w:t>
            </w:r>
          </w:p>
        </w:tc>
        <w:tc>
          <w:tcPr>
            <w:tcW w:w="945" w:type="dxa"/>
          </w:tcPr>
          <w:p w14:paraId="569E95CF" w14:textId="77777777" w:rsidR="00695AE2" w:rsidRPr="00503014" w:rsidRDefault="00695AE2" w:rsidP="00980493">
            <w:pPr>
              <w:jc w:val="center"/>
              <w:rPr>
                <w:rFonts w:eastAsia="Calibri" w:cs="Calibri"/>
                <w:sz w:val="16"/>
                <w:szCs w:val="16"/>
              </w:rPr>
            </w:pPr>
            <w:r w:rsidRPr="00503014">
              <w:rPr>
                <w:rFonts w:eastAsia="Calibri" w:cs="Calibri"/>
                <w:sz w:val="16"/>
                <w:szCs w:val="16"/>
              </w:rPr>
              <w:t>1.236</w:t>
            </w:r>
          </w:p>
        </w:tc>
        <w:tc>
          <w:tcPr>
            <w:tcW w:w="851" w:type="dxa"/>
          </w:tcPr>
          <w:p w14:paraId="1CE60489" w14:textId="77777777" w:rsidR="00695AE2" w:rsidRPr="00503014" w:rsidRDefault="00695AE2" w:rsidP="00980493">
            <w:pPr>
              <w:jc w:val="center"/>
              <w:rPr>
                <w:rFonts w:eastAsia="Calibri" w:cs="Calibri"/>
                <w:sz w:val="16"/>
                <w:szCs w:val="16"/>
              </w:rPr>
            </w:pPr>
            <w:r w:rsidRPr="00503014">
              <w:rPr>
                <w:rFonts w:eastAsia="Calibri" w:cs="Calibri"/>
                <w:sz w:val="16"/>
                <w:szCs w:val="16"/>
              </w:rPr>
              <w:t>1.244</w:t>
            </w:r>
          </w:p>
        </w:tc>
        <w:tc>
          <w:tcPr>
            <w:tcW w:w="1276" w:type="dxa"/>
          </w:tcPr>
          <w:p w14:paraId="3F48C98C" w14:textId="77777777" w:rsidR="00695AE2" w:rsidRPr="00503014" w:rsidRDefault="00695AE2" w:rsidP="00980493">
            <w:pPr>
              <w:jc w:val="center"/>
              <w:rPr>
                <w:rFonts w:eastAsia="Calibri" w:cs="Calibri"/>
                <w:sz w:val="16"/>
                <w:szCs w:val="16"/>
              </w:rPr>
            </w:pPr>
            <w:r w:rsidRPr="00503014">
              <w:rPr>
                <w:rFonts w:eastAsia="Calibri" w:cs="Calibri"/>
                <w:sz w:val="16"/>
                <w:szCs w:val="16"/>
              </w:rPr>
              <w:t>12</w:t>
            </w:r>
          </w:p>
        </w:tc>
        <w:tc>
          <w:tcPr>
            <w:tcW w:w="1559" w:type="dxa"/>
          </w:tcPr>
          <w:p w14:paraId="6668C82A"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59B01D6" w14:textId="77777777" w:rsidTr="00980493">
        <w:trPr>
          <w:trHeight w:val="192"/>
        </w:trPr>
        <w:tc>
          <w:tcPr>
            <w:tcW w:w="2972" w:type="dxa"/>
          </w:tcPr>
          <w:p w14:paraId="4610D700"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0F1504A7"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97" w:type="dxa"/>
          </w:tcPr>
          <w:p w14:paraId="3460327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97DCB9C"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51" w:type="dxa"/>
          </w:tcPr>
          <w:p w14:paraId="19F9169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3E43616"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1559" w:type="dxa"/>
          </w:tcPr>
          <w:p w14:paraId="64FBA94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A49AB63" w14:textId="77777777" w:rsidTr="00980493">
        <w:trPr>
          <w:trHeight w:val="192"/>
        </w:trPr>
        <w:tc>
          <w:tcPr>
            <w:tcW w:w="2972" w:type="dxa"/>
          </w:tcPr>
          <w:p w14:paraId="46A222D1"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551E8EF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106011F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509E285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E7D815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FD8DA1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0D33E0F4"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4755DAF" w14:textId="77777777" w:rsidTr="00980493">
        <w:trPr>
          <w:trHeight w:val="192"/>
        </w:trPr>
        <w:tc>
          <w:tcPr>
            <w:tcW w:w="2972" w:type="dxa"/>
          </w:tcPr>
          <w:p w14:paraId="1740B807"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28E0ADD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4E7943D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D2CF7F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613246B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60CF3E2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09906B6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2597C171" w14:textId="77777777" w:rsidR="00695AE2" w:rsidRPr="00503014" w:rsidRDefault="00695AE2" w:rsidP="00695AE2">
      <w:pPr>
        <w:spacing w:line="240" w:lineRule="auto"/>
        <w:rPr>
          <w:rFonts w:eastAsia="Calibri"/>
          <w:sz w:val="20"/>
          <w:szCs w:val="20"/>
        </w:rPr>
      </w:pPr>
    </w:p>
    <w:p w14:paraId="49E4CEB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Novi Gorici</w:t>
      </w:r>
    </w:p>
    <w:p w14:paraId="69DBF576" w14:textId="77777777" w:rsidR="00695AE2" w:rsidRPr="00503014" w:rsidRDefault="00695AE2" w:rsidP="00695AE2">
      <w:pPr>
        <w:spacing w:line="240" w:lineRule="auto"/>
        <w:rPr>
          <w:rFonts w:eastAsia="Calibri"/>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0A68FC59" w14:textId="77777777" w:rsidTr="00980493">
        <w:trPr>
          <w:trHeight w:val="856"/>
        </w:trPr>
        <w:tc>
          <w:tcPr>
            <w:tcW w:w="2972" w:type="dxa"/>
          </w:tcPr>
          <w:p w14:paraId="366490A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4B0F0A6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1B0EC4D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20A176F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6D5ECBC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68BCABD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291A595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72E305F8" w14:textId="77777777" w:rsidR="00695AE2" w:rsidRPr="00503014" w:rsidRDefault="00695AE2" w:rsidP="00980493">
            <w:pPr>
              <w:jc w:val="center"/>
              <w:rPr>
                <w:rFonts w:eastAsia="Times New Roman" w:cs="Calibri"/>
                <w:sz w:val="16"/>
                <w:szCs w:val="16"/>
              </w:rPr>
            </w:pPr>
          </w:p>
        </w:tc>
      </w:tr>
      <w:tr w:rsidR="00695AE2" w:rsidRPr="00503014" w14:paraId="2DEF9735" w14:textId="77777777" w:rsidTr="00980493">
        <w:trPr>
          <w:trHeight w:val="192"/>
        </w:trPr>
        <w:tc>
          <w:tcPr>
            <w:tcW w:w="2972" w:type="dxa"/>
          </w:tcPr>
          <w:p w14:paraId="78A5A28B"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0559A1E4" w14:textId="77777777" w:rsidR="00695AE2" w:rsidRPr="00503014" w:rsidRDefault="00695AE2" w:rsidP="00980493">
            <w:pPr>
              <w:jc w:val="center"/>
              <w:rPr>
                <w:rFonts w:eastAsia="Calibri" w:cs="Calibri"/>
                <w:sz w:val="16"/>
                <w:szCs w:val="16"/>
              </w:rPr>
            </w:pPr>
            <w:r w:rsidRPr="00503014">
              <w:rPr>
                <w:rFonts w:eastAsia="Calibri" w:cs="Calibri"/>
                <w:sz w:val="16"/>
                <w:szCs w:val="16"/>
              </w:rPr>
              <w:t>61</w:t>
            </w:r>
          </w:p>
        </w:tc>
        <w:tc>
          <w:tcPr>
            <w:tcW w:w="897" w:type="dxa"/>
          </w:tcPr>
          <w:p w14:paraId="5AA450D0" w14:textId="77777777" w:rsidR="00695AE2" w:rsidRPr="00503014" w:rsidRDefault="00695AE2" w:rsidP="00980493">
            <w:pPr>
              <w:jc w:val="center"/>
              <w:rPr>
                <w:rFonts w:eastAsia="Calibri" w:cs="Calibri"/>
                <w:sz w:val="16"/>
                <w:szCs w:val="16"/>
              </w:rPr>
            </w:pPr>
            <w:r w:rsidRPr="00503014">
              <w:rPr>
                <w:rFonts w:eastAsia="Calibri" w:cs="Calibri"/>
                <w:sz w:val="16"/>
                <w:szCs w:val="16"/>
              </w:rPr>
              <w:t>27</w:t>
            </w:r>
          </w:p>
        </w:tc>
        <w:tc>
          <w:tcPr>
            <w:tcW w:w="945" w:type="dxa"/>
          </w:tcPr>
          <w:p w14:paraId="6CBD231C" w14:textId="77777777" w:rsidR="00695AE2" w:rsidRPr="00503014" w:rsidRDefault="00695AE2" w:rsidP="00980493">
            <w:pPr>
              <w:jc w:val="center"/>
              <w:rPr>
                <w:rFonts w:eastAsia="Calibri" w:cs="Calibri"/>
                <w:sz w:val="16"/>
                <w:szCs w:val="16"/>
              </w:rPr>
            </w:pPr>
            <w:r w:rsidRPr="00503014">
              <w:rPr>
                <w:rFonts w:eastAsia="Calibri" w:cs="Calibri"/>
                <w:sz w:val="16"/>
                <w:szCs w:val="16"/>
              </w:rPr>
              <w:t>88</w:t>
            </w:r>
          </w:p>
        </w:tc>
        <w:tc>
          <w:tcPr>
            <w:tcW w:w="851" w:type="dxa"/>
          </w:tcPr>
          <w:p w14:paraId="2EF8EA6D" w14:textId="77777777" w:rsidR="00695AE2" w:rsidRPr="00503014" w:rsidRDefault="00695AE2" w:rsidP="00980493">
            <w:pPr>
              <w:jc w:val="center"/>
              <w:rPr>
                <w:rFonts w:eastAsia="Calibri" w:cs="Calibri"/>
                <w:sz w:val="16"/>
                <w:szCs w:val="16"/>
              </w:rPr>
            </w:pPr>
            <w:r w:rsidRPr="00503014">
              <w:rPr>
                <w:rFonts w:eastAsia="Calibri" w:cs="Calibri"/>
                <w:sz w:val="16"/>
                <w:szCs w:val="16"/>
              </w:rPr>
              <w:t>46</w:t>
            </w:r>
          </w:p>
        </w:tc>
        <w:tc>
          <w:tcPr>
            <w:tcW w:w="1276" w:type="dxa"/>
          </w:tcPr>
          <w:p w14:paraId="1E4617D0" w14:textId="77777777" w:rsidR="00695AE2" w:rsidRPr="00503014" w:rsidRDefault="00695AE2" w:rsidP="00980493">
            <w:pPr>
              <w:jc w:val="center"/>
              <w:rPr>
                <w:rFonts w:eastAsia="Calibri" w:cs="Calibri"/>
                <w:sz w:val="16"/>
                <w:szCs w:val="16"/>
              </w:rPr>
            </w:pPr>
            <w:r w:rsidRPr="00503014">
              <w:rPr>
                <w:rFonts w:eastAsia="Calibri" w:cs="Calibri"/>
                <w:sz w:val="16"/>
                <w:szCs w:val="16"/>
              </w:rPr>
              <w:t>42</w:t>
            </w:r>
          </w:p>
        </w:tc>
        <w:tc>
          <w:tcPr>
            <w:tcW w:w="1559" w:type="dxa"/>
          </w:tcPr>
          <w:p w14:paraId="020C539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E246918" w14:textId="77777777" w:rsidTr="00980493">
        <w:trPr>
          <w:trHeight w:val="179"/>
        </w:trPr>
        <w:tc>
          <w:tcPr>
            <w:tcW w:w="2972" w:type="dxa"/>
          </w:tcPr>
          <w:p w14:paraId="5B888D71"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20A719F2"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97" w:type="dxa"/>
          </w:tcPr>
          <w:p w14:paraId="459B0FFD"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945" w:type="dxa"/>
          </w:tcPr>
          <w:p w14:paraId="68C123CA" w14:textId="77777777" w:rsidR="00695AE2" w:rsidRPr="00503014" w:rsidRDefault="00695AE2" w:rsidP="00980493">
            <w:pPr>
              <w:jc w:val="center"/>
              <w:rPr>
                <w:rFonts w:eastAsia="Calibri" w:cs="Calibri"/>
                <w:sz w:val="16"/>
                <w:szCs w:val="16"/>
              </w:rPr>
            </w:pPr>
            <w:r w:rsidRPr="00503014">
              <w:rPr>
                <w:rFonts w:eastAsia="Calibri" w:cs="Calibri"/>
                <w:sz w:val="16"/>
                <w:szCs w:val="16"/>
              </w:rPr>
              <w:t>4</w:t>
            </w:r>
          </w:p>
        </w:tc>
        <w:tc>
          <w:tcPr>
            <w:tcW w:w="851" w:type="dxa"/>
          </w:tcPr>
          <w:p w14:paraId="5486F624"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589DA349"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1559" w:type="dxa"/>
          </w:tcPr>
          <w:p w14:paraId="328E0A0D"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E7760FE" w14:textId="77777777" w:rsidTr="00980493">
        <w:trPr>
          <w:trHeight w:val="192"/>
        </w:trPr>
        <w:tc>
          <w:tcPr>
            <w:tcW w:w="2972" w:type="dxa"/>
          </w:tcPr>
          <w:p w14:paraId="25E0856D"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316B79E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0331059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AB1185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46FEFC2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3F1C200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35057C1E"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AB0B566" w14:textId="77777777" w:rsidTr="00980493">
        <w:trPr>
          <w:trHeight w:val="179"/>
        </w:trPr>
        <w:tc>
          <w:tcPr>
            <w:tcW w:w="2972" w:type="dxa"/>
          </w:tcPr>
          <w:p w14:paraId="34D0BECD"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47347FB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4415312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7C0B878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615BF2A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1F78E6F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C41FDC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3DF8B6B" w14:textId="77777777" w:rsidTr="00980493">
        <w:trPr>
          <w:trHeight w:val="192"/>
        </w:trPr>
        <w:tc>
          <w:tcPr>
            <w:tcW w:w="2972" w:type="dxa"/>
          </w:tcPr>
          <w:p w14:paraId="382BCD44"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036E80EC"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97" w:type="dxa"/>
          </w:tcPr>
          <w:p w14:paraId="4154A1B2"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945" w:type="dxa"/>
          </w:tcPr>
          <w:p w14:paraId="66CBF9D6"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51" w:type="dxa"/>
          </w:tcPr>
          <w:p w14:paraId="3A3C6E38"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276" w:type="dxa"/>
          </w:tcPr>
          <w:p w14:paraId="3B5D2E4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00C4AAF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BEF7DDF" w14:textId="77777777" w:rsidTr="00980493">
        <w:trPr>
          <w:trHeight w:val="179"/>
        </w:trPr>
        <w:tc>
          <w:tcPr>
            <w:tcW w:w="2972" w:type="dxa"/>
          </w:tcPr>
          <w:p w14:paraId="01F43881"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1128676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56145F0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68F99D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2E0E28C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03FE37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5E061F6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94F50C0" w14:textId="77777777" w:rsidTr="00980493">
        <w:trPr>
          <w:trHeight w:val="192"/>
        </w:trPr>
        <w:tc>
          <w:tcPr>
            <w:tcW w:w="2972" w:type="dxa"/>
          </w:tcPr>
          <w:p w14:paraId="1DBCAA7B"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69E4FBAF" w14:textId="77777777" w:rsidR="00695AE2" w:rsidRPr="00503014" w:rsidRDefault="00695AE2" w:rsidP="00980493">
            <w:pPr>
              <w:jc w:val="center"/>
              <w:rPr>
                <w:rFonts w:eastAsia="Calibri" w:cs="Calibri"/>
                <w:sz w:val="16"/>
                <w:szCs w:val="16"/>
              </w:rPr>
            </w:pPr>
            <w:r w:rsidRPr="00503014">
              <w:rPr>
                <w:rFonts w:eastAsia="Calibri" w:cs="Calibri"/>
                <w:sz w:val="16"/>
                <w:szCs w:val="16"/>
              </w:rPr>
              <w:t>297</w:t>
            </w:r>
          </w:p>
        </w:tc>
        <w:tc>
          <w:tcPr>
            <w:tcW w:w="897" w:type="dxa"/>
          </w:tcPr>
          <w:p w14:paraId="109861F6" w14:textId="77777777" w:rsidR="00695AE2" w:rsidRPr="00503014" w:rsidRDefault="00695AE2" w:rsidP="00980493">
            <w:pPr>
              <w:jc w:val="center"/>
              <w:rPr>
                <w:rFonts w:eastAsia="Calibri" w:cs="Calibri"/>
                <w:sz w:val="16"/>
                <w:szCs w:val="16"/>
              </w:rPr>
            </w:pPr>
            <w:r w:rsidRPr="00503014">
              <w:rPr>
                <w:rFonts w:eastAsia="Calibri" w:cs="Calibri"/>
                <w:sz w:val="16"/>
                <w:szCs w:val="16"/>
              </w:rPr>
              <w:t>120</w:t>
            </w:r>
          </w:p>
        </w:tc>
        <w:tc>
          <w:tcPr>
            <w:tcW w:w="945" w:type="dxa"/>
          </w:tcPr>
          <w:p w14:paraId="40F2D7BC" w14:textId="77777777" w:rsidR="00695AE2" w:rsidRPr="00503014" w:rsidRDefault="00695AE2" w:rsidP="00980493">
            <w:pPr>
              <w:jc w:val="center"/>
              <w:rPr>
                <w:rFonts w:eastAsia="Calibri" w:cs="Calibri"/>
                <w:sz w:val="16"/>
                <w:szCs w:val="16"/>
              </w:rPr>
            </w:pPr>
            <w:r w:rsidRPr="00503014">
              <w:rPr>
                <w:rFonts w:eastAsia="Calibri" w:cs="Calibri"/>
                <w:sz w:val="16"/>
                <w:szCs w:val="16"/>
              </w:rPr>
              <w:t>417</w:t>
            </w:r>
          </w:p>
        </w:tc>
        <w:tc>
          <w:tcPr>
            <w:tcW w:w="851" w:type="dxa"/>
          </w:tcPr>
          <w:p w14:paraId="3F4B1812" w14:textId="77777777" w:rsidR="00695AE2" w:rsidRPr="00503014" w:rsidRDefault="00695AE2" w:rsidP="00980493">
            <w:pPr>
              <w:jc w:val="center"/>
              <w:rPr>
                <w:rFonts w:eastAsia="Calibri" w:cs="Calibri"/>
                <w:sz w:val="16"/>
                <w:szCs w:val="16"/>
              </w:rPr>
            </w:pPr>
            <w:r w:rsidRPr="00503014">
              <w:rPr>
                <w:rFonts w:eastAsia="Calibri" w:cs="Calibri"/>
                <w:sz w:val="16"/>
                <w:szCs w:val="16"/>
              </w:rPr>
              <w:t>193</w:t>
            </w:r>
          </w:p>
        </w:tc>
        <w:tc>
          <w:tcPr>
            <w:tcW w:w="1276" w:type="dxa"/>
          </w:tcPr>
          <w:p w14:paraId="3EE73D09" w14:textId="77777777" w:rsidR="00695AE2" w:rsidRPr="00503014" w:rsidRDefault="00695AE2" w:rsidP="00980493">
            <w:pPr>
              <w:jc w:val="center"/>
              <w:rPr>
                <w:rFonts w:eastAsia="Calibri" w:cs="Calibri"/>
                <w:sz w:val="16"/>
                <w:szCs w:val="16"/>
              </w:rPr>
            </w:pPr>
            <w:r w:rsidRPr="00503014">
              <w:rPr>
                <w:rFonts w:eastAsia="Calibri" w:cs="Calibri"/>
                <w:sz w:val="16"/>
                <w:szCs w:val="16"/>
              </w:rPr>
              <w:t>224</w:t>
            </w:r>
          </w:p>
        </w:tc>
        <w:tc>
          <w:tcPr>
            <w:tcW w:w="1559" w:type="dxa"/>
          </w:tcPr>
          <w:p w14:paraId="481D5B9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AE32ACC" w14:textId="77777777" w:rsidTr="00980493">
        <w:trPr>
          <w:trHeight w:val="192"/>
        </w:trPr>
        <w:tc>
          <w:tcPr>
            <w:tcW w:w="2972" w:type="dxa"/>
          </w:tcPr>
          <w:p w14:paraId="62D9A59F"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52B3B6BA" w14:textId="77777777" w:rsidR="00695AE2" w:rsidRPr="00503014" w:rsidRDefault="00695AE2" w:rsidP="00980493">
            <w:pPr>
              <w:jc w:val="center"/>
              <w:rPr>
                <w:rFonts w:eastAsia="Calibri" w:cs="Calibri"/>
                <w:sz w:val="16"/>
                <w:szCs w:val="16"/>
              </w:rPr>
            </w:pPr>
            <w:r w:rsidRPr="00503014">
              <w:rPr>
                <w:rFonts w:eastAsia="Calibri" w:cs="Calibri"/>
                <w:sz w:val="16"/>
                <w:szCs w:val="16"/>
              </w:rPr>
              <w:t>247</w:t>
            </w:r>
          </w:p>
        </w:tc>
        <w:tc>
          <w:tcPr>
            <w:tcW w:w="897" w:type="dxa"/>
          </w:tcPr>
          <w:p w14:paraId="5375E1F9" w14:textId="77777777" w:rsidR="00695AE2" w:rsidRPr="00503014" w:rsidRDefault="00695AE2" w:rsidP="00980493">
            <w:pPr>
              <w:jc w:val="center"/>
              <w:rPr>
                <w:rFonts w:eastAsia="Calibri" w:cs="Calibri"/>
                <w:sz w:val="16"/>
                <w:szCs w:val="16"/>
              </w:rPr>
            </w:pPr>
            <w:r w:rsidRPr="00503014">
              <w:rPr>
                <w:rFonts w:eastAsia="Calibri" w:cs="Calibri"/>
                <w:sz w:val="16"/>
                <w:szCs w:val="16"/>
              </w:rPr>
              <w:t>110</w:t>
            </w:r>
          </w:p>
        </w:tc>
        <w:tc>
          <w:tcPr>
            <w:tcW w:w="945" w:type="dxa"/>
          </w:tcPr>
          <w:p w14:paraId="6C6AF694" w14:textId="77777777" w:rsidR="00695AE2" w:rsidRPr="00503014" w:rsidRDefault="00695AE2" w:rsidP="00980493">
            <w:pPr>
              <w:jc w:val="center"/>
              <w:rPr>
                <w:rFonts w:eastAsia="Calibri" w:cs="Calibri"/>
                <w:sz w:val="16"/>
                <w:szCs w:val="16"/>
              </w:rPr>
            </w:pPr>
            <w:r w:rsidRPr="00503014">
              <w:rPr>
                <w:rFonts w:eastAsia="Calibri" w:cs="Calibri"/>
                <w:sz w:val="16"/>
                <w:szCs w:val="16"/>
              </w:rPr>
              <w:t>357</w:t>
            </w:r>
          </w:p>
        </w:tc>
        <w:tc>
          <w:tcPr>
            <w:tcW w:w="851" w:type="dxa"/>
          </w:tcPr>
          <w:p w14:paraId="5E8285E6" w14:textId="77777777" w:rsidR="00695AE2" w:rsidRPr="00503014" w:rsidRDefault="00695AE2" w:rsidP="00980493">
            <w:pPr>
              <w:jc w:val="center"/>
              <w:rPr>
                <w:rFonts w:eastAsia="Calibri" w:cs="Calibri"/>
                <w:sz w:val="16"/>
                <w:szCs w:val="16"/>
              </w:rPr>
            </w:pPr>
            <w:r w:rsidRPr="00503014">
              <w:rPr>
                <w:rFonts w:eastAsia="Calibri" w:cs="Calibri"/>
                <w:sz w:val="16"/>
                <w:szCs w:val="16"/>
              </w:rPr>
              <w:t>90</w:t>
            </w:r>
          </w:p>
        </w:tc>
        <w:tc>
          <w:tcPr>
            <w:tcW w:w="1276" w:type="dxa"/>
          </w:tcPr>
          <w:p w14:paraId="5057A564" w14:textId="77777777" w:rsidR="00695AE2" w:rsidRPr="00503014" w:rsidRDefault="00695AE2" w:rsidP="00980493">
            <w:pPr>
              <w:jc w:val="center"/>
              <w:rPr>
                <w:rFonts w:eastAsia="Calibri" w:cs="Calibri"/>
                <w:sz w:val="16"/>
                <w:szCs w:val="16"/>
              </w:rPr>
            </w:pPr>
            <w:r w:rsidRPr="00503014">
              <w:rPr>
                <w:rFonts w:eastAsia="Calibri" w:cs="Calibri"/>
                <w:sz w:val="16"/>
                <w:szCs w:val="16"/>
              </w:rPr>
              <w:t>267</w:t>
            </w:r>
          </w:p>
        </w:tc>
        <w:tc>
          <w:tcPr>
            <w:tcW w:w="1559" w:type="dxa"/>
          </w:tcPr>
          <w:p w14:paraId="4D70C931"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10C17FD" w14:textId="77777777" w:rsidTr="00980493">
        <w:trPr>
          <w:trHeight w:val="192"/>
        </w:trPr>
        <w:tc>
          <w:tcPr>
            <w:tcW w:w="2972" w:type="dxa"/>
          </w:tcPr>
          <w:p w14:paraId="77EDD7AE"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7A782CE9" w14:textId="77777777" w:rsidR="00695AE2" w:rsidRPr="00503014" w:rsidRDefault="00695AE2" w:rsidP="00980493">
            <w:pPr>
              <w:jc w:val="center"/>
              <w:rPr>
                <w:rFonts w:eastAsia="Calibri" w:cs="Calibri"/>
                <w:sz w:val="16"/>
                <w:szCs w:val="16"/>
              </w:rPr>
            </w:pPr>
            <w:r w:rsidRPr="00503014">
              <w:rPr>
                <w:rFonts w:eastAsia="Calibri" w:cs="Calibri"/>
                <w:sz w:val="16"/>
                <w:szCs w:val="16"/>
              </w:rPr>
              <w:t>1.132</w:t>
            </w:r>
          </w:p>
        </w:tc>
        <w:tc>
          <w:tcPr>
            <w:tcW w:w="897" w:type="dxa"/>
          </w:tcPr>
          <w:p w14:paraId="6F5FECD7" w14:textId="77777777" w:rsidR="00695AE2" w:rsidRPr="00503014" w:rsidRDefault="00695AE2" w:rsidP="00980493">
            <w:pPr>
              <w:jc w:val="center"/>
              <w:rPr>
                <w:rFonts w:eastAsia="Calibri" w:cs="Calibri"/>
                <w:sz w:val="16"/>
                <w:szCs w:val="16"/>
              </w:rPr>
            </w:pPr>
            <w:r w:rsidRPr="00503014">
              <w:rPr>
                <w:rFonts w:eastAsia="Calibri" w:cs="Calibri"/>
                <w:sz w:val="16"/>
                <w:szCs w:val="16"/>
              </w:rPr>
              <w:t>1.157</w:t>
            </w:r>
          </w:p>
        </w:tc>
        <w:tc>
          <w:tcPr>
            <w:tcW w:w="945" w:type="dxa"/>
          </w:tcPr>
          <w:p w14:paraId="4E0DDA3B" w14:textId="77777777" w:rsidR="00695AE2" w:rsidRPr="00503014" w:rsidRDefault="00695AE2" w:rsidP="00980493">
            <w:pPr>
              <w:jc w:val="center"/>
              <w:rPr>
                <w:rFonts w:eastAsia="Calibri" w:cs="Calibri"/>
                <w:sz w:val="16"/>
                <w:szCs w:val="16"/>
              </w:rPr>
            </w:pPr>
            <w:r w:rsidRPr="00503014">
              <w:rPr>
                <w:rFonts w:eastAsia="Calibri" w:cs="Calibri"/>
                <w:sz w:val="16"/>
                <w:szCs w:val="16"/>
              </w:rPr>
              <w:t>2.289</w:t>
            </w:r>
          </w:p>
        </w:tc>
        <w:tc>
          <w:tcPr>
            <w:tcW w:w="851" w:type="dxa"/>
          </w:tcPr>
          <w:p w14:paraId="0479F975" w14:textId="77777777" w:rsidR="00695AE2" w:rsidRPr="00503014" w:rsidRDefault="00695AE2" w:rsidP="00980493">
            <w:pPr>
              <w:jc w:val="center"/>
              <w:rPr>
                <w:rFonts w:eastAsia="Calibri" w:cs="Calibri"/>
                <w:sz w:val="16"/>
                <w:szCs w:val="16"/>
              </w:rPr>
            </w:pPr>
            <w:r w:rsidRPr="00503014">
              <w:rPr>
                <w:rFonts w:eastAsia="Calibri" w:cs="Calibri"/>
                <w:sz w:val="16"/>
                <w:szCs w:val="16"/>
              </w:rPr>
              <w:t>1.605</w:t>
            </w:r>
          </w:p>
        </w:tc>
        <w:tc>
          <w:tcPr>
            <w:tcW w:w="1276" w:type="dxa"/>
          </w:tcPr>
          <w:p w14:paraId="56639FD2" w14:textId="77777777" w:rsidR="00695AE2" w:rsidRPr="00503014" w:rsidRDefault="00695AE2" w:rsidP="00980493">
            <w:pPr>
              <w:jc w:val="center"/>
              <w:rPr>
                <w:rFonts w:eastAsia="Calibri" w:cs="Calibri"/>
                <w:sz w:val="16"/>
                <w:szCs w:val="16"/>
              </w:rPr>
            </w:pPr>
            <w:r w:rsidRPr="00503014">
              <w:rPr>
                <w:rFonts w:eastAsia="Calibri" w:cs="Calibri"/>
                <w:sz w:val="16"/>
                <w:szCs w:val="16"/>
              </w:rPr>
              <w:t>684</w:t>
            </w:r>
          </w:p>
        </w:tc>
        <w:tc>
          <w:tcPr>
            <w:tcW w:w="1559" w:type="dxa"/>
          </w:tcPr>
          <w:p w14:paraId="46F71C7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43F5BE5" w14:textId="77777777" w:rsidTr="00980493">
        <w:trPr>
          <w:trHeight w:val="192"/>
        </w:trPr>
        <w:tc>
          <w:tcPr>
            <w:tcW w:w="2972" w:type="dxa"/>
          </w:tcPr>
          <w:p w14:paraId="18010A12"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7AEC211D" w14:textId="77777777" w:rsidR="00695AE2" w:rsidRPr="00503014" w:rsidRDefault="00695AE2" w:rsidP="00980493">
            <w:pPr>
              <w:jc w:val="center"/>
              <w:rPr>
                <w:rFonts w:eastAsia="Calibri" w:cs="Calibri"/>
                <w:sz w:val="16"/>
                <w:szCs w:val="16"/>
              </w:rPr>
            </w:pPr>
            <w:r w:rsidRPr="00503014">
              <w:rPr>
                <w:rFonts w:eastAsia="Calibri" w:cs="Calibri"/>
                <w:sz w:val="16"/>
                <w:szCs w:val="16"/>
              </w:rPr>
              <w:t>251</w:t>
            </w:r>
          </w:p>
        </w:tc>
        <w:tc>
          <w:tcPr>
            <w:tcW w:w="897" w:type="dxa"/>
          </w:tcPr>
          <w:p w14:paraId="4FBF47CD" w14:textId="77777777" w:rsidR="00695AE2" w:rsidRPr="00503014" w:rsidRDefault="00695AE2" w:rsidP="00980493">
            <w:pPr>
              <w:jc w:val="center"/>
              <w:rPr>
                <w:rFonts w:eastAsia="Calibri" w:cs="Calibri"/>
                <w:sz w:val="16"/>
                <w:szCs w:val="16"/>
              </w:rPr>
            </w:pPr>
            <w:r w:rsidRPr="00503014">
              <w:rPr>
                <w:rFonts w:eastAsia="Calibri" w:cs="Calibri"/>
                <w:sz w:val="16"/>
                <w:szCs w:val="16"/>
              </w:rPr>
              <w:t>54</w:t>
            </w:r>
          </w:p>
        </w:tc>
        <w:tc>
          <w:tcPr>
            <w:tcW w:w="945" w:type="dxa"/>
          </w:tcPr>
          <w:p w14:paraId="78325D75" w14:textId="77777777" w:rsidR="00695AE2" w:rsidRPr="00503014" w:rsidRDefault="00695AE2" w:rsidP="00980493">
            <w:pPr>
              <w:jc w:val="center"/>
              <w:rPr>
                <w:rFonts w:eastAsia="Calibri" w:cs="Calibri"/>
                <w:sz w:val="16"/>
                <w:szCs w:val="16"/>
              </w:rPr>
            </w:pPr>
            <w:r w:rsidRPr="00503014">
              <w:rPr>
                <w:rFonts w:eastAsia="Calibri" w:cs="Calibri"/>
                <w:sz w:val="16"/>
                <w:szCs w:val="16"/>
              </w:rPr>
              <w:t>305</w:t>
            </w:r>
          </w:p>
        </w:tc>
        <w:tc>
          <w:tcPr>
            <w:tcW w:w="851" w:type="dxa"/>
          </w:tcPr>
          <w:p w14:paraId="3F38577A" w14:textId="77777777" w:rsidR="00695AE2" w:rsidRPr="00503014" w:rsidRDefault="00695AE2" w:rsidP="00980493">
            <w:pPr>
              <w:jc w:val="center"/>
              <w:rPr>
                <w:rFonts w:eastAsia="Calibri" w:cs="Calibri"/>
                <w:sz w:val="16"/>
                <w:szCs w:val="16"/>
              </w:rPr>
            </w:pPr>
            <w:r w:rsidRPr="00503014">
              <w:rPr>
                <w:rFonts w:eastAsia="Calibri" w:cs="Calibri"/>
                <w:sz w:val="16"/>
                <w:szCs w:val="16"/>
              </w:rPr>
              <w:t>107</w:t>
            </w:r>
          </w:p>
        </w:tc>
        <w:tc>
          <w:tcPr>
            <w:tcW w:w="1276" w:type="dxa"/>
          </w:tcPr>
          <w:p w14:paraId="6F80B477" w14:textId="77777777" w:rsidR="00695AE2" w:rsidRPr="00503014" w:rsidRDefault="00695AE2" w:rsidP="00980493">
            <w:pPr>
              <w:jc w:val="center"/>
              <w:rPr>
                <w:rFonts w:eastAsia="Calibri" w:cs="Calibri"/>
                <w:sz w:val="16"/>
                <w:szCs w:val="16"/>
              </w:rPr>
            </w:pPr>
            <w:r w:rsidRPr="00503014">
              <w:rPr>
                <w:rFonts w:eastAsia="Calibri" w:cs="Calibri"/>
                <w:sz w:val="16"/>
                <w:szCs w:val="16"/>
              </w:rPr>
              <w:t>198</w:t>
            </w:r>
          </w:p>
        </w:tc>
        <w:tc>
          <w:tcPr>
            <w:tcW w:w="1559" w:type="dxa"/>
          </w:tcPr>
          <w:p w14:paraId="37982E9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1328572" w14:textId="77777777" w:rsidTr="00980493">
        <w:trPr>
          <w:trHeight w:val="192"/>
        </w:trPr>
        <w:tc>
          <w:tcPr>
            <w:tcW w:w="2972" w:type="dxa"/>
          </w:tcPr>
          <w:p w14:paraId="6DB55D9E"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61D57926" w14:textId="77777777" w:rsidR="00695AE2" w:rsidRPr="00503014" w:rsidRDefault="00695AE2" w:rsidP="00980493">
            <w:pPr>
              <w:jc w:val="center"/>
              <w:rPr>
                <w:rFonts w:eastAsia="Calibri" w:cs="Calibri"/>
                <w:sz w:val="16"/>
                <w:szCs w:val="16"/>
              </w:rPr>
            </w:pPr>
            <w:r w:rsidRPr="00503014">
              <w:rPr>
                <w:rFonts w:eastAsia="Calibri" w:cs="Calibri"/>
                <w:sz w:val="16"/>
                <w:szCs w:val="16"/>
              </w:rPr>
              <w:t>44</w:t>
            </w:r>
          </w:p>
        </w:tc>
        <w:tc>
          <w:tcPr>
            <w:tcW w:w="897" w:type="dxa"/>
          </w:tcPr>
          <w:p w14:paraId="55957F4B" w14:textId="77777777" w:rsidR="00695AE2" w:rsidRPr="00503014" w:rsidRDefault="00695AE2" w:rsidP="00980493">
            <w:pPr>
              <w:jc w:val="center"/>
              <w:rPr>
                <w:rFonts w:eastAsia="Calibri" w:cs="Calibri"/>
                <w:sz w:val="16"/>
                <w:szCs w:val="16"/>
              </w:rPr>
            </w:pPr>
            <w:r w:rsidRPr="00503014">
              <w:rPr>
                <w:rFonts w:eastAsia="Calibri" w:cs="Calibri"/>
                <w:sz w:val="16"/>
                <w:szCs w:val="16"/>
              </w:rPr>
              <w:t>414</w:t>
            </w:r>
          </w:p>
        </w:tc>
        <w:tc>
          <w:tcPr>
            <w:tcW w:w="945" w:type="dxa"/>
          </w:tcPr>
          <w:p w14:paraId="63414DF0" w14:textId="77777777" w:rsidR="00695AE2" w:rsidRPr="00503014" w:rsidRDefault="00695AE2" w:rsidP="00980493">
            <w:pPr>
              <w:jc w:val="center"/>
              <w:rPr>
                <w:rFonts w:eastAsia="Calibri" w:cs="Calibri"/>
                <w:sz w:val="16"/>
                <w:szCs w:val="16"/>
              </w:rPr>
            </w:pPr>
            <w:r w:rsidRPr="00503014">
              <w:rPr>
                <w:rFonts w:eastAsia="Calibri" w:cs="Calibri"/>
                <w:sz w:val="16"/>
                <w:szCs w:val="16"/>
              </w:rPr>
              <w:t>458</w:t>
            </w:r>
          </w:p>
        </w:tc>
        <w:tc>
          <w:tcPr>
            <w:tcW w:w="851" w:type="dxa"/>
          </w:tcPr>
          <w:p w14:paraId="5B57ED64" w14:textId="77777777" w:rsidR="00695AE2" w:rsidRPr="00503014" w:rsidRDefault="00695AE2" w:rsidP="00980493">
            <w:pPr>
              <w:jc w:val="center"/>
              <w:rPr>
                <w:rFonts w:eastAsia="Calibri" w:cs="Calibri"/>
                <w:sz w:val="16"/>
                <w:szCs w:val="16"/>
              </w:rPr>
            </w:pPr>
            <w:r w:rsidRPr="00503014">
              <w:rPr>
                <w:rFonts w:eastAsia="Calibri" w:cs="Calibri"/>
                <w:sz w:val="16"/>
                <w:szCs w:val="16"/>
              </w:rPr>
              <w:t>394</w:t>
            </w:r>
          </w:p>
        </w:tc>
        <w:tc>
          <w:tcPr>
            <w:tcW w:w="1276" w:type="dxa"/>
          </w:tcPr>
          <w:p w14:paraId="573B032C" w14:textId="77777777" w:rsidR="00695AE2" w:rsidRPr="00503014" w:rsidRDefault="00695AE2" w:rsidP="00980493">
            <w:pPr>
              <w:jc w:val="center"/>
              <w:rPr>
                <w:rFonts w:eastAsia="Calibri" w:cs="Calibri"/>
                <w:sz w:val="16"/>
                <w:szCs w:val="16"/>
              </w:rPr>
            </w:pPr>
            <w:r w:rsidRPr="00503014">
              <w:rPr>
                <w:rFonts w:eastAsia="Calibri" w:cs="Calibri"/>
                <w:sz w:val="16"/>
                <w:szCs w:val="16"/>
              </w:rPr>
              <w:t>64</w:t>
            </w:r>
          </w:p>
        </w:tc>
        <w:tc>
          <w:tcPr>
            <w:tcW w:w="1559" w:type="dxa"/>
          </w:tcPr>
          <w:p w14:paraId="0DF593C4"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C8EC05A" w14:textId="77777777" w:rsidTr="00980493">
        <w:trPr>
          <w:trHeight w:val="192"/>
        </w:trPr>
        <w:tc>
          <w:tcPr>
            <w:tcW w:w="2972" w:type="dxa"/>
          </w:tcPr>
          <w:p w14:paraId="2A362595"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7A4C7D52"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97" w:type="dxa"/>
          </w:tcPr>
          <w:p w14:paraId="6370BBD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76E2BCC2"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851" w:type="dxa"/>
          </w:tcPr>
          <w:p w14:paraId="73704B45"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276" w:type="dxa"/>
          </w:tcPr>
          <w:p w14:paraId="36048C6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78A37E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88253CD" w14:textId="77777777" w:rsidTr="00980493">
        <w:trPr>
          <w:trHeight w:val="192"/>
        </w:trPr>
        <w:tc>
          <w:tcPr>
            <w:tcW w:w="2972" w:type="dxa"/>
          </w:tcPr>
          <w:p w14:paraId="4B762213"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0E060387"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97" w:type="dxa"/>
          </w:tcPr>
          <w:p w14:paraId="17C2169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BE9F381"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51" w:type="dxa"/>
          </w:tcPr>
          <w:p w14:paraId="292F625F"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19DDAD6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853236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9937E82" w14:textId="77777777" w:rsidTr="00980493">
        <w:trPr>
          <w:trHeight w:val="192"/>
        </w:trPr>
        <w:tc>
          <w:tcPr>
            <w:tcW w:w="2972" w:type="dxa"/>
          </w:tcPr>
          <w:p w14:paraId="1AD5C574"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1604AEC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4CB21EF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85B1B0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0A2812C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3E659AE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5AF4BA14"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2A693AF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2208B5D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503014">
        <w:rPr>
          <w:rFonts w:eastAsia="Calibri"/>
          <w:b/>
          <w:color w:val="007466"/>
          <w:spacing w:val="1"/>
          <w:sz w:val="20"/>
          <w:szCs w:val="20"/>
        </w:rPr>
        <w:t>Zunanji oddelek Državnega odvetništva RS v Novem mestu</w:t>
      </w:r>
    </w:p>
    <w:p w14:paraId="43346F84"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27026A2D" w14:textId="77777777" w:rsidTr="00980493">
        <w:trPr>
          <w:trHeight w:val="839"/>
        </w:trPr>
        <w:tc>
          <w:tcPr>
            <w:tcW w:w="2972" w:type="dxa"/>
          </w:tcPr>
          <w:p w14:paraId="4DA6EB3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1799F1F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07E4AD4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6AD7819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6894263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168A34F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4F1FAC2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0D1CDACC" w14:textId="77777777" w:rsidR="00695AE2" w:rsidRPr="00503014" w:rsidRDefault="00695AE2" w:rsidP="00980493">
            <w:pPr>
              <w:jc w:val="center"/>
              <w:rPr>
                <w:rFonts w:eastAsia="Times New Roman" w:cs="Calibri"/>
                <w:sz w:val="16"/>
                <w:szCs w:val="16"/>
              </w:rPr>
            </w:pPr>
          </w:p>
        </w:tc>
      </w:tr>
      <w:tr w:rsidR="00695AE2" w:rsidRPr="00503014" w14:paraId="3FAFDBF3" w14:textId="77777777" w:rsidTr="00980493">
        <w:trPr>
          <w:trHeight w:val="192"/>
        </w:trPr>
        <w:tc>
          <w:tcPr>
            <w:tcW w:w="2972" w:type="dxa"/>
          </w:tcPr>
          <w:p w14:paraId="22AFFE51"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54BC2538" w14:textId="77777777" w:rsidR="00695AE2" w:rsidRPr="00503014" w:rsidRDefault="00695AE2" w:rsidP="00980493">
            <w:pPr>
              <w:jc w:val="center"/>
              <w:rPr>
                <w:rFonts w:eastAsia="Calibri" w:cs="Calibri"/>
                <w:sz w:val="16"/>
                <w:szCs w:val="16"/>
              </w:rPr>
            </w:pPr>
            <w:r w:rsidRPr="00503014">
              <w:rPr>
                <w:rFonts w:eastAsia="Calibri" w:cs="Calibri"/>
                <w:sz w:val="16"/>
                <w:szCs w:val="16"/>
              </w:rPr>
              <w:t>79</w:t>
            </w:r>
          </w:p>
        </w:tc>
        <w:tc>
          <w:tcPr>
            <w:tcW w:w="897" w:type="dxa"/>
          </w:tcPr>
          <w:p w14:paraId="50ECAD3C" w14:textId="77777777" w:rsidR="00695AE2" w:rsidRPr="00503014" w:rsidRDefault="00695AE2" w:rsidP="00980493">
            <w:pPr>
              <w:jc w:val="center"/>
              <w:rPr>
                <w:rFonts w:eastAsia="Calibri" w:cs="Calibri"/>
                <w:sz w:val="16"/>
                <w:szCs w:val="16"/>
              </w:rPr>
            </w:pPr>
            <w:r w:rsidRPr="00503014">
              <w:rPr>
                <w:rFonts w:eastAsia="Calibri" w:cs="Calibri"/>
                <w:sz w:val="16"/>
                <w:szCs w:val="16"/>
              </w:rPr>
              <w:t>35</w:t>
            </w:r>
          </w:p>
        </w:tc>
        <w:tc>
          <w:tcPr>
            <w:tcW w:w="945" w:type="dxa"/>
          </w:tcPr>
          <w:p w14:paraId="22BEB31C" w14:textId="77777777" w:rsidR="00695AE2" w:rsidRPr="00503014" w:rsidRDefault="00695AE2" w:rsidP="00980493">
            <w:pPr>
              <w:jc w:val="center"/>
              <w:rPr>
                <w:rFonts w:eastAsia="Calibri" w:cs="Calibri"/>
                <w:sz w:val="16"/>
                <w:szCs w:val="16"/>
              </w:rPr>
            </w:pPr>
            <w:r w:rsidRPr="00503014">
              <w:rPr>
                <w:rFonts w:eastAsia="Calibri" w:cs="Calibri"/>
                <w:sz w:val="16"/>
                <w:szCs w:val="16"/>
              </w:rPr>
              <w:t>114</w:t>
            </w:r>
          </w:p>
        </w:tc>
        <w:tc>
          <w:tcPr>
            <w:tcW w:w="851" w:type="dxa"/>
          </w:tcPr>
          <w:p w14:paraId="08EA0A9F" w14:textId="77777777" w:rsidR="00695AE2" w:rsidRPr="00503014" w:rsidRDefault="00695AE2" w:rsidP="00980493">
            <w:pPr>
              <w:jc w:val="center"/>
              <w:rPr>
                <w:rFonts w:eastAsia="Calibri" w:cs="Calibri"/>
                <w:sz w:val="16"/>
                <w:szCs w:val="16"/>
              </w:rPr>
            </w:pPr>
            <w:r w:rsidRPr="00503014">
              <w:rPr>
                <w:rFonts w:eastAsia="Calibri" w:cs="Calibri"/>
                <w:sz w:val="16"/>
                <w:szCs w:val="16"/>
              </w:rPr>
              <w:t>51</w:t>
            </w:r>
          </w:p>
        </w:tc>
        <w:tc>
          <w:tcPr>
            <w:tcW w:w="1276" w:type="dxa"/>
          </w:tcPr>
          <w:p w14:paraId="15A63A40" w14:textId="77777777" w:rsidR="00695AE2" w:rsidRPr="00503014" w:rsidRDefault="00695AE2" w:rsidP="00980493">
            <w:pPr>
              <w:jc w:val="center"/>
              <w:rPr>
                <w:rFonts w:eastAsia="Calibri" w:cs="Calibri"/>
                <w:sz w:val="16"/>
                <w:szCs w:val="16"/>
              </w:rPr>
            </w:pPr>
            <w:r w:rsidRPr="00503014">
              <w:rPr>
                <w:rFonts w:eastAsia="Calibri" w:cs="Calibri"/>
                <w:sz w:val="16"/>
                <w:szCs w:val="16"/>
              </w:rPr>
              <w:t>63</w:t>
            </w:r>
          </w:p>
        </w:tc>
        <w:tc>
          <w:tcPr>
            <w:tcW w:w="1559" w:type="dxa"/>
          </w:tcPr>
          <w:p w14:paraId="25155D7A"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EF57224" w14:textId="77777777" w:rsidTr="00980493">
        <w:trPr>
          <w:trHeight w:val="179"/>
        </w:trPr>
        <w:tc>
          <w:tcPr>
            <w:tcW w:w="2972" w:type="dxa"/>
          </w:tcPr>
          <w:p w14:paraId="5895CFD1"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06527D44" w14:textId="77777777" w:rsidR="00695AE2" w:rsidRPr="00503014" w:rsidRDefault="00695AE2" w:rsidP="00980493">
            <w:pPr>
              <w:jc w:val="center"/>
              <w:rPr>
                <w:rFonts w:eastAsia="Calibri" w:cs="Calibri"/>
                <w:sz w:val="16"/>
                <w:szCs w:val="16"/>
              </w:rPr>
            </w:pPr>
            <w:r w:rsidRPr="00503014">
              <w:rPr>
                <w:rFonts w:eastAsia="Calibri" w:cs="Calibri"/>
                <w:sz w:val="16"/>
                <w:szCs w:val="16"/>
              </w:rPr>
              <w:t>71</w:t>
            </w:r>
          </w:p>
        </w:tc>
        <w:tc>
          <w:tcPr>
            <w:tcW w:w="897" w:type="dxa"/>
          </w:tcPr>
          <w:p w14:paraId="259C423E" w14:textId="77777777" w:rsidR="00695AE2" w:rsidRPr="00503014" w:rsidRDefault="00695AE2" w:rsidP="00980493">
            <w:pPr>
              <w:jc w:val="center"/>
              <w:rPr>
                <w:rFonts w:eastAsia="Calibri" w:cs="Calibri"/>
                <w:sz w:val="16"/>
                <w:szCs w:val="16"/>
              </w:rPr>
            </w:pPr>
            <w:r w:rsidRPr="00503014">
              <w:rPr>
                <w:rFonts w:eastAsia="Calibri" w:cs="Calibri"/>
                <w:sz w:val="16"/>
                <w:szCs w:val="16"/>
              </w:rPr>
              <w:t>154</w:t>
            </w:r>
          </w:p>
        </w:tc>
        <w:tc>
          <w:tcPr>
            <w:tcW w:w="945" w:type="dxa"/>
          </w:tcPr>
          <w:p w14:paraId="76A60243" w14:textId="77777777" w:rsidR="00695AE2" w:rsidRPr="00503014" w:rsidRDefault="00695AE2" w:rsidP="00980493">
            <w:pPr>
              <w:jc w:val="center"/>
              <w:rPr>
                <w:rFonts w:eastAsia="Calibri" w:cs="Calibri"/>
                <w:sz w:val="16"/>
                <w:szCs w:val="16"/>
              </w:rPr>
            </w:pPr>
            <w:r w:rsidRPr="00503014">
              <w:rPr>
                <w:rFonts w:eastAsia="Calibri" w:cs="Calibri"/>
                <w:sz w:val="16"/>
                <w:szCs w:val="16"/>
              </w:rPr>
              <w:t>225</w:t>
            </w:r>
          </w:p>
        </w:tc>
        <w:tc>
          <w:tcPr>
            <w:tcW w:w="851" w:type="dxa"/>
          </w:tcPr>
          <w:p w14:paraId="59B1B7F4" w14:textId="77777777" w:rsidR="00695AE2" w:rsidRPr="00503014" w:rsidRDefault="00695AE2" w:rsidP="00980493">
            <w:pPr>
              <w:jc w:val="center"/>
              <w:rPr>
                <w:rFonts w:eastAsia="Calibri" w:cs="Calibri"/>
                <w:sz w:val="16"/>
                <w:szCs w:val="16"/>
              </w:rPr>
            </w:pPr>
            <w:r w:rsidRPr="00503014">
              <w:rPr>
                <w:rFonts w:eastAsia="Calibri" w:cs="Calibri"/>
                <w:sz w:val="16"/>
                <w:szCs w:val="16"/>
              </w:rPr>
              <w:t>141</w:t>
            </w:r>
          </w:p>
        </w:tc>
        <w:tc>
          <w:tcPr>
            <w:tcW w:w="1276" w:type="dxa"/>
          </w:tcPr>
          <w:p w14:paraId="11EAEFF9" w14:textId="77777777" w:rsidR="00695AE2" w:rsidRPr="00503014" w:rsidRDefault="00695AE2" w:rsidP="00980493">
            <w:pPr>
              <w:jc w:val="center"/>
              <w:rPr>
                <w:rFonts w:eastAsia="Calibri" w:cs="Calibri"/>
                <w:sz w:val="16"/>
                <w:szCs w:val="16"/>
              </w:rPr>
            </w:pPr>
            <w:r w:rsidRPr="00503014">
              <w:rPr>
                <w:rFonts w:eastAsia="Calibri" w:cs="Calibri"/>
                <w:sz w:val="16"/>
                <w:szCs w:val="16"/>
              </w:rPr>
              <w:t>84</w:t>
            </w:r>
          </w:p>
        </w:tc>
        <w:tc>
          <w:tcPr>
            <w:tcW w:w="1559" w:type="dxa"/>
          </w:tcPr>
          <w:p w14:paraId="7D04DF3F"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6FB8512" w14:textId="77777777" w:rsidTr="00980493">
        <w:trPr>
          <w:trHeight w:val="192"/>
        </w:trPr>
        <w:tc>
          <w:tcPr>
            <w:tcW w:w="2972" w:type="dxa"/>
          </w:tcPr>
          <w:p w14:paraId="6928AB76"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5846CCA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2F25BCA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55C3C71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2B95E1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2C5BCD6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58E2FC7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254B7D2" w14:textId="77777777" w:rsidTr="00980493">
        <w:trPr>
          <w:trHeight w:val="179"/>
        </w:trPr>
        <w:tc>
          <w:tcPr>
            <w:tcW w:w="2972" w:type="dxa"/>
          </w:tcPr>
          <w:p w14:paraId="4A2CCD58"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33CE7F9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1401766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7294B1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263308E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EEA35D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4A1FD5AA"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57D09F5" w14:textId="77777777" w:rsidTr="00980493">
        <w:trPr>
          <w:trHeight w:val="192"/>
        </w:trPr>
        <w:tc>
          <w:tcPr>
            <w:tcW w:w="2972" w:type="dxa"/>
          </w:tcPr>
          <w:p w14:paraId="471CBDB1"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34A6174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62D8C34E"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945" w:type="dxa"/>
          </w:tcPr>
          <w:p w14:paraId="30C97B7A"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51" w:type="dxa"/>
          </w:tcPr>
          <w:p w14:paraId="3C92BFA0"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64CE41D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57C040A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B21B509" w14:textId="77777777" w:rsidTr="00980493">
        <w:trPr>
          <w:trHeight w:val="179"/>
        </w:trPr>
        <w:tc>
          <w:tcPr>
            <w:tcW w:w="2972" w:type="dxa"/>
          </w:tcPr>
          <w:p w14:paraId="28F3B3D4"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28468BD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3570211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29B2ECC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031DA8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2398E67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3BCDA43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C6E0D09" w14:textId="77777777" w:rsidTr="00980493">
        <w:trPr>
          <w:trHeight w:val="192"/>
        </w:trPr>
        <w:tc>
          <w:tcPr>
            <w:tcW w:w="2972" w:type="dxa"/>
          </w:tcPr>
          <w:p w14:paraId="372AF90E"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06A15F50" w14:textId="77777777" w:rsidR="00695AE2" w:rsidRPr="00503014" w:rsidRDefault="00695AE2" w:rsidP="00980493">
            <w:pPr>
              <w:jc w:val="center"/>
              <w:rPr>
                <w:rFonts w:eastAsia="Calibri" w:cs="Calibri"/>
                <w:sz w:val="16"/>
                <w:szCs w:val="16"/>
              </w:rPr>
            </w:pPr>
            <w:r w:rsidRPr="00503014">
              <w:rPr>
                <w:rFonts w:eastAsia="Calibri" w:cs="Calibri"/>
                <w:sz w:val="16"/>
                <w:szCs w:val="16"/>
              </w:rPr>
              <w:t>734</w:t>
            </w:r>
          </w:p>
        </w:tc>
        <w:tc>
          <w:tcPr>
            <w:tcW w:w="897" w:type="dxa"/>
          </w:tcPr>
          <w:p w14:paraId="77D22FA4" w14:textId="77777777" w:rsidR="00695AE2" w:rsidRPr="00503014" w:rsidRDefault="00695AE2" w:rsidP="00980493">
            <w:pPr>
              <w:jc w:val="center"/>
              <w:rPr>
                <w:rFonts w:eastAsia="Calibri" w:cs="Calibri"/>
                <w:sz w:val="16"/>
                <w:szCs w:val="16"/>
              </w:rPr>
            </w:pPr>
            <w:r w:rsidRPr="00503014">
              <w:rPr>
                <w:rFonts w:eastAsia="Calibri" w:cs="Calibri"/>
                <w:sz w:val="16"/>
                <w:szCs w:val="16"/>
              </w:rPr>
              <w:t>299</w:t>
            </w:r>
          </w:p>
        </w:tc>
        <w:tc>
          <w:tcPr>
            <w:tcW w:w="945" w:type="dxa"/>
          </w:tcPr>
          <w:p w14:paraId="557A8D87" w14:textId="77777777" w:rsidR="00695AE2" w:rsidRPr="00503014" w:rsidRDefault="00695AE2" w:rsidP="00980493">
            <w:pPr>
              <w:jc w:val="center"/>
              <w:rPr>
                <w:rFonts w:eastAsia="Calibri" w:cs="Calibri"/>
                <w:sz w:val="16"/>
                <w:szCs w:val="16"/>
              </w:rPr>
            </w:pPr>
            <w:r w:rsidRPr="00503014">
              <w:rPr>
                <w:rFonts w:eastAsia="Calibri" w:cs="Calibri"/>
                <w:sz w:val="16"/>
                <w:szCs w:val="16"/>
              </w:rPr>
              <w:t>1.033</w:t>
            </w:r>
          </w:p>
        </w:tc>
        <w:tc>
          <w:tcPr>
            <w:tcW w:w="851" w:type="dxa"/>
          </w:tcPr>
          <w:p w14:paraId="5994640F" w14:textId="77777777" w:rsidR="00695AE2" w:rsidRPr="00503014" w:rsidRDefault="00695AE2" w:rsidP="00980493">
            <w:pPr>
              <w:jc w:val="center"/>
              <w:rPr>
                <w:rFonts w:eastAsia="Calibri" w:cs="Calibri"/>
                <w:sz w:val="16"/>
                <w:szCs w:val="16"/>
              </w:rPr>
            </w:pPr>
            <w:r w:rsidRPr="00503014">
              <w:rPr>
                <w:rFonts w:eastAsia="Calibri" w:cs="Calibri"/>
                <w:sz w:val="16"/>
                <w:szCs w:val="16"/>
              </w:rPr>
              <w:t>431</w:t>
            </w:r>
          </w:p>
        </w:tc>
        <w:tc>
          <w:tcPr>
            <w:tcW w:w="1276" w:type="dxa"/>
          </w:tcPr>
          <w:p w14:paraId="2CCF827F" w14:textId="77777777" w:rsidR="00695AE2" w:rsidRPr="00503014" w:rsidRDefault="00695AE2" w:rsidP="00980493">
            <w:pPr>
              <w:jc w:val="center"/>
              <w:rPr>
                <w:rFonts w:eastAsia="Calibri" w:cs="Calibri"/>
                <w:sz w:val="16"/>
                <w:szCs w:val="16"/>
              </w:rPr>
            </w:pPr>
            <w:r w:rsidRPr="00503014">
              <w:rPr>
                <w:rFonts w:eastAsia="Calibri" w:cs="Calibri"/>
                <w:sz w:val="16"/>
                <w:szCs w:val="16"/>
              </w:rPr>
              <w:t>602</w:t>
            </w:r>
          </w:p>
        </w:tc>
        <w:tc>
          <w:tcPr>
            <w:tcW w:w="1559" w:type="dxa"/>
          </w:tcPr>
          <w:p w14:paraId="2FCDFCF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52F446BD" w14:textId="77777777" w:rsidTr="00980493">
        <w:trPr>
          <w:trHeight w:val="192"/>
        </w:trPr>
        <w:tc>
          <w:tcPr>
            <w:tcW w:w="2972" w:type="dxa"/>
          </w:tcPr>
          <w:p w14:paraId="74F6D76D"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3CB3638A" w14:textId="77777777" w:rsidR="00695AE2" w:rsidRPr="00503014" w:rsidRDefault="00695AE2" w:rsidP="00980493">
            <w:pPr>
              <w:jc w:val="center"/>
              <w:rPr>
                <w:rFonts w:eastAsia="Calibri" w:cs="Calibri"/>
                <w:sz w:val="16"/>
                <w:szCs w:val="16"/>
              </w:rPr>
            </w:pPr>
            <w:r w:rsidRPr="00503014">
              <w:rPr>
                <w:rFonts w:eastAsia="Calibri" w:cs="Calibri"/>
                <w:sz w:val="16"/>
                <w:szCs w:val="16"/>
              </w:rPr>
              <w:t>515</w:t>
            </w:r>
          </w:p>
        </w:tc>
        <w:tc>
          <w:tcPr>
            <w:tcW w:w="897" w:type="dxa"/>
          </w:tcPr>
          <w:p w14:paraId="48FE712F" w14:textId="77777777" w:rsidR="00695AE2" w:rsidRPr="00503014" w:rsidRDefault="00695AE2" w:rsidP="00980493">
            <w:pPr>
              <w:jc w:val="center"/>
              <w:rPr>
                <w:rFonts w:eastAsia="Calibri" w:cs="Calibri"/>
                <w:sz w:val="16"/>
                <w:szCs w:val="16"/>
              </w:rPr>
            </w:pPr>
            <w:r w:rsidRPr="00503014">
              <w:rPr>
                <w:rFonts w:eastAsia="Calibri" w:cs="Calibri"/>
                <w:sz w:val="16"/>
                <w:szCs w:val="16"/>
              </w:rPr>
              <w:t>237</w:t>
            </w:r>
          </w:p>
        </w:tc>
        <w:tc>
          <w:tcPr>
            <w:tcW w:w="945" w:type="dxa"/>
          </w:tcPr>
          <w:p w14:paraId="6448FFEC" w14:textId="77777777" w:rsidR="00695AE2" w:rsidRPr="00503014" w:rsidRDefault="00695AE2" w:rsidP="00980493">
            <w:pPr>
              <w:jc w:val="center"/>
              <w:rPr>
                <w:rFonts w:eastAsia="Calibri" w:cs="Calibri"/>
                <w:sz w:val="16"/>
                <w:szCs w:val="16"/>
              </w:rPr>
            </w:pPr>
            <w:r w:rsidRPr="00503014">
              <w:rPr>
                <w:rFonts w:eastAsia="Calibri" w:cs="Calibri"/>
                <w:sz w:val="16"/>
                <w:szCs w:val="16"/>
              </w:rPr>
              <w:t>752</w:t>
            </w:r>
          </w:p>
        </w:tc>
        <w:tc>
          <w:tcPr>
            <w:tcW w:w="851" w:type="dxa"/>
          </w:tcPr>
          <w:p w14:paraId="5F8EF77E" w14:textId="77777777" w:rsidR="00695AE2" w:rsidRPr="00503014" w:rsidRDefault="00695AE2" w:rsidP="00980493">
            <w:pPr>
              <w:jc w:val="center"/>
              <w:rPr>
                <w:rFonts w:eastAsia="Calibri" w:cs="Calibri"/>
                <w:sz w:val="16"/>
                <w:szCs w:val="16"/>
              </w:rPr>
            </w:pPr>
            <w:r w:rsidRPr="00503014">
              <w:rPr>
                <w:rFonts w:eastAsia="Calibri" w:cs="Calibri"/>
                <w:sz w:val="16"/>
                <w:szCs w:val="16"/>
              </w:rPr>
              <w:t>288</w:t>
            </w:r>
          </w:p>
        </w:tc>
        <w:tc>
          <w:tcPr>
            <w:tcW w:w="1276" w:type="dxa"/>
          </w:tcPr>
          <w:p w14:paraId="0AB99928" w14:textId="77777777" w:rsidR="00695AE2" w:rsidRPr="00503014" w:rsidRDefault="00695AE2" w:rsidP="00980493">
            <w:pPr>
              <w:jc w:val="center"/>
              <w:rPr>
                <w:rFonts w:eastAsia="Calibri" w:cs="Calibri"/>
                <w:sz w:val="16"/>
                <w:szCs w:val="16"/>
              </w:rPr>
            </w:pPr>
            <w:r w:rsidRPr="00503014">
              <w:rPr>
                <w:rFonts w:eastAsia="Calibri" w:cs="Calibri"/>
                <w:sz w:val="16"/>
                <w:szCs w:val="16"/>
              </w:rPr>
              <w:t>464</w:t>
            </w:r>
          </w:p>
        </w:tc>
        <w:tc>
          <w:tcPr>
            <w:tcW w:w="1559" w:type="dxa"/>
          </w:tcPr>
          <w:p w14:paraId="0D355B1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69CC6FD" w14:textId="77777777" w:rsidTr="00980493">
        <w:trPr>
          <w:trHeight w:val="192"/>
        </w:trPr>
        <w:tc>
          <w:tcPr>
            <w:tcW w:w="2972" w:type="dxa"/>
          </w:tcPr>
          <w:p w14:paraId="004AA225" w14:textId="77777777" w:rsidR="00695AE2" w:rsidRPr="00503014" w:rsidRDefault="00695AE2" w:rsidP="00980493">
            <w:pPr>
              <w:rPr>
                <w:rFonts w:eastAsia="Calibri" w:cs="Calibri"/>
                <w:sz w:val="16"/>
                <w:szCs w:val="16"/>
              </w:rPr>
            </w:pPr>
            <w:r w:rsidRPr="00503014">
              <w:rPr>
                <w:rFonts w:eastAsia="Calibri" w:cs="Calibri"/>
                <w:sz w:val="16"/>
                <w:szCs w:val="16"/>
              </w:rPr>
              <w:lastRenderedPageBreak/>
              <w:t>nepravdni postopki</w:t>
            </w:r>
          </w:p>
        </w:tc>
        <w:tc>
          <w:tcPr>
            <w:tcW w:w="1418" w:type="dxa"/>
          </w:tcPr>
          <w:p w14:paraId="4A3B24FB" w14:textId="77777777" w:rsidR="00695AE2" w:rsidRPr="00503014" w:rsidRDefault="00695AE2" w:rsidP="00980493">
            <w:pPr>
              <w:jc w:val="center"/>
              <w:rPr>
                <w:rFonts w:eastAsia="Calibri" w:cs="Calibri"/>
                <w:sz w:val="16"/>
                <w:szCs w:val="16"/>
              </w:rPr>
            </w:pPr>
            <w:r w:rsidRPr="00503014">
              <w:rPr>
                <w:rFonts w:eastAsia="Calibri" w:cs="Calibri"/>
                <w:sz w:val="16"/>
                <w:szCs w:val="16"/>
              </w:rPr>
              <w:t>681</w:t>
            </w:r>
          </w:p>
        </w:tc>
        <w:tc>
          <w:tcPr>
            <w:tcW w:w="897" w:type="dxa"/>
          </w:tcPr>
          <w:p w14:paraId="5A068C39" w14:textId="77777777" w:rsidR="00695AE2" w:rsidRPr="00503014" w:rsidRDefault="00695AE2" w:rsidP="00980493">
            <w:pPr>
              <w:jc w:val="center"/>
              <w:rPr>
                <w:rFonts w:eastAsia="Calibri" w:cs="Calibri"/>
                <w:sz w:val="16"/>
                <w:szCs w:val="16"/>
              </w:rPr>
            </w:pPr>
            <w:r w:rsidRPr="00503014">
              <w:rPr>
                <w:rFonts w:eastAsia="Calibri" w:cs="Calibri"/>
                <w:sz w:val="16"/>
                <w:szCs w:val="16"/>
              </w:rPr>
              <w:t>1.454</w:t>
            </w:r>
          </w:p>
        </w:tc>
        <w:tc>
          <w:tcPr>
            <w:tcW w:w="945" w:type="dxa"/>
          </w:tcPr>
          <w:p w14:paraId="483E432B" w14:textId="77777777" w:rsidR="00695AE2" w:rsidRPr="00503014" w:rsidRDefault="00695AE2" w:rsidP="00980493">
            <w:pPr>
              <w:jc w:val="center"/>
              <w:rPr>
                <w:rFonts w:eastAsia="Calibri" w:cs="Calibri"/>
                <w:sz w:val="16"/>
                <w:szCs w:val="16"/>
              </w:rPr>
            </w:pPr>
            <w:r w:rsidRPr="00503014">
              <w:rPr>
                <w:rFonts w:eastAsia="Calibri" w:cs="Calibri"/>
                <w:sz w:val="16"/>
                <w:szCs w:val="16"/>
              </w:rPr>
              <w:t>2.135</w:t>
            </w:r>
          </w:p>
        </w:tc>
        <w:tc>
          <w:tcPr>
            <w:tcW w:w="851" w:type="dxa"/>
          </w:tcPr>
          <w:p w14:paraId="17A3A802" w14:textId="77777777" w:rsidR="00695AE2" w:rsidRPr="00503014" w:rsidRDefault="00695AE2" w:rsidP="00980493">
            <w:pPr>
              <w:jc w:val="center"/>
              <w:rPr>
                <w:rFonts w:eastAsia="Calibri" w:cs="Calibri"/>
                <w:sz w:val="16"/>
                <w:szCs w:val="16"/>
              </w:rPr>
            </w:pPr>
            <w:r w:rsidRPr="00503014">
              <w:rPr>
                <w:rFonts w:eastAsia="Calibri" w:cs="Calibri"/>
                <w:sz w:val="16"/>
                <w:szCs w:val="16"/>
              </w:rPr>
              <w:t>1.578</w:t>
            </w:r>
          </w:p>
        </w:tc>
        <w:tc>
          <w:tcPr>
            <w:tcW w:w="1276" w:type="dxa"/>
          </w:tcPr>
          <w:p w14:paraId="7C7110F7" w14:textId="77777777" w:rsidR="00695AE2" w:rsidRPr="00503014" w:rsidRDefault="00695AE2" w:rsidP="00980493">
            <w:pPr>
              <w:jc w:val="center"/>
              <w:rPr>
                <w:rFonts w:eastAsia="Calibri" w:cs="Calibri"/>
                <w:sz w:val="16"/>
                <w:szCs w:val="16"/>
              </w:rPr>
            </w:pPr>
            <w:r w:rsidRPr="00503014">
              <w:rPr>
                <w:rFonts w:eastAsia="Calibri" w:cs="Calibri"/>
                <w:sz w:val="16"/>
                <w:szCs w:val="16"/>
              </w:rPr>
              <w:t>557</w:t>
            </w:r>
          </w:p>
        </w:tc>
        <w:tc>
          <w:tcPr>
            <w:tcW w:w="1559" w:type="dxa"/>
          </w:tcPr>
          <w:p w14:paraId="18A4D56F"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2CFA7A0" w14:textId="77777777" w:rsidTr="00980493">
        <w:trPr>
          <w:trHeight w:val="192"/>
        </w:trPr>
        <w:tc>
          <w:tcPr>
            <w:tcW w:w="2972" w:type="dxa"/>
          </w:tcPr>
          <w:p w14:paraId="478A8C36"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2931C537" w14:textId="77777777" w:rsidR="00695AE2" w:rsidRPr="00503014" w:rsidRDefault="00695AE2" w:rsidP="00980493">
            <w:pPr>
              <w:jc w:val="center"/>
              <w:rPr>
                <w:rFonts w:eastAsia="Calibri" w:cs="Calibri"/>
                <w:sz w:val="16"/>
                <w:szCs w:val="16"/>
              </w:rPr>
            </w:pPr>
            <w:r w:rsidRPr="00503014">
              <w:rPr>
                <w:rFonts w:eastAsia="Calibri" w:cs="Calibri"/>
                <w:sz w:val="16"/>
                <w:szCs w:val="16"/>
              </w:rPr>
              <w:t>102</w:t>
            </w:r>
          </w:p>
        </w:tc>
        <w:tc>
          <w:tcPr>
            <w:tcW w:w="897" w:type="dxa"/>
          </w:tcPr>
          <w:p w14:paraId="7567A166" w14:textId="77777777" w:rsidR="00695AE2" w:rsidRPr="00503014" w:rsidRDefault="00695AE2" w:rsidP="00980493">
            <w:pPr>
              <w:jc w:val="center"/>
              <w:rPr>
                <w:rFonts w:eastAsia="Calibri" w:cs="Calibri"/>
                <w:sz w:val="16"/>
                <w:szCs w:val="16"/>
              </w:rPr>
            </w:pPr>
            <w:r w:rsidRPr="00503014">
              <w:rPr>
                <w:rFonts w:eastAsia="Calibri" w:cs="Calibri"/>
                <w:sz w:val="16"/>
                <w:szCs w:val="16"/>
              </w:rPr>
              <w:t>52</w:t>
            </w:r>
          </w:p>
        </w:tc>
        <w:tc>
          <w:tcPr>
            <w:tcW w:w="945" w:type="dxa"/>
          </w:tcPr>
          <w:p w14:paraId="23A7BEC4" w14:textId="77777777" w:rsidR="00695AE2" w:rsidRPr="00503014" w:rsidRDefault="00695AE2" w:rsidP="00980493">
            <w:pPr>
              <w:jc w:val="center"/>
              <w:rPr>
                <w:rFonts w:eastAsia="Calibri" w:cs="Calibri"/>
                <w:sz w:val="16"/>
                <w:szCs w:val="16"/>
              </w:rPr>
            </w:pPr>
            <w:r w:rsidRPr="00503014">
              <w:rPr>
                <w:rFonts w:eastAsia="Calibri" w:cs="Calibri"/>
                <w:sz w:val="16"/>
                <w:szCs w:val="16"/>
              </w:rPr>
              <w:t>154</w:t>
            </w:r>
          </w:p>
        </w:tc>
        <w:tc>
          <w:tcPr>
            <w:tcW w:w="851" w:type="dxa"/>
          </w:tcPr>
          <w:p w14:paraId="754E30A7" w14:textId="77777777" w:rsidR="00695AE2" w:rsidRPr="00503014" w:rsidRDefault="00695AE2" w:rsidP="00980493">
            <w:pPr>
              <w:jc w:val="center"/>
              <w:rPr>
                <w:rFonts w:eastAsia="Calibri" w:cs="Calibri"/>
                <w:sz w:val="16"/>
                <w:szCs w:val="16"/>
              </w:rPr>
            </w:pPr>
            <w:r w:rsidRPr="00503014">
              <w:rPr>
                <w:rFonts w:eastAsia="Calibri" w:cs="Calibri"/>
                <w:sz w:val="16"/>
                <w:szCs w:val="16"/>
              </w:rPr>
              <w:t>91</w:t>
            </w:r>
          </w:p>
        </w:tc>
        <w:tc>
          <w:tcPr>
            <w:tcW w:w="1276" w:type="dxa"/>
          </w:tcPr>
          <w:p w14:paraId="53AD737F" w14:textId="77777777" w:rsidR="00695AE2" w:rsidRPr="00503014" w:rsidRDefault="00695AE2" w:rsidP="00980493">
            <w:pPr>
              <w:jc w:val="center"/>
              <w:rPr>
                <w:rFonts w:eastAsia="Calibri" w:cs="Calibri"/>
                <w:sz w:val="16"/>
                <w:szCs w:val="16"/>
              </w:rPr>
            </w:pPr>
            <w:r w:rsidRPr="00503014">
              <w:rPr>
                <w:rFonts w:eastAsia="Calibri" w:cs="Calibri"/>
                <w:sz w:val="16"/>
                <w:szCs w:val="16"/>
              </w:rPr>
              <w:t>63</w:t>
            </w:r>
          </w:p>
        </w:tc>
        <w:tc>
          <w:tcPr>
            <w:tcW w:w="1559" w:type="dxa"/>
          </w:tcPr>
          <w:p w14:paraId="4034C0A7"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E504D62" w14:textId="77777777" w:rsidTr="00980493">
        <w:trPr>
          <w:trHeight w:val="192"/>
        </w:trPr>
        <w:tc>
          <w:tcPr>
            <w:tcW w:w="2972" w:type="dxa"/>
          </w:tcPr>
          <w:p w14:paraId="335E809D"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4B78D88F" w14:textId="77777777" w:rsidR="00695AE2" w:rsidRPr="00503014" w:rsidRDefault="00695AE2" w:rsidP="00980493">
            <w:pPr>
              <w:jc w:val="center"/>
              <w:rPr>
                <w:rFonts w:eastAsia="Calibri" w:cs="Calibri"/>
                <w:sz w:val="16"/>
                <w:szCs w:val="16"/>
              </w:rPr>
            </w:pPr>
            <w:r w:rsidRPr="00503014">
              <w:rPr>
                <w:rFonts w:eastAsia="Calibri" w:cs="Calibri"/>
                <w:sz w:val="16"/>
                <w:szCs w:val="16"/>
              </w:rPr>
              <w:t>15</w:t>
            </w:r>
          </w:p>
        </w:tc>
        <w:tc>
          <w:tcPr>
            <w:tcW w:w="897" w:type="dxa"/>
          </w:tcPr>
          <w:p w14:paraId="7618B166" w14:textId="77777777" w:rsidR="00695AE2" w:rsidRPr="00503014" w:rsidRDefault="00695AE2" w:rsidP="00980493">
            <w:pPr>
              <w:jc w:val="center"/>
              <w:rPr>
                <w:rFonts w:eastAsia="Calibri" w:cs="Calibri"/>
                <w:sz w:val="16"/>
                <w:szCs w:val="16"/>
              </w:rPr>
            </w:pPr>
            <w:r w:rsidRPr="00503014">
              <w:rPr>
                <w:rFonts w:eastAsia="Calibri" w:cs="Calibri"/>
                <w:sz w:val="16"/>
                <w:szCs w:val="16"/>
              </w:rPr>
              <w:t>1.977</w:t>
            </w:r>
          </w:p>
        </w:tc>
        <w:tc>
          <w:tcPr>
            <w:tcW w:w="945" w:type="dxa"/>
          </w:tcPr>
          <w:p w14:paraId="2C5A92E3" w14:textId="77777777" w:rsidR="00695AE2" w:rsidRPr="00503014" w:rsidRDefault="00695AE2" w:rsidP="00980493">
            <w:pPr>
              <w:jc w:val="center"/>
              <w:rPr>
                <w:rFonts w:eastAsia="Calibri" w:cs="Calibri"/>
                <w:sz w:val="16"/>
                <w:szCs w:val="16"/>
              </w:rPr>
            </w:pPr>
            <w:r w:rsidRPr="00503014">
              <w:rPr>
                <w:rFonts w:eastAsia="Calibri" w:cs="Calibri"/>
                <w:sz w:val="16"/>
                <w:szCs w:val="16"/>
              </w:rPr>
              <w:t>1.992</w:t>
            </w:r>
          </w:p>
        </w:tc>
        <w:tc>
          <w:tcPr>
            <w:tcW w:w="851" w:type="dxa"/>
          </w:tcPr>
          <w:p w14:paraId="29C1D99F" w14:textId="77777777" w:rsidR="00695AE2" w:rsidRPr="00503014" w:rsidRDefault="00695AE2" w:rsidP="00980493">
            <w:pPr>
              <w:jc w:val="center"/>
              <w:rPr>
                <w:rFonts w:eastAsia="Calibri" w:cs="Calibri"/>
                <w:sz w:val="16"/>
                <w:szCs w:val="16"/>
              </w:rPr>
            </w:pPr>
            <w:r w:rsidRPr="00503014">
              <w:rPr>
                <w:rFonts w:eastAsia="Calibri" w:cs="Calibri"/>
                <w:sz w:val="16"/>
                <w:szCs w:val="16"/>
              </w:rPr>
              <w:t>1.981</w:t>
            </w:r>
          </w:p>
        </w:tc>
        <w:tc>
          <w:tcPr>
            <w:tcW w:w="1276" w:type="dxa"/>
          </w:tcPr>
          <w:p w14:paraId="0CC6635C" w14:textId="77777777" w:rsidR="00695AE2" w:rsidRPr="00503014" w:rsidRDefault="00695AE2" w:rsidP="00980493">
            <w:pPr>
              <w:jc w:val="center"/>
              <w:rPr>
                <w:rFonts w:eastAsia="Calibri" w:cs="Calibri"/>
                <w:sz w:val="16"/>
                <w:szCs w:val="16"/>
              </w:rPr>
            </w:pPr>
            <w:r w:rsidRPr="00503014">
              <w:rPr>
                <w:rFonts w:eastAsia="Calibri" w:cs="Calibri"/>
                <w:sz w:val="16"/>
                <w:szCs w:val="16"/>
              </w:rPr>
              <w:t>11</w:t>
            </w:r>
          </w:p>
        </w:tc>
        <w:tc>
          <w:tcPr>
            <w:tcW w:w="1559" w:type="dxa"/>
          </w:tcPr>
          <w:p w14:paraId="31DE758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ED30E70" w14:textId="77777777" w:rsidTr="00980493">
        <w:trPr>
          <w:trHeight w:val="192"/>
        </w:trPr>
        <w:tc>
          <w:tcPr>
            <w:tcW w:w="2972" w:type="dxa"/>
          </w:tcPr>
          <w:p w14:paraId="29B5740E"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3132138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6924F99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A87E8E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AFDBD1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534C859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39AD77A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7BC4D2F" w14:textId="77777777" w:rsidTr="00980493">
        <w:trPr>
          <w:trHeight w:val="192"/>
        </w:trPr>
        <w:tc>
          <w:tcPr>
            <w:tcW w:w="2972" w:type="dxa"/>
          </w:tcPr>
          <w:p w14:paraId="11DDCC50"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04F3C29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167C4D0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39A303C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3DD45F5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1759ED4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FF0E634"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65052BC" w14:textId="77777777" w:rsidTr="00980493">
        <w:trPr>
          <w:trHeight w:val="192"/>
        </w:trPr>
        <w:tc>
          <w:tcPr>
            <w:tcW w:w="2972" w:type="dxa"/>
          </w:tcPr>
          <w:p w14:paraId="5DE9B3F4"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69A9741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24D7E8D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A0BEFA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06F4821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6D2FE30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1257D9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bl>
    <w:p w14:paraId="0282F5AE" w14:textId="77777777" w:rsidR="00695AE2" w:rsidRPr="00503014" w:rsidRDefault="00695AE2" w:rsidP="00695AE2">
      <w:pPr>
        <w:spacing w:line="240" w:lineRule="auto"/>
        <w:rPr>
          <w:rFonts w:eastAsia="Calibri"/>
          <w:b/>
          <w:color w:val="007466"/>
          <w:sz w:val="20"/>
          <w:szCs w:val="20"/>
        </w:rPr>
      </w:pPr>
    </w:p>
    <w:p w14:paraId="7517BF9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bookmarkStart w:id="405" w:name="_Hlk93482800"/>
      <w:r w:rsidRPr="00503014">
        <w:rPr>
          <w:rFonts w:eastAsia="Calibri"/>
          <w:b/>
          <w:color w:val="007466"/>
          <w:spacing w:val="1"/>
          <w:sz w:val="20"/>
          <w:szCs w:val="20"/>
        </w:rPr>
        <w:t>Zunanji oddelek Državnega odvetništva RS na Ptuju</w:t>
      </w:r>
    </w:p>
    <w:p w14:paraId="2B1E0A95" w14:textId="77777777" w:rsidR="00695AE2" w:rsidRPr="00503014" w:rsidRDefault="00695AE2" w:rsidP="00695AE2">
      <w:pPr>
        <w:spacing w:line="240" w:lineRule="auto"/>
        <w:rPr>
          <w:rFonts w:eastAsia="Calibri"/>
          <w:sz w:val="20"/>
          <w:szCs w:val="20"/>
        </w:rPr>
      </w:pPr>
    </w:p>
    <w:tbl>
      <w:tblPr>
        <w:tblStyle w:val="Tabelamrea2"/>
        <w:tblW w:w="9918" w:type="dxa"/>
        <w:tblLook w:val="04A0" w:firstRow="1" w:lastRow="0" w:firstColumn="1" w:lastColumn="0" w:noHBand="0" w:noVBand="1"/>
      </w:tblPr>
      <w:tblGrid>
        <w:gridCol w:w="2972"/>
        <w:gridCol w:w="1418"/>
        <w:gridCol w:w="897"/>
        <w:gridCol w:w="945"/>
        <w:gridCol w:w="851"/>
        <w:gridCol w:w="1276"/>
        <w:gridCol w:w="1559"/>
      </w:tblGrid>
      <w:tr w:rsidR="00695AE2" w:rsidRPr="00503014" w14:paraId="0659B19D" w14:textId="77777777" w:rsidTr="00980493">
        <w:trPr>
          <w:trHeight w:val="821"/>
        </w:trPr>
        <w:tc>
          <w:tcPr>
            <w:tcW w:w="2972" w:type="dxa"/>
          </w:tcPr>
          <w:p w14:paraId="3A88B0F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področje dela</w:t>
            </w:r>
          </w:p>
        </w:tc>
        <w:tc>
          <w:tcPr>
            <w:tcW w:w="1418" w:type="dxa"/>
          </w:tcPr>
          <w:p w14:paraId="28F9244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prenesenih nerešenih zadev iz prejšnjih let</w:t>
            </w:r>
          </w:p>
        </w:tc>
        <w:tc>
          <w:tcPr>
            <w:tcW w:w="897" w:type="dxa"/>
          </w:tcPr>
          <w:p w14:paraId="78F2AFD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letni pripad zadev</w:t>
            </w:r>
          </w:p>
        </w:tc>
        <w:tc>
          <w:tcPr>
            <w:tcW w:w="945" w:type="dxa"/>
          </w:tcPr>
          <w:p w14:paraId="1151578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zadeve v delu skupaj</w:t>
            </w:r>
          </w:p>
        </w:tc>
        <w:tc>
          <w:tcPr>
            <w:tcW w:w="851" w:type="dxa"/>
          </w:tcPr>
          <w:p w14:paraId="7896958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rešenih zadev</w:t>
            </w:r>
          </w:p>
        </w:tc>
        <w:tc>
          <w:tcPr>
            <w:tcW w:w="1276" w:type="dxa"/>
          </w:tcPr>
          <w:p w14:paraId="43F42A1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nerešenih zadev na dan 31.12.</w:t>
            </w:r>
          </w:p>
        </w:tc>
        <w:tc>
          <w:tcPr>
            <w:tcW w:w="1559" w:type="dxa"/>
          </w:tcPr>
          <w:p w14:paraId="08FEEB7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vloženih predlogov, ki niso zajeti med rešenimi zadevami</w:t>
            </w:r>
          </w:p>
          <w:p w14:paraId="369B7EBC" w14:textId="77777777" w:rsidR="00695AE2" w:rsidRPr="00503014" w:rsidRDefault="00695AE2" w:rsidP="00980493">
            <w:pPr>
              <w:jc w:val="center"/>
              <w:rPr>
                <w:rFonts w:eastAsia="Times New Roman" w:cs="Calibri"/>
                <w:sz w:val="16"/>
                <w:szCs w:val="16"/>
              </w:rPr>
            </w:pPr>
          </w:p>
        </w:tc>
      </w:tr>
      <w:tr w:rsidR="00695AE2" w:rsidRPr="00503014" w14:paraId="38C33A48" w14:textId="77777777" w:rsidTr="00980493">
        <w:trPr>
          <w:trHeight w:val="192"/>
        </w:trPr>
        <w:tc>
          <w:tcPr>
            <w:tcW w:w="2972" w:type="dxa"/>
          </w:tcPr>
          <w:p w14:paraId="39FF9A2B" w14:textId="77777777" w:rsidR="00695AE2" w:rsidRPr="00503014" w:rsidRDefault="00695AE2" w:rsidP="00980493">
            <w:pPr>
              <w:rPr>
                <w:rFonts w:eastAsia="Calibri" w:cs="Calibri"/>
                <w:sz w:val="16"/>
                <w:szCs w:val="16"/>
              </w:rPr>
            </w:pPr>
            <w:r w:rsidRPr="00503014">
              <w:rPr>
                <w:rFonts w:eastAsia="Calibri" w:cs="Calibri"/>
                <w:sz w:val="16"/>
                <w:szCs w:val="16"/>
              </w:rPr>
              <w:t>civilnopravne in gospodarske zadeve</w:t>
            </w:r>
          </w:p>
        </w:tc>
        <w:tc>
          <w:tcPr>
            <w:tcW w:w="1418" w:type="dxa"/>
          </w:tcPr>
          <w:p w14:paraId="1DCA3E10" w14:textId="77777777" w:rsidR="00695AE2" w:rsidRPr="00503014" w:rsidRDefault="00695AE2" w:rsidP="00980493">
            <w:pPr>
              <w:jc w:val="center"/>
              <w:rPr>
                <w:rFonts w:eastAsia="Calibri" w:cs="Calibri"/>
                <w:sz w:val="16"/>
                <w:szCs w:val="16"/>
              </w:rPr>
            </w:pPr>
            <w:r w:rsidRPr="00503014">
              <w:rPr>
                <w:rFonts w:eastAsia="Calibri" w:cs="Calibri"/>
                <w:sz w:val="16"/>
                <w:szCs w:val="16"/>
              </w:rPr>
              <w:t>25</w:t>
            </w:r>
          </w:p>
        </w:tc>
        <w:tc>
          <w:tcPr>
            <w:tcW w:w="897" w:type="dxa"/>
          </w:tcPr>
          <w:p w14:paraId="72BBA880" w14:textId="77777777" w:rsidR="00695AE2" w:rsidRPr="00503014" w:rsidRDefault="00695AE2" w:rsidP="00980493">
            <w:pPr>
              <w:jc w:val="center"/>
              <w:rPr>
                <w:rFonts w:eastAsia="Calibri" w:cs="Calibri"/>
                <w:sz w:val="16"/>
                <w:szCs w:val="16"/>
              </w:rPr>
            </w:pPr>
            <w:r w:rsidRPr="00503014">
              <w:rPr>
                <w:rFonts w:eastAsia="Calibri" w:cs="Calibri"/>
                <w:sz w:val="16"/>
                <w:szCs w:val="16"/>
              </w:rPr>
              <w:t>18</w:t>
            </w:r>
          </w:p>
        </w:tc>
        <w:tc>
          <w:tcPr>
            <w:tcW w:w="945" w:type="dxa"/>
          </w:tcPr>
          <w:p w14:paraId="243C3BA6" w14:textId="77777777" w:rsidR="00695AE2" w:rsidRPr="00503014" w:rsidRDefault="00695AE2" w:rsidP="00980493">
            <w:pPr>
              <w:jc w:val="center"/>
              <w:rPr>
                <w:rFonts w:eastAsia="Calibri" w:cs="Calibri"/>
                <w:sz w:val="16"/>
                <w:szCs w:val="16"/>
              </w:rPr>
            </w:pPr>
            <w:r w:rsidRPr="00503014">
              <w:rPr>
                <w:rFonts w:eastAsia="Calibri" w:cs="Calibri"/>
                <w:sz w:val="16"/>
                <w:szCs w:val="16"/>
              </w:rPr>
              <w:t>43</w:t>
            </w:r>
          </w:p>
        </w:tc>
        <w:tc>
          <w:tcPr>
            <w:tcW w:w="851" w:type="dxa"/>
          </w:tcPr>
          <w:p w14:paraId="35C9209A" w14:textId="77777777" w:rsidR="00695AE2" w:rsidRPr="00503014" w:rsidRDefault="00695AE2" w:rsidP="00980493">
            <w:pPr>
              <w:jc w:val="center"/>
              <w:rPr>
                <w:rFonts w:eastAsia="Calibri" w:cs="Calibri"/>
                <w:sz w:val="16"/>
                <w:szCs w:val="16"/>
              </w:rPr>
            </w:pPr>
            <w:r w:rsidRPr="00503014">
              <w:rPr>
                <w:rFonts w:eastAsia="Calibri" w:cs="Calibri"/>
                <w:sz w:val="16"/>
                <w:szCs w:val="16"/>
              </w:rPr>
              <w:t>24</w:t>
            </w:r>
          </w:p>
        </w:tc>
        <w:tc>
          <w:tcPr>
            <w:tcW w:w="1276" w:type="dxa"/>
          </w:tcPr>
          <w:p w14:paraId="7FF490DA" w14:textId="77777777" w:rsidR="00695AE2" w:rsidRPr="00503014" w:rsidRDefault="00695AE2" w:rsidP="00980493">
            <w:pPr>
              <w:jc w:val="center"/>
              <w:rPr>
                <w:rFonts w:eastAsia="Calibri" w:cs="Calibri"/>
                <w:sz w:val="16"/>
                <w:szCs w:val="16"/>
              </w:rPr>
            </w:pPr>
            <w:r w:rsidRPr="00503014">
              <w:rPr>
                <w:rFonts w:eastAsia="Calibri" w:cs="Calibri"/>
                <w:sz w:val="16"/>
                <w:szCs w:val="16"/>
              </w:rPr>
              <w:t>19</w:t>
            </w:r>
          </w:p>
        </w:tc>
        <w:tc>
          <w:tcPr>
            <w:tcW w:w="1559" w:type="dxa"/>
          </w:tcPr>
          <w:p w14:paraId="64660463"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A081E6C" w14:textId="77777777" w:rsidTr="00980493">
        <w:trPr>
          <w:trHeight w:val="179"/>
        </w:trPr>
        <w:tc>
          <w:tcPr>
            <w:tcW w:w="2972" w:type="dxa"/>
          </w:tcPr>
          <w:p w14:paraId="349FC0B6" w14:textId="77777777" w:rsidR="00695AE2" w:rsidRPr="00503014" w:rsidRDefault="00695AE2" w:rsidP="00980493">
            <w:pPr>
              <w:rPr>
                <w:rFonts w:eastAsia="Calibri" w:cs="Calibri"/>
                <w:sz w:val="16"/>
                <w:szCs w:val="16"/>
              </w:rPr>
            </w:pPr>
            <w:r w:rsidRPr="00503014">
              <w:rPr>
                <w:rFonts w:eastAsia="Calibri" w:cs="Calibri"/>
                <w:sz w:val="16"/>
                <w:szCs w:val="16"/>
              </w:rPr>
              <w:t>delovno in socialno-pravne zadeve</w:t>
            </w:r>
          </w:p>
        </w:tc>
        <w:tc>
          <w:tcPr>
            <w:tcW w:w="1418" w:type="dxa"/>
          </w:tcPr>
          <w:p w14:paraId="6FB0D6D0" w14:textId="77777777" w:rsidR="00695AE2" w:rsidRPr="00503014" w:rsidRDefault="00695AE2" w:rsidP="00980493">
            <w:pPr>
              <w:jc w:val="center"/>
              <w:rPr>
                <w:rFonts w:eastAsia="Calibri" w:cs="Calibri"/>
                <w:sz w:val="16"/>
                <w:szCs w:val="16"/>
              </w:rPr>
            </w:pPr>
            <w:r w:rsidRPr="00503014">
              <w:rPr>
                <w:rFonts w:eastAsia="Calibri" w:cs="Calibri"/>
                <w:sz w:val="16"/>
                <w:szCs w:val="16"/>
              </w:rPr>
              <w:t>54</w:t>
            </w:r>
          </w:p>
        </w:tc>
        <w:tc>
          <w:tcPr>
            <w:tcW w:w="897" w:type="dxa"/>
          </w:tcPr>
          <w:p w14:paraId="6E2DDB7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7048CE93" w14:textId="77777777" w:rsidR="00695AE2" w:rsidRPr="00503014" w:rsidRDefault="00695AE2" w:rsidP="00980493">
            <w:pPr>
              <w:jc w:val="center"/>
              <w:rPr>
                <w:rFonts w:eastAsia="Calibri" w:cs="Calibri"/>
                <w:sz w:val="16"/>
                <w:szCs w:val="16"/>
              </w:rPr>
            </w:pPr>
            <w:r w:rsidRPr="00503014">
              <w:rPr>
                <w:rFonts w:eastAsia="Calibri" w:cs="Calibri"/>
                <w:sz w:val="16"/>
                <w:szCs w:val="16"/>
              </w:rPr>
              <w:t>54</w:t>
            </w:r>
          </w:p>
        </w:tc>
        <w:tc>
          <w:tcPr>
            <w:tcW w:w="851" w:type="dxa"/>
          </w:tcPr>
          <w:p w14:paraId="3429CAB9" w14:textId="77777777" w:rsidR="00695AE2" w:rsidRPr="00503014" w:rsidRDefault="00695AE2" w:rsidP="00980493">
            <w:pPr>
              <w:jc w:val="center"/>
              <w:rPr>
                <w:rFonts w:eastAsia="Calibri" w:cs="Calibri"/>
                <w:sz w:val="16"/>
                <w:szCs w:val="16"/>
              </w:rPr>
            </w:pPr>
            <w:r w:rsidRPr="00503014">
              <w:rPr>
                <w:rFonts w:eastAsia="Calibri" w:cs="Calibri"/>
                <w:sz w:val="16"/>
                <w:szCs w:val="16"/>
              </w:rPr>
              <w:t>54</w:t>
            </w:r>
          </w:p>
        </w:tc>
        <w:tc>
          <w:tcPr>
            <w:tcW w:w="1276" w:type="dxa"/>
          </w:tcPr>
          <w:p w14:paraId="4252F5A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03A69E0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1BFEF8CF" w14:textId="77777777" w:rsidTr="00980493">
        <w:trPr>
          <w:trHeight w:val="192"/>
        </w:trPr>
        <w:tc>
          <w:tcPr>
            <w:tcW w:w="2972" w:type="dxa"/>
          </w:tcPr>
          <w:p w14:paraId="1483E676"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ZKP</w:t>
            </w:r>
          </w:p>
        </w:tc>
        <w:tc>
          <w:tcPr>
            <w:tcW w:w="1418" w:type="dxa"/>
          </w:tcPr>
          <w:p w14:paraId="232CEC7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0D77B85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4E8B7A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2EDA62C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0B0C2F5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D817F56"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B844FD7" w14:textId="77777777" w:rsidTr="00980493">
        <w:trPr>
          <w:trHeight w:val="179"/>
        </w:trPr>
        <w:tc>
          <w:tcPr>
            <w:tcW w:w="2972" w:type="dxa"/>
          </w:tcPr>
          <w:p w14:paraId="1F9BECB3" w14:textId="77777777" w:rsidR="00695AE2" w:rsidRPr="00503014" w:rsidRDefault="00695AE2" w:rsidP="00980493">
            <w:pPr>
              <w:rPr>
                <w:rFonts w:eastAsia="Calibri" w:cs="Calibri"/>
                <w:sz w:val="16"/>
                <w:szCs w:val="16"/>
              </w:rPr>
            </w:pPr>
            <w:r w:rsidRPr="00503014">
              <w:rPr>
                <w:rFonts w:eastAsia="Calibri" w:cs="Calibri"/>
                <w:sz w:val="16"/>
                <w:szCs w:val="16"/>
              </w:rPr>
              <w:t>predhodni odškodninski postopki po ZP-1</w:t>
            </w:r>
          </w:p>
        </w:tc>
        <w:tc>
          <w:tcPr>
            <w:tcW w:w="1418" w:type="dxa"/>
          </w:tcPr>
          <w:p w14:paraId="3BD45E2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5D2CD0D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1B53A2D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299EAF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15D6F02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71C8B2E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82D9566" w14:textId="77777777" w:rsidTr="00980493">
        <w:trPr>
          <w:trHeight w:val="192"/>
        </w:trPr>
        <w:tc>
          <w:tcPr>
            <w:tcW w:w="2972" w:type="dxa"/>
          </w:tcPr>
          <w:p w14:paraId="5DF7B1C3" w14:textId="77777777" w:rsidR="00695AE2" w:rsidRPr="00503014" w:rsidRDefault="00695AE2" w:rsidP="00980493">
            <w:pPr>
              <w:rPr>
                <w:rFonts w:eastAsia="Calibri" w:cs="Calibri"/>
                <w:sz w:val="16"/>
                <w:szCs w:val="16"/>
              </w:rPr>
            </w:pPr>
            <w:r w:rsidRPr="00503014">
              <w:rPr>
                <w:rFonts w:eastAsia="Calibri" w:cs="Calibri"/>
                <w:sz w:val="16"/>
                <w:szCs w:val="16"/>
              </w:rPr>
              <w:t>postopki po ZVPSBNO</w:t>
            </w:r>
          </w:p>
        </w:tc>
        <w:tc>
          <w:tcPr>
            <w:tcW w:w="1418" w:type="dxa"/>
          </w:tcPr>
          <w:p w14:paraId="026B6AB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6DE8F4DF"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945" w:type="dxa"/>
          </w:tcPr>
          <w:p w14:paraId="1D06F06C"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851" w:type="dxa"/>
          </w:tcPr>
          <w:p w14:paraId="2E422EE2"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3C0D712A"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559" w:type="dxa"/>
          </w:tcPr>
          <w:p w14:paraId="6ABB22A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78A95613" w14:textId="77777777" w:rsidTr="00980493">
        <w:trPr>
          <w:trHeight w:val="179"/>
        </w:trPr>
        <w:tc>
          <w:tcPr>
            <w:tcW w:w="2972" w:type="dxa"/>
          </w:tcPr>
          <w:p w14:paraId="77C92206" w14:textId="77777777" w:rsidR="00695AE2" w:rsidRPr="00503014" w:rsidRDefault="00695AE2" w:rsidP="00980493">
            <w:pPr>
              <w:rPr>
                <w:rFonts w:eastAsia="Calibri" w:cs="Calibri"/>
                <w:sz w:val="16"/>
                <w:szCs w:val="16"/>
              </w:rPr>
            </w:pPr>
            <w:r w:rsidRPr="00503014">
              <w:rPr>
                <w:rFonts w:eastAsia="Calibri" w:cs="Calibri"/>
                <w:sz w:val="16"/>
                <w:szCs w:val="16"/>
              </w:rPr>
              <w:t>postopki po ZPŠOIRSP</w:t>
            </w:r>
          </w:p>
        </w:tc>
        <w:tc>
          <w:tcPr>
            <w:tcW w:w="1418" w:type="dxa"/>
          </w:tcPr>
          <w:p w14:paraId="7A2B345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6682F63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492D9B3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75A9508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B82E49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78872CF"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FC05489" w14:textId="77777777" w:rsidTr="00980493">
        <w:trPr>
          <w:trHeight w:val="192"/>
        </w:trPr>
        <w:tc>
          <w:tcPr>
            <w:tcW w:w="2972" w:type="dxa"/>
          </w:tcPr>
          <w:p w14:paraId="1357FFCE" w14:textId="77777777" w:rsidR="00695AE2" w:rsidRPr="00503014" w:rsidRDefault="00695AE2" w:rsidP="00980493">
            <w:pPr>
              <w:rPr>
                <w:rFonts w:eastAsia="Calibri" w:cs="Calibri"/>
                <w:sz w:val="16"/>
                <w:szCs w:val="16"/>
              </w:rPr>
            </w:pPr>
            <w:r w:rsidRPr="00503014">
              <w:rPr>
                <w:rFonts w:eastAsia="Calibri" w:cs="Calibri"/>
                <w:sz w:val="16"/>
                <w:szCs w:val="16"/>
              </w:rPr>
              <w:t>postopki izvršbe in zavarovanja</w:t>
            </w:r>
          </w:p>
        </w:tc>
        <w:tc>
          <w:tcPr>
            <w:tcW w:w="1418" w:type="dxa"/>
          </w:tcPr>
          <w:p w14:paraId="31FD40B4" w14:textId="77777777" w:rsidR="00695AE2" w:rsidRPr="00503014" w:rsidRDefault="00695AE2" w:rsidP="00980493">
            <w:pPr>
              <w:jc w:val="center"/>
              <w:rPr>
                <w:rFonts w:eastAsia="Calibri" w:cs="Calibri"/>
                <w:sz w:val="16"/>
                <w:szCs w:val="16"/>
              </w:rPr>
            </w:pPr>
            <w:r w:rsidRPr="00503014">
              <w:rPr>
                <w:rFonts w:eastAsia="Calibri" w:cs="Calibri"/>
                <w:sz w:val="16"/>
                <w:szCs w:val="16"/>
              </w:rPr>
              <w:t>485</w:t>
            </w:r>
          </w:p>
        </w:tc>
        <w:tc>
          <w:tcPr>
            <w:tcW w:w="897" w:type="dxa"/>
          </w:tcPr>
          <w:p w14:paraId="5BA7FC13" w14:textId="77777777" w:rsidR="00695AE2" w:rsidRPr="00503014" w:rsidRDefault="00695AE2" w:rsidP="00980493">
            <w:pPr>
              <w:jc w:val="center"/>
              <w:rPr>
                <w:rFonts w:eastAsia="Calibri" w:cs="Calibri"/>
                <w:sz w:val="16"/>
                <w:szCs w:val="16"/>
              </w:rPr>
            </w:pPr>
            <w:r w:rsidRPr="00503014">
              <w:rPr>
                <w:rFonts w:eastAsia="Calibri" w:cs="Calibri"/>
                <w:sz w:val="16"/>
                <w:szCs w:val="16"/>
              </w:rPr>
              <w:t>213</w:t>
            </w:r>
          </w:p>
        </w:tc>
        <w:tc>
          <w:tcPr>
            <w:tcW w:w="945" w:type="dxa"/>
          </w:tcPr>
          <w:p w14:paraId="567E5811" w14:textId="77777777" w:rsidR="00695AE2" w:rsidRPr="00503014" w:rsidRDefault="00695AE2" w:rsidP="00980493">
            <w:pPr>
              <w:jc w:val="center"/>
              <w:rPr>
                <w:rFonts w:eastAsia="Calibri" w:cs="Calibri"/>
                <w:sz w:val="16"/>
                <w:szCs w:val="16"/>
              </w:rPr>
            </w:pPr>
            <w:r w:rsidRPr="00503014">
              <w:rPr>
                <w:rFonts w:eastAsia="Calibri" w:cs="Calibri"/>
                <w:sz w:val="16"/>
                <w:szCs w:val="16"/>
              </w:rPr>
              <w:t>698</w:t>
            </w:r>
          </w:p>
        </w:tc>
        <w:tc>
          <w:tcPr>
            <w:tcW w:w="851" w:type="dxa"/>
          </w:tcPr>
          <w:p w14:paraId="480564FC" w14:textId="77777777" w:rsidR="00695AE2" w:rsidRPr="00503014" w:rsidRDefault="00695AE2" w:rsidP="00980493">
            <w:pPr>
              <w:jc w:val="center"/>
              <w:rPr>
                <w:rFonts w:eastAsia="Calibri" w:cs="Calibri"/>
                <w:sz w:val="16"/>
                <w:szCs w:val="16"/>
              </w:rPr>
            </w:pPr>
            <w:r w:rsidRPr="00503014">
              <w:rPr>
                <w:rFonts w:eastAsia="Calibri" w:cs="Calibri"/>
                <w:sz w:val="16"/>
                <w:szCs w:val="16"/>
              </w:rPr>
              <w:t>222</w:t>
            </w:r>
          </w:p>
        </w:tc>
        <w:tc>
          <w:tcPr>
            <w:tcW w:w="1276" w:type="dxa"/>
          </w:tcPr>
          <w:p w14:paraId="11FFE51A" w14:textId="77777777" w:rsidR="00695AE2" w:rsidRPr="00503014" w:rsidRDefault="00695AE2" w:rsidP="00980493">
            <w:pPr>
              <w:jc w:val="center"/>
              <w:rPr>
                <w:rFonts w:eastAsia="Calibri" w:cs="Calibri"/>
                <w:sz w:val="16"/>
                <w:szCs w:val="16"/>
              </w:rPr>
            </w:pPr>
            <w:r w:rsidRPr="00503014">
              <w:rPr>
                <w:rFonts w:eastAsia="Calibri" w:cs="Calibri"/>
                <w:sz w:val="16"/>
                <w:szCs w:val="16"/>
              </w:rPr>
              <w:t>476</w:t>
            </w:r>
          </w:p>
        </w:tc>
        <w:tc>
          <w:tcPr>
            <w:tcW w:w="1559" w:type="dxa"/>
          </w:tcPr>
          <w:p w14:paraId="2104C9D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BA14070" w14:textId="77777777" w:rsidTr="00980493">
        <w:trPr>
          <w:trHeight w:val="192"/>
        </w:trPr>
        <w:tc>
          <w:tcPr>
            <w:tcW w:w="2972" w:type="dxa"/>
          </w:tcPr>
          <w:p w14:paraId="2077E948" w14:textId="77777777" w:rsidR="00695AE2" w:rsidRPr="00503014" w:rsidRDefault="00695AE2" w:rsidP="00980493">
            <w:pPr>
              <w:rPr>
                <w:rFonts w:eastAsia="Calibri" w:cs="Calibri"/>
                <w:sz w:val="16"/>
                <w:szCs w:val="16"/>
              </w:rPr>
            </w:pPr>
            <w:r w:rsidRPr="00503014">
              <w:rPr>
                <w:rFonts w:eastAsia="Calibri" w:cs="Calibri"/>
                <w:sz w:val="16"/>
                <w:szCs w:val="16"/>
              </w:rPr>
              <w:t>postopki zaradi insolventnosti in postopki prisilnega prenehanja</w:t>
            </w:r>
          </w:p>
        </w:tc>
        <w:tc>
          <w:tcPr>
            <w:tcW w:w="1418" w:type="dxa"/>
          </w:tcPr>
          <w:p w14:paraId="333D3D02" w14:textId="77777777" w:rsidR="00695AE2" w:rsidRPr="00503014" w:rsidRDefault="00695AE2" w:rsidP="00980493">
            <w:pPr>
              <w:jc w:val="center"/>
              <w:rPr>
                <w:rFonts w:eastAsia="Calibri" w:cs="Calibri"/>
                <w:sz w:val="16"/>
                <w:szCs w:val="16"/>
              </w:rPr>
            </w:pPr>
            <w:r w:rsidRPr="00503014">
              <w:rPr>
                <w:rFonts w:eastAsia="Calibri" w:cs="Calibri"/>
                <w:sz w:val="16"/>
                <w:szCs w:val="16"/>
              </w:rPr>
              <w:t>357</w:t>
            </w:r>
          </w:p>
        </w:tc>
        <w:tc>
          <w:tcPr>
            <w:tcW w:w="897" w:type="dxa"/>
          </w:tcPr>
          <w:p w14:paraId="4F5A4500" w14:textId="77777777" w:rsidR="00695AE2" w:rsidRPr="00503014" w:rsidRDefault="00695AE2" w:rsidP="00980493">
            <w:pPr>
              <w:jc w:val="center"/>
              <w:rPr>
                <w:rFonts w:eastAsia="Calibri" w:cs="Calibri"/>
                <w:sz w:val="16"/>
                <w:szCs w:val="16"/>
              </w:rPr>
            </w:pPr>
            <w:r w:rsidRPr="00503014">
              <w:rPr>
                <w:rFonts w:eastAsia="Calibri" w:cs="Calibri"/>
                <w:sz w:val="16"/>
                <w:szCs w:val="16"/>
              </w:rPr>
              <w:t>243</w:t>
            </w:r>
          </w:p>
        </w:tc>
        <w:tc>
          <w:tcPr>
            <w:tcW w:w="945" w:type="dxa"/>
          </w:tcPr>
          <w:p w14:paraId="5515F195" w14:textId="77777777" w:rsidR="00695AE2" w:rsidRPr="00503014" w:rsidRDefault="00695AE2" w:rsidP="00980493">
            <w:pPr>
              <w:jc w:val="center"/>
              <w:rPr>
                <w:rFonts w:eastAsia="Calibri" w:cs="Calibri"/>
                <w:sz w:val="16"/>
                <w:szCs w:val="16"/>
              </w:rPr>
            </w:pPr>
            <w:r w:rsidRPr="00503014">
              <w:rPr>
                <w:rFonts w:eastAsia="Calibri" w:cs="Calibri"/>
                <w:sz w:val="16"/>
                <w:szCs w:val="16"/>
              </w:rPr>
              <w:t>600</w:t>
            </w:r>
          </w:p>
        </w:tc>
        <w:tc>
          <w:tcPr>
            <w:tcW w:w="851" w:type="dxa"/>
          </w:tcPr>
          <w:p w14:paraId="45E1C023" w14:textId="77777777" w:rsidR="00695AE2" w:rsidRPr="00503014" w:rsidRDefault="00695AE2" w:rsidP="00980493">
            <w:pPr>
              <w:jc w:val="center"/>
              <w:rPr>
                <w:rFonts w:eastAsia="Calibri" w:cs="Calibri"/>
                <w:sz w:val="16"/>
                <w:szCs w:val="16"/>
              </w:rPr>
            </w:pPr>
            <w:r w:rsidRPr="00503014">
              <w:rPr>
                <w:rFonts w:eastAsia="Calibri" w:cs="Calibri"/>
                <w:sz w:val="16"/>
                <w:szCs w:val="16"/>
              </w:rPr>
              <w:t>181</w:t>
            </w:r>
          </w:p>
        </w:tc>
        <w:tc>
          <w:tcPr>
            <w:tcW w:w="1276" w:type="dxa"/>
          </w:tcPr>
          <w:p w14:paraId="0094E4D9" w14:textId="77777777" w:rsidR="00695AE2" w:rsidRPr="00503014" w:rsidRDefault="00695AE2" w:rsidP="00980493">
            <w:pPr>
              <w:jc w:val="center"/>
              <w:rPr>
                <w:rFonts w:eastAsia="Calibri" w:cs="Calibri"/>
                <w:sz w:val="16"/>
                <w:szCs w:val="16"/>
              </w:rPr>
            </w:pPr>
            <w:r w:rsidRPr="00503014">
              <w:rPr>
                <w:rFonts w:eastAsia="Calibri" w:cs="Calibri"/>
                <w:sz w:val="16"/>
                <w:szCs w:val="16"/>
              </w:rPr>
              <w:t>419</w:t>
            </w:r>
          </w:p>
        </w:tc>
        <w:tc>
          <w:tcPr>
            <w:tcW w:w="1559" w:type="dxa"/>
          </w:tcPr>
          <w:p w14:paraId="6B1BFC0C"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8F75EE9" w14:textId="77777777" w:rsidTr="00980493">
        <w:trPr>
          <w:trHeight w:val="192"/>
        </w:trPr>
        <w:tc>
          <w:tcPr>
            <w:tcW w:w="2972" w:type="dxa"/>
          </w:tcPr>
          <w:p w14:paraId="6431D33D" w14:textId="77777777" w:rsidR="00695AE2" w:rsidRPr="00503014" w:rsidRDefault="00695AE2" w:rsidP="00980493">
            <w:pPr>
              <w:rPr>
                <w:rFonts w:eastAsia="Calibri" w:cs="Calibri"/>
                <w:sz w:val="16"/>
                <w:szCs w:val="16"/>
              </w:rPr>
            </w:pPr>
            <w:r w:rsidRPr="00503014">
              <w:rPr>
                <w:rFonts w:eastAsia="Calibri" w:cs="Calibri"/>
                <w:sz w:val="16"/>
                <w:szCs w:val="16"/>
              </w:rPr>
              <w:t>nepravdni postopki</w:t>
            </w:r>
          </w:p>
        </w:tc>
        <w:tc>
          <w:tcPr>
            <w:tcW w:w="1418" w:type="dxa"/>
          </w:tcPr>
          <w:p w14:paraId="6681C118" w14:textId="77777777" w:rsidR="00695AE2" w:rsidRPr="00503014" w:rsidRDefault="00695AE2" w:rsidP="00980493">
            <w:pPr>
              <w:jc w:val="center"/>
              <w:rPr>
                <w:rFonts w:eastAsia="Calibri" w:cs="Calibri"/>
                <w:sz w:val="16"/>
                <w:szCs w:val="16"/>
              </w:rPr>
            </w:pPr>
            <w:r w:rsidRPr="00503014">
              <w:rPr>
                <w:rFonts w:eastAsia="Calibri" w:cs="Calibri"/>
                <w:sz w:val="16"/>
                <w:szCs w:val="16"/>
              </w:rPr>
              <w:t>363</w:t>
            </w:r>
          </w:p>
        </w:tc>
        <w:tc>
          <w:tcPr>
            <w:tcW w:w="897" w:type="dxa"/>
          </w:tcPr>
          <w:p w14:paraId="1AD9B22D" w14:textId="77777777" w:rsidR="00695AE2" w:rsidRPr="00503014" w:rsidRDefault="00695AE2" w:rsidP="00980493">
            <w:pPr>
              <w:jc w:val="center"/>
              <w:rPr>
                <w:rFonts w:eastAsia="Calibri" w:cs="Calibri"/>
                <w:sz w:val="16"/>
                <w:szCs w:val="16"/>
              </w:rPr>
            </w:pPr>
            <w:r w:rsidRPr="00503014">
              <w:rPr>
                <w:rFonts w:eastAsia="Calibri" w:cs="Calibri"/>
                <w:sz w:val="16"/>
                <w:szCs w:val="16"/>
              </w:rPr>
              <w:t>1.076</w:t>
            </w:r>
          </w:p>
        </w:tc>
        <w:tc>
          <w:tcPr>
            <w:tcW w:w="945" w:type="dxa"/>
          </w:tcPr>
          <w:p w14:paraId="2C9536E0" w14:textId="77777777" w:rsidR="00695AE2" w:rsidRPr="00503014" w:rsidRDefault="00695AE2" w:rsidP="00980493">
            <w:pPr>
              <w:jc w:val="center"/>
              <w:rPr>
                <w:rFonts w:eastAsia="Calibri" w:cs="Calibri"/>
                <w:sz w:val="16"/>
                <w:szCs w:val="16"/>
              </w:rPr>
            </w:pPr>
            <w:r w:rsidRPr="00503014">
              <w:rPr>
                <w:rFonts w:eastAsia="Calibri" w:cs="Calibri"/>
                <w:sz w:val="16"/>
                <w:szCs w:val="16"/>
              </w:rPr>
              <w:t>1.439</w:t>
            </w:r>
          </w:p>
        </w:tc>
        <w:tc>
          <w:tcPr>
            <w:tcW w:w="851" w:type="dxa"/>
          </w:tcPr>
          <w:p w14:paraId="7366F0A2" w14:textId="77777777" w:rsidR="00695AE2" w:rsidRPr="00503014" w:rsidRDefault="00695AE2" w:rsidP="00980493">
            <w:pPr>
              <w:jc w:val="center"/>
              <w:rPr>
                <w:rFonts w:eastAsia="Calibri" w:cs="Calibri"/>
                <w:sz w:val="16"/>
                <w:szCs w:val="16"/>
              </w:rPr>
            </w:pPr>
            <w:r w:rsidRPr="00503014">
              <w:rPr>
                <w:rFonts w:eastAsia="Calibri" w:cs="Calibri"/>
                <w:sz w:val="16"/>
                <w:szCs w:val="16"/>
              </w:rPr>
              <w:t>950</w:t>
            </w:r>
          </w:p>
        </w:tc>
        <w:tc>
          <w:tcPr>
            <w:tcW w:w="1276" w:type="dxa"/>
          </w:tcPr>
          <w:p w14:paraId="4F2A7F12" w14:textId="77777777" w:rsidR="00695AE2" w:rsidRPr="00503014" w:rsidRDefault="00695AE2" w:rsidP="00980493">
            <w:pPr>
              <w:jc w:val="center"/>
              <w:rPr>
                <w:rFonts w:eastAsia="Calibri" w:cs="Calibri"/>
                <w:sz w:val="16"/>
                <w:szCs w:val="16"/>
              </w:rPr>
            </w:pPr>
            <w:r w:rsidRPr="00503014">
              <w:rPr>
                <w:rFonts w:eastAsia="Calibri" w:cs="Calibri"/>
                <w:sz w:val="16"/>
                <w:szCs w:val="16"/>
              </w:rPr>
              <w:t>489</w:t>
            </w:r>
          </w:p>
        </w:tc>
        <w:tc>
          <w:tcPr>
            <w:tcW w:w="1559" w:type="dxa"/>
          </w:tcPr>
          <w:p w14:paraId="2C59B812"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6ED4A013" w14:textId="77777777" w:rsidTr="00980493">
        <w:trPr>
          <w:trHeight w:val="192"/>
        </w:trPr>
        <w:tc>
          <w:tcPr>
            <w:tcW w:w="2972" w:type="dxa"/>
          </w:tcPr>
          <w:p w14:paraId="1500D85B" w14:textId="77777777" w:rsidR="00695AE2" w:rsidRPr="00503014" w:rsidRDefault="00695AE2" w:rsidP="00980493">
            <w:pPr>
              <w:rPr>
                <w:rFonts w:eastAsia="Calibri" w:cs="Calibri"/>
                <w:sz w:val="16"/>
                <w:szCs w:val="16"/>
              </w:rPr>
            </w:pPr>
            <w:r w:rsidRPr="00503014">
              <w:rPr>
                <w:rFonts w:eastAsia="Calibri" w:cs="Calibri"/>
                <w:sz w:val="16"/>
                <w:szCs w:val="16"/>
              </w:rPr>
              <w:t>postopki razlastitev</w:t>
            </w:r>
          </w:p>
        </w:tc>
        <w:tc>
          <w:tcPr>
            <w:tcW w:w="1418" w:type="dxa"/>
          </w:tcPr>
          <w:p w14:paraId="5C78C804" w14:textId="77777777" w:rsidR="00695AE2" w:rsidRPr="00503014" w:rsidRDefault="00695AE2" w:rsidP="00980493">
            <w:pPr>
              <w:jc w:val="center"/>
              <w:rPr>
                <w:rFonts w:eastAsia="Calibri" w:cs="Calibri"/>
                <w:sz w:val="16"/>
                <w:szCs w:val="16"/>
              </w:rPr>
            </w:pPr>
            <w:r w:rsidRPr="00503014">
              <w:rPr>
                <w:rFonts w:eastAsia="Calibri" w:cs="Calibri"/>
                <w:sz w:val="16"/>
                <w:szCs w:val="16"/>
              </w:rPr>
              <w:t>24</w:t>
            </w:r>
          </w:p>
        </w:tc>
        <w:tc>
          <w:tcPr>
            <w:tcW w:w="897" w:type="dxa"/>
          </w:tcPr>
          <w:p w14:paraId="209E1AB2" w14:textId="77777777" w:rsidR="00695AE2" w:rsidRPr="00503014" w:rsidRDefault="00695AE2" w:rsidP="00980493">
            <w:pPr>
              <w:jc w:val="center"/>
              <w:rPr>
                <w:rFonts w:eastAsia="Calibri" w:cs="Calibri"/>
                <w:sz w:val="16"/>
                <w:szCs w:val="16"/>
              </w:rPr>
            </w:pPr>
            <w:r w:rsidRPr="00503014">
              <w:rPr>
                <w:rFonts w:eastAsia="Calibri" w:cs="Calibri"/>
                <w:sz w:val="16"/>
                <w:szCs w:val="16"/>
              </w:rPr>
              <w:t>10</w:t>
            </w:r>
          </w:p>
        </w:tc>
        <w:tc>
          <w:tcPr>
            <w:tcW w:w="945" w:type="dxa"/>
          </w:tcPr>
          <w:p w14:paraId="6C72DEF3" w14:textId="77777777" w:rsidR="00695AE2" w:rsidRPr="00503014" w:rsidRDefault="00695AE2" w:rsidP="00980493">
            <w:pPr>
              <w:jc w:val="center"/>
              <w:rPr>
                <w:rFonts w:eastAsia="Calibri" w:cs="Calibri"/>
                <w:sz w:val="16"/>
                <w:szCs w:val="16"/>
              </w:rPr>
            </w:pPr>
            <w:r w:rsidRPr="00503014">
              <w:rPr>
                <w:rFonts w:eastAsia="Calibri" w:cs="Calibri"/>
                <w:sz w:val="16"/>
                <w:szCs w:val="16"/>
              </w:rPr>
              <w:t>34</w:t>
            </w:r>
          </w:p>
        </w:tc>
        <w:tc>
          <w:tcPr>
            <w:tcW w:w="851" w:type="dxa"/>
          </w:tcPr>
          <w:p w14:paraId="0DE00AA3" w14:textId="77777777" w:rsidR="00695AE2" w:rsidRPr="00503014" w:rsidRDefault="00695AE2" w:rsidP="00980493">
            <w:pPr>
              <w:jc w:val="center"/>
              <w:rPr>
                <w:rFonts w:eastAsia="Calibri" w:cs="Calibri"/>
                <w:sz w:val="16"/>
                <w:szCs w:val="16"/>
              </w:rPr>
            </w:pPr>
            <w:r w:rsidRPr="00503014">
              <w:rPr>
                <w:rFonts w:eastAsia="Calibri" w:cs="Calibri"/>
                <w:sz w:val="16"/>
                <w:szCs w:val="16"/>
              </w:rPr>
              <w:t>17</w:t>
            </w:r>
          </w:p>
        </w:tc>
        <w:tc>
          <w:tcPr>
            <w:tcW w:w="1276" w:type="dxa"/>
          </w:tcPr>
          <w:p w14:paraId="6704DA84" w14:textId="77777777" w:rsidR="00695AE2" w:rsidRPr="00503014" w:rsidRDefault="00695AE2" w:rsidP="00980493">
            <w:pPr>
              <w:jc w:val="center"/>
              <w:rPr>
                <w:rFonts w:eastAsia="Calibri" w:cs="Calibri"/>
                <w:sz w:val="16"/>
                <w:szCs w:val="16"/>
              </w:rPr>
            </w:pPr>
            <w:r w:rsidRPr="00503014">
              <w:rPr>
                <w:rFonts w:eastAsia="Calibri" w:cs="Calibri"/>
                <w:sz w:val="16"/>
                <w:szCs w:val="16"/>
              </w:rPr>
              <w:t>17</w:t>
            </w:r>
          </w:p>
        </w:tc>
        <w:tc>
          <w:tcPr>
            <w:tcW w:w="1559" w:type="dxa"/>
          </w:tcPr>
          <w:p w14:paraId="403FE8D9"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396E1C02" w14:textId="77777777" w:rsidTr="00980493">
        <w:trPr>
          <w:trHeight w:val="192"/>
        </w:trPr>
        <w:tc>
          <w:tcPr>
            <w:tcW w:w="2972" w:type="dxa"/>
          </w:tcPr>
          <w:p w14:paraId="6E0DF189" w14:textId="77777777" w:rsidR="00695AE2" w:rsidRPr="00503014" w:rsidRDefault="00695AE2" w:rsidP="00980493">
            <w:pPr>
              <w:rPr>
                <w:rFonts w:eastAsia="Calibri" w:cs="Calibri"/>
                <w:sz w:val="16"/>
                <w:szCs w:val="16"/>
              </w:rPr>
            </w:pPr>
            <w:r w:rsidRPr="00503014">
              <w:rPr>
                <w:rFonts w:eastAsia="Calibri" w:cs="Calibri"/>
                <w:sz w:val="16"/>
                <w:szCs w:val="16"/>
              </w:rPr>
              <w:t>upravne zadeve</w:t>
            </w:r>
          </w:p>
        </w:tc>
        <w:tc>
          <w:tcPr>
            <w:tcW w:w="1418" w:type="dxa"/>
          </w:tcPr>
          <w:p w14:paraId="27F7FFB2"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897" w:type="dxa"/>
          </w:tcPr>
          <w:p w14:paraId="70190AEE" w14:textId="77777777" w:rsidR="00695AE2" w:rsidRPr="00503014" w:rsidRDefault="00695AE2" w:rsidP="00980493">
            <w:pPr>
              <w:jc w:val="center"/>
              <w:rPr>
                <w:rFonts w:eastAsia="Calibri" w:cs="Calibri"/>
                <w:sz w:val="16"/>
                <w:szCs w:val="16"/>
              </w:rPr>
            </w:pPr>
            <w:r w:rsidRPr="00503014">
              <w:rPr>
                <w:rFonts w:eastAsia="Calibri" w:cs="Calibri"/>
                <w:sz w:val="16"/>
                <w:szCs w:val="16"/>
              </w:rPr>
              <w:t>881</w:t>
            </w:r>
          </w:p>
        </w:tc>
        <w:tc>
          <w:tcPr>
            <w:tcW w:w="945" w:type="dxa"/>
          </w:tcPr>
          <w:p w14:paraId="0BC5404E" w14:textId="77777777" w:rsidR="00695AE2" w:rsidRPr="00503014" w:rsidRDefault="00695AE2" w:rsidP="00980493">
            <w:pPr>
              <w:jc w:val="center"/>
              <w:rPr>
                <w:rFonts w:eastAsia="Calibri" w:cs="Calibri"/>
                <w:sz w:val="16"/>
                <w:szCs w:val="16"/>
              </w:rPr>
            </w:pPr>
            <w:r w:rsidRPr="00503014">
              <w:rPr>
                <w:rFonts w:eastAsia="Calibri" w:cs="Calibri"/>
                <w:sz w:val="16"/>
                <w:szCs w:val="16"/>
              </w:rPr>
              <w:t>882</w:t>
            </w:r>
          </w:p>
        </w:tc>
        <w:tc>
          <w:tcPr>
            <w:tcW w:w="851" w:type="dxa"/>
          </w:tcPr>
          <w:p w14:paraId="29409CEC" w14:textId="77777777" w:rsidR="00695AE2" w:rsidRPr="00503014" w:rsidRDefault="00695AE2" w:rsidP="00980493">
            <w:pPr>
              <w:jc w:val="center"/>
              <w:rPr>
                <w:rFonts w:eastAsia="Calibri" w:cs="Calibri"/>
                <w:sz w:val="16"/>
                <w:szCs w:val="16"/>
              </w:rPr>
            </w:pPr>
            <w:r w:rsidRPr="00503014">
              <w:rPr>
                <w:rFonts w:eastAsia="Calibri" w:cs="Calibri"/>
                <w:sz w:val="16"/>
                <w:szCs w:val="16"/>
              </w:rPr>
              <w:t>880</w:t>
            </w:r>
          </w:p>
        </w:tc>
        <w:tc>
          <w:tcPr>
            <w:tcW w:w="1276" w:type="dxa"/>
          </w:tcPr>
          <w:p w14:paraId="2ED0C022"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1559" w:type="dxa"/>
          </w:tcPr>
          <w:p w14:paraId="1967AD3F"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0D04211E" w14:textId="77777777" w:rsidTr="00980493">
        <w:trPr>
          <w:trHeight w:val="192"/>
        </w:trPr>
        <w:tc>
          <w:tcPr>
            <w:tcW w:w="2972" w:type="dxa"/>
          </w:tcPr>
          <w:p w14:paraId="50355590" w14:textId="77777777" w:rsidR="00695AE2" w:rsidRPr="00503014" w:rsidRDefault="00695AE2" w:rsidP="00980493">
            <w:pPr>
              <w:rPr>
                <w:rFonts w:eastAsia="Calibri" w:cs="Calibri"/>
                <w:sz w:val="16"/>
                <w:szCs w:val="16"/>
              </w:rPr>
            </w:pPr>
            <w:r w:rsidRPr="00503014">
              <w:rPr>
                <w:rFonts w:eastAsia="Calibri" w:cs="Calibri"/>
                <w:sz w:val="16"/>
                <w:szCs w:val="16"/>
              </w:rPr>
              <w:t>postopki po Zden</w:t>
            </w:r>
          </w:p>
        </w:tc>
        <w:tc>
          <w:tcPr>
            <w:tcW w:w="1418" w:type="dxa"/>
          </w:tcPr>
          <w:p w14:paraId="2920512D" w14:textId="77777777" w:rsidR="00695AE2" w:rsidRPr="00503014" w:rsidRDefault="00695AE2" w:rsidP="00980493">
            <w:pPr>
              <w:jc w:val="center"/>
              <w:rPr>
                <w:rFonts w:eastAsia="Calibri" w:cs="Calibri"/>
                <w:sz w:val="16"/>
                <w:szCs w:val="16"/>
              </w:rPr>
            </w:pPr>
            <w:r w:rsidRPr="00503014">
              <w:rPr>
                <w:rFonts w:eastAsia="Calibri" w:cs="Calibri"/>
                <w:sz w:val="16"/>
                <w:szCs w:val="16"/>
              </w:rPr>
              <w:t>4</w:t>
            </w:r>
          </w:p>
        </w:tc>
        <w:tc>
          <w:tcPr>
            <w:tcW w:w="897" w:type="dxa"/>
          </w:tcPr>
          <w:p w14:paraId="57D6F95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D28A88A" w14:textId="77777777" w:rsidR="00695AE2" w:rsidRPr="00503014" w:rsidRDefault="00695AE2" w:rsidP="00980493">
            <w:pPr>
              <w:jc w:val="center"/>
              <w:rPr>
                <w:rFonts w:eastAsia="Calibri" w:cs="Calibri"/>
                <w:sz w:val="16"/>
                <w:szCs w:val="16"/>
              </w:rPr>
            </w:pPr>
            <w:r w:rsidRPr="00503014">
              <w:rPr>
                <w:rFonts w:eastAsia="Calibri" w:cs="Calibri"/>
                <w:sz w:val="16"/>
                <w:szCs w:val="16"/>
              </w:rPr>
              <w:t>4</w:t>
            </w:r>
          </w:p>
        </w:tc>
        <w:tc>
          <w:tcPr>
            <w:tcW w:w="851" w:type="dxa"/>
          </w:tcPr>
          <w:p w14:paraId="4BD6B4D6"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276" w:type="dxa"/>
          </w:tcPr>
          <w:p w14:paraId="06E45594"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1559" w:type="dxa"/>
          </w:tcPr>
          <w:p w14:paraId="00B3CE75"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2EEBE337" w14:textId="77777777" w:rsidTr="00980493">
        <w:trPr>
          <w:trHeight w:val="192"/>
        </w:trPr>
        <w:tc>
          <w:tcPr>
            <w:tcW w:w="2972" w:type="dxa"/>
          </w:tcPr>
          <w:p w14:paraId="727741BB" w14:textId="77777777" w:rsidR="00695AE2" w:rsidRPr="00503014" w:rsidRDefault="00695AE2" w:rsidP="00980493">
            <w:pPr>
              <w:rPr>
                <w:rFonts w:eastAsia="Calibri" w:cs="Calibri"/>
                <w:sz w:val="16"/>
                <w:szCs w:val="16"/>
              </w:rPr>
            </w:pPr>
            <w:r w:rsidRPr="00503014">
              <w:rPr>
                <w:rFonts w:eastAsia="Calibri" w:cs="Calibri"/>
                <w:sz w:val="16"/>
                <w:szCs w:val="16"/>
              </w:rPr>
              <w:t>postopki po ZIKS</w:t>
            </w:r>
          </w:p>
        </w:tc>
        <w:tc>
          <w:tcPr>
            <w:tcW w:w="1418" w:type="dxa"/>
          </w:tcPr>
          <w:p w14:paraId="6421935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771F32B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02E9B8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5B4B6F9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7804B42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677FDA70"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tr w:rsidR="00695AE2" w:rsidRPr="00503014" w14:paraId="4EBC45B3" w14:textId="77777777" w:rsidTr="00980493">
        <w:trPr>
          <w:trHeight w:val="192"/>
        </w:trPr>
        <w:tc>
          <w:tcPr>
            <w:tcW w:w="2972" w:type="dxa"/>
          </w:tcPr>
          <w:p w14:paraId="2A78775E" w14:textId="77777777" w:rsidR="00695AE2" w:rsidRPr="00503014" w:rsidRDefault="00695AE2" w:rsidP="00980493">
            <w:pPr>
              <w:rPr>
                <w:rFonts w:eastAsia="Calibri" w:cs="Calibri"/>
                <w:sz w:val="16"/>
                <w:szCs w:val="16"/>
              </w:rPr>
            </w:pPr>
            <w:r w:rsidRPr="00503014">
              <w:rPr>
                <w:rFonts w:eastAsia="Calibri" w:cs="Calibri"/>
                <w:sz w:val="16"/>
                <w:szCs w:val="16"/>
              </w:rPr>
              <w:t>postopki po ZVVJTO</w:t>
            </w:r>
          </w:p>
        </w:tc>
        <w:tc>
          <w:tcPr>
            <w:tcW w:w="1418" w:type="dxa"/>
          </w:tcPr>
          <w:p w14:paraId="6A88287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97" w:type="dxa"/>
          </w:tcPr>
          <w:p w14:paraId="048441F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945" w:type="dxa"/>
          </w:tcPr>
          <w:p w14:paraId="60E4063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851" w:type="dxa"/>
          </w:tcPr>
          <w:p w14:paraId="26D013A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276" w:type="dxa"/>
          </w:tcPr>
          <w:p w14:paraId="178E97B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559" w:type="dxa"/>
          </w:tcPr>
          <w:p w14:paraId="545EAA68" w14:textId="77777777" w:rsidR="00695AE2" w:rsidRPr="00503014" w:rsidRDefault="00695AE2" w:rsidP="00980493">
            <w:pPr>
              <w:jc w:val="center"/>
              <w:rPr>
                <w:rFonts w:eastAsia="Calibri" w:cs="Calibri"/>
                <w:sz w:val="16"/>
                <w:szCs w:val="16"/>
              </w:rPr>
            </w:pPr>
            <w:r w:rsidRPr="00503014">
              <w:rPr>
                <w:rFonts w:eastAsia="Calibri" w:cs="Calibri"/>
                <w:sz w:val="16"/>
                <w:szCs w:val="16"/>
              </w:rPr>
              <w:t>NP</w:t>
            </w:r>
          </w:p>
        </w:tc>
      </w:tr>
      <w:bookmarkEnd w:id="405"/>
    </w:tbl>
    <w:p w14:paraId="27CACFC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p>
    <w:p w14:paraId="2A91C06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348F620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b/>
          <w:bCs/>
          <w:color w:val="007466"/>
        </w:rPr>
        <w:t>Državno odvetništvo RS je v letu 2025 z vseh področij svojega dela zaključilo</w:t>
      </w:r>
      <w:r w:rsidRPr="00503014">
        <w:rPr>
          <w:rFonts w:eastAsia="Calibri"/>
          <w:color w:val="007466"/>
        </w:rPr>
        <w:t xml:space="preserve"> </w:t>
      </w:r>
      <w:r w:rsidRPr="00503014">
        <w:rPr>
          <w:rFonts w:eastAsia="Calibri"/>
          <w:b/>
          <w:bCs/>
          <w:color w:val="007466"/>
        </w:rPr>
        <w:t>50.123 zadev.</w:t>
      </w:r>
      <w:r w:rsidRPr="00503014">
        <w:rPr>
          <w:rFonts w:eastAsia="Calibri"/>
        </w:rPr>
        <w:t xml:space="preserve"> V navedeni podatek so zajeti tudi podatki o zaključenih</w:t>
      </w:r>
      <w:r w:rsidRPr="00503014">
        <w:rPr>
          <w:rFonts w:eastAsia="Calibri"/>
          <w:b/>
          <w:bCs/>
        </w:rPr>
        <w:t xml:space="preserve"> </w:t>
      </w:r>
      <w:r w:rsidRPr="00503014">
        <w:rPr>
          <w:rFonts w:eastAsia="Calibri"/>
        </w:rPr>
        <w:t xml:space="preserve">postopkih pred ESČP, SEU in sodiščem EFTA, pa tudi zadeve s področja pravnih mnenj, ki v tabeli 6 sicer niso vključene. </w:t>
      </w:r>
    </w:p>
    <w:p w14:paraId="7BB1416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p>
    <w:p w14:paraId="5A26B42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Z delovnih področij, ki jih vključuje tabela 6, je Državno odvetništvo RS v letu 2025 zaključilo 48.548 zadev.</w:t>
      </w:r>
    </w:p>
    <w:p w14:paraId="19D93A5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7466"/>
        </w:rPr>
      </w:pPr>
    </w:p>
    <w:p w14:paraId="3E3EFDD9"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 xml:space="preserve">Tabela 6: Prikaz načina rešitev posameznih zadev po področjih </w:t>
      </w:r>
    </w:p>
    <w:p w14:paraId="119D444D" w14:textId="77777777" w:rsidR="00695AE2" w:rsidRPr="00503014" w:rsidRDefault="00695AE2" w:rsidP="00695AE2">
      <w:pPr>
        <w:spacing w:line="240" w:lineRule="auto"/>
        <w:jc w:val="both"/>
        <w:rPr>
          <w:rFonts w:eastAsia="Calibri"/>
          <w:b/>
          <w:color w:val="007466"/>
          <w:sz w:val="20"/>
          <w:szCs w:val="20"/>
        </w:rPr>
      </w:pPr>
    </w:p>
    <w:tbl>
      <w:tblPr>
        <w:tblStyle w:val="Tabelamrea2"/>
        <w:tblW w:w="11565" w:type="dxa"/>
        <w:tblInd w:w="-1249" w:type="dxa"/>
        <w:tblLayout w:type="fixed"/>
        <w:tblLook w:val="04A0" w:firstRow="1" w:lastRow="0" w:firstColumn="1" w:lastColumn="0" w:noHBand="0" w:noVBand="1"/>
      </w:tblPr>
      <w:tblGrid>
        <w:gridCol w:w="1244"/>
        <w:gridCol w:w="284"/>
        <w:gridCol w:w="567"/>
        <w:gridCol w:w="567"/>
        <w:gridCol w:w="455"/>
        <w:gridCol w:w="429"/>
        <w:gridCol w:w="422"/>
        <w:gridCol w:w="425"/>
        <w:gridCol w:w="566"/>
        <w:gridCol w:w="429"/>
        <w:gridCol w:w="676"/>
        <w:gridCol w:w="599"/>
        <w:gridCol w:w="367"/>
        <w:gridCol w:w="452"/>
        <w:gridCol w:w="416"/>
        <w:gridCol w:w="416"/>
        <w:gridCol w:w="452"/>
        <w:gridCol w:w="416"/>
        <w:gridCol w:w="452"/>
        <w:gridCol w:w="416"/>
        <w:gridCol w:w="647"/>
        <w:gridCol w:w="328"/>
        <w:gridCol w:w="540"/>
      </w:tblGrid>
      <w:tr w:rsidR="00695AE2" w:rsidRPr="00503014" w14:paraId="13C3DD1F" w14:textId="77777777" w:rsidTr="00980493">
        <w:trPr>
          <w:cantSplit/>
          <w:trHeight w:val="2753"/>
        </w:trPr>
        <w:tc>
          <w:tcPr>
            <w:tcW w:w="1244" w:type="dxa"/>
          </w:tcPr>
          <w:p w14:paraId="595208FA" w14:textId="77777777" w:rsidR="00695AE2" w:rsidRPr="00503014" w:rsidRDefault="00695AE2" w:rsidP="00980493">
            <w:pPr>
              <w:jc w:val="center"/>
              <w:rPr>
                <w:rFonts w:eastAsia="Calibri" w:cs="Calibri"/>
                <w:sz w:val="14"/>
                <w:szCs w:val="14"/>
              </w:rPr>
            </w:pPr>
          </w:p>
          <w:p w14:paraId="3B2F31D7" w14:textId="77777777" w:rsidR="00695AE2" w:rsidRPr="00503014" w:rsidRDefault="00695AE2" w:rsidP="00980493">
            <w:pPr>
              <w:jc w:val="center"/>
              <w:rPr>
                <w:rFonts w:eastAsia="Calibri" w:cs="Calibri"/>
                <w:sz w:val="14"/>
                <w:szCs w:val="14"/>
              </w:rPr>
            </w:pPr>
          </w:p>
          <w:p w14:paraId="1C97E8D6" w14:textId="77777777" w:rsidR="00695AE2" w:rsidRPr="00503014" w:rsidRDefault="00695AE2" w:rsidP="00980493">
            <w:pPr>
              <w:jc w:val="center"/>
              <w:rPr>
                <w:rFonts w:eastAsia="Calibri" w:cs="Calibri"/>
                <w:sz w:val="14"/>
                <w:szCs w:val="14"/>
              </w:rPr>
            </w:pPr>
          </w:p>
          <w:p w14:paraId="0ACC2A85" w14:textId="77777777" w:rsidR="00695AE2" w:rsidRPr="00503014" w:rsidRDefault="00695AE2" w:rsidP="00980493">
            <w:pPr>
              <w:jc w:val="center"/>
              <w:rPr>
                <w:rFonts w:eastAsia="Calibri" w:cs="Calibri"/>
                <w:sz w:val="14"/>
                <w:szCs w:val="14"/>
              </w:rPr>
            </w:pPr>
          </w:p>
          <w:p w14:paraId="5587DC73" w14:textId="77777777" w:rsidR="00695AE2" w:rsidRPr="00503014" w:rsidRDefault="00695AE2" w:rsidP="00980493">
            <w:pPr>
              <w:jc w:val="center"/>
              <w:rPr>
                <w:rFonts w:eastAsia="Calibri" w:cs="Calibri"/>
                <w:sz w:val="14"/>
                <w:szCs w:val="14"/>
              </w:rPr>
            </w:pPr>
          </w:p>
          <w:p w14:paraId="58210117" w14:textId="77777777" w:rsidR="00695AE2" w:rsidRPr="00503014" w:rsidRDefault="00695AE2" w:rsidP="00980493">
            <w:pPr>
              <w:jc w:val="center"/>
              <w:rPr>
                <w:rFonts w:eastAsia="Calibri" w:cs="Calibri"/>
                <w:sz w:val="14"/>
                <w:szCs w:val="14"/>
              </w:rPr>
            </w:pPr>
            <w:r w:rsidRPr="00503014">
              <w:rPr>
                <w:rFonts w:eastAsia="Calibri" w:cs="Calibri"/>
                <w:sz w:val="14"/>
                <w:szCs w:val="14"/>
              </w:rPr>
              <w:t>Področje dela in način rešitve</w:t>
            </w:r>
          </w:p>
        </w:tc>
        <w:tc>
          <w:tcPr>
            <w:tcW w:w="284" w:type="dxa"/>
            <w:textDirection w:val="btLr"/>
          </w:tcPr>
          <w:p w14:paraId="0533BCFB"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IZVENSODNA PORAVNAVA</w:t>
            </w:r>
          </w:p>
        </w:tc>
        <w:tc>
          <w:tcPr>
            <w:tcW w:w="567" w:type="dxa"/>
            <w:textDirection w:val="btLr"/>
          </w:tcPr>
          <w:p w14:paraId="2CE592B2"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SODNA PORAVNAVA</w:t>
            </w:r>
          </w:p>
        </w:tc>
        <w:tc>
          <w:tcPr>
            <w:tcW w:w="567" w:type="dxa"/>
            <w:textDirection w:val="btLr"/>
          </w:tcPr>
          <w:p w14:paraId="7E398243"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DOBLJENO</w:t>
            </w:r>
          </w:p>
        </w:tc>
        <w:tc>
          <w:tcPr>
            <w:tcW w:w="455" w:type="dxa"/>
            <w:textDirection w:val="btLr"/>
          </w:tcPr>
          <w:p w14:paraId="7F474F1A"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IZGUBLJENO</w:t>
            </w:r>
          </w:p>
        </w:tc>
        <w:tc>
          <w:tcPr>
            <w:tcW w:w="429" w:type="dxa"/>
            <w:textDirection w:val="btLr"/>
          </w:tcPr>
          <w:p w14:paraId="6DB2A7EE"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UMIK</w:t>
            </w:r>
          </w:p>
        </w:tc>
        <w:tc>
          <w:tcPr>
            <w:tcW w:w="422" w:type="dxa"/>
            <w:textDirection w:val="btLr"/>
          </w:tcPr>
          <w:p w14:paraId="79E14FAA"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PP – PORAVNAVA</w:t>
            </w:r>
          </w:p>
        </w:tc>
        <w:tc>
          <w:tcPr>
            <w:tcW w:w="425" w:type="dxa"/>
            <w:textDirection w:val="btLr"/>
          </w:tcPr>
          <w:p w14:paraId="53BA36DA"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PP – NE SPREJME PONUDBE</w:t>
            </w:r>
          </w:p>
        </w:tc>
        <w:tc>
          <w:tcPr>
            <w:tcW w:w="566" w:type="dxa"/>
            <w:textDirection w:val="btLr"/>
          </w:tcPr>
          <w:p w14:paraId="29D71A0B"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PP – DP ZAVRNIL</w:t>
            </w:r>
          </w:p>
        </w:tc>
        <w:tc>
          <w:tcPr>
            <w:tcW w:w="429" w:type="dxa"/>
            <w:textDirection w:val="btLr"/>
          </w:tcPr>
          <w:p w14:paraId="3C0EF176"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PLAČANO PO OPOMINU</w:t>
            </w:r>
          </w:p>
        </w:tc>
        <w:tc>
          <w:tcPr>
            <w:tcW w:w="676" w:type="dxa"/>
            <w:textDirection w:val="btLr"/>
          </w:tcPr>
          <w:p w14:paraId="24521110"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UGODENO</w:t>
            </w:r>
          </w:p>
        </w:tc>
        <w:tc>
          <w:tcPr>
            <w:tcW w:w="599" w:type="dxa"/>
            <w:textDirection w:val="btLr"/>
          </w:tcPr>
          <w:p w14:paraId="7B655A71"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USTAVITEV</w:t>
            </w:r>
          </w:p>
        </w:tc>
        <w:tc>
          <w:tcPr>
            <w:tcW w:w="367" w:type="dxa"/>
            <w:textDirection w:val="btLr"/>
          </w:tcPr>
          <w:p w14:paraId="7A4B93C3"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IZGUBLJENO/ZAVRNJENO</w:t>
            </w:r>
          </w:p>
        </w:tc>
        <w:tc>
          <w:tcPr>
            <w:tcW w:w="452" w:type="dxa"/>
            <w:textDirection w:val="btLr"/>
          </w:tcPr>
          <w:p w14:paraId="4070A3A4"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IZVRŠBA USPEŠNA</w:t>
            </w:r>
          </w:p>
        </w:tc>
        <w:tc>
          <w:tcPr>
            <w:tcW w:w="416" w:type="dxa"/>
            <w:textDirection w:val="btLr"/>
          </w:tcPr>
          <w:p w14:paraId="3C429189"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REŠENO S PORAVNAVO</w:t>
            </w:r>
          </w:p>
        </w:tc>
        <w:tc>
          <w:tcPr>
            <w:tcW w:w="416" w:type="dxa"/>
            <w:textDirection w:val="btLr"/>
          </w:tcPr>
          <w:p w14:paraId="60D60F22"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ZAVRNJENO</w:t>
            </w:r>
          </w:p>
        </w:tc>
        <w:tc>
          <w:tcPr>
            <w:tcW w:w="452" w:type="dxa"/>
            <w:textDirection w:val="btLr"/>
          </w:tcPr>
          <w:p w14:paraId="0F0F6771"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ZAHTEVI UGODENO</w:t>
            </w:r>
          </w:p>
        </w:tc>
        <w:tc>
          <w:tcPr>
            <w:tcW w:w="416" w:type="dxa"/>
            <w:textDirection w:val="btLr"/>
          </w:tcPr>
          <w:p w14:paraId="5D001697"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UMIK ZAHTEVE</w:t>
            </w:r>
          </w:p>
        </w:tc>
        <w:tc>
          <w:tcPr>
            <w:tcW w:w="452" w:type="dxa"/>
            <w:textDirection w:val="btLr"/>
          </w:tcPr>
          <w:p w14:paraId="676F9610"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KADUCITETA</w:t>
            </w:r>
          </w:p>
        </w:tc>
        <w:tc>
          <w:tcPr>
            <w:tcW w:w="416" w:type="dxa"/>
            <w:textDirection w:val="btLr"/>
          </w:tcPr>
          <w:p w14:paraId="3EDCE3A4"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VLOŽENA TOŽBA (BPP)</w:t>
            </w:r>
          </w:p>
        </w:tc>
        <w:tc>
          <w:tcPr>
            <w:tcW w:w="647" w:type="dxa"/>
            <w:textDirection w:val="btLr"/>
          </w:tcPr>
          <w:p w14:paraId="3B15DFC6"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NEVLOŽENA TOŽBA (BPP)</w:t>
            </w:r>
          </w:p>
        </w:tc>
        <w:tc>
          <w:tcPr>
            <w:tcW w:w="328" w:type="dxa"/>
            <w:textDirection w:val="btLr"/>
          </w:tcPr>
          <w:p w14:paraId="5136768F"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VLOŽENA TOŽBA</w:t>
            </w:r>
          </w:p>
        </w:tc>
        <w:tc>
          <w:tcPr>
            <w:tcW w:w="540" w:type="dxa"/>
            <w:textDirection w:val="btLr"/>
          </w:tcPr>
          <w:p w14:paraId="316F3EAA" w14:textId="77777777" w:rsidR="00695AE2" w:rsidRPr="00503014" w:rsidRDefault="00695AE2" w:rsidP="00980493">
            <w:pPr>
              <w:ind w:left="113" w:right="113"/>
              <w:rPr>
                <w:rFonts w:eastAsia="Calibri" w:cs="Calibri"/>
                <w:sz w:val="14"/>
                <w:szCs w:val="14"/>
              </w:rPr>
            </w:pPr>
            <w:r w:rsidRPr="00503014">
              <w:rPr>
                <w:rFonts w:eastAsia="Calibri" w:cs="Calibri"/>
                <w:sz w:val="14"/>
                <w:szCs w:val="14"/>
              </w:rPr>
              <w:t>NEVLOŽENA TOŽBA</w:t>
            </w:r>
          </w:p>
        </w:tc>
      </w:tr>
      <w:tr w:rsidR="00695AE2" w:rsidRPr="00503014" w14:paraId="1FB29578" w14:textId="77777777" w:rsidTr="00980493">
        <w:trPr>
          <w:trHeight w:val="185"/>
        </w:trPr>
        <w:tc>
          <w:tcPr>
            <w:tcW w:w="1244" w:type="dxa"/>
          </w:tcPr>
          <w:p w14:paraId="5C06AE2D" w14:textId="77777777" w:rsidR="00695AE2" w:rsidRPr="00503014" w:rsidRDefault="00695AE2" w:rsidP="00980493">
            <w:pPr>
              <w:rPr>
                <w:rFonts w:eastAsia="Calibri" w:cs="Calibri"/>
                <w:sz w:val="14"/>
                <w:szCs w:val="14"/>
              </w:rPr>
            </w:pPr>
            <w:r w:rsidRPr="00503014">
              <w:rPr>
                <w:rFonts w:eastAsia="Calibri" w:cs="Calibri"/>
                <w:sz w:val="14"/>
                <w:szCs w:val="14"/>
              </w:rPr>
              <w:t>Civilnopravne in gospodarske zadeve</w:t>
            </w:r>
          </w:p>
        </w:tc>
        <w:tc>
          <w:tcPr>
            <w:tcW w:w="284" w:type="dxa"/>
          </w:tcPr>
          <w:p w14:paraId="0754CBDE" w14:textId="77777777" w:rsidR="00695AE2" w:rsidRPr="00503014" w:rsidRDefault="00695AE2" w:rsidP="00980493">
            <w:pPr>
              <w:jc w:val="center"/>
              <w:rPr>
                <w:rFonts w:eastAsia="Calibri" w:cs="Calibri"/>
                <w:sz w:val="14"/>
                <w:szCs w:val="14"/>
              </w:rPr>
            </w:pPr>
            <w:r w:rsidRPr="00503014">
              <w:rPr>
                <w:rFonts w:eastAsia="Calibri" w:cs="Calibri"/>
                <w:sz w:val="14"/>
                <w:szCs w:val="14"/>
              </w:rPr>
              <w:t>3</w:t>
            </w:r>
          </w:p>
        </w:tc>
        <w:tc>
          <w:tcPr>
            <w:tcW w:w="567" w:type="dxa"/>
          </w:tcPr>
          <w:p w14:paraId="5B1DBD1E" w14:textId="77777777" w:rsidR="00695AE2" w:rsidRPr="00503014" w:rsidRDefault="00695AE2" w:rsidP="00980493">
            <w:pPr>
              <w:jc w:val="center"/>
              <w:rPr>
                <w:rFonts w:eastAsia="Calibri" w:cs="Calibri"/>
                <w:sz w:val="14"/>
                <w:szCs w:val="14"/>
              </w:rPr>
            </w:pPr>
            <w:r w:rsidRPr="00503014">
              <w:rPr>
                <w:rFonts w:eastAsia="Calibri" w:cs="Calibri"/>
                <w:sz w:val="14"/>
                <w:szCs w:val="14"/>
              </w:rPr>
              <w:t>46</w:t>
            </w:r>
          </w:p>
        </w:tc>
        <w:tc>
          <w:tcPr>
            <w:tcW w:w="567" w:type="dxa"/>
          </w:tcPr>
          <w:p w14:paraId="1EED0DF4" w14:textId="77777777" w:rsidR="00695AE2" w:rsidRPr="00503014" w:rsidRDefault="00695AE2" w:rsidP="00980493">
            <w:pPr>
              <w:jc w:val="center"/>
              <w:rPr>
                <w:rFonts w:eastAsia="Calibri" w:cs="Calibri"/>
                <w:sz w:val="14"/>
                <w:szCs w:val="14"/>
              </w:rPr>
            </w:pPr>
            <w:r w:rsidRPr="00503014">
              <w:rPr>
                <w:rFonts w:eastAsia="Calibri" w:cs="Calibri"/>
                <w:sz w:val="14"/>
                <w:szCs w:val="14"/>
              </w:rPr>
              <w:t>198</w:t>
            </w:r>
          </w:p>
        </w:tc>
        <w:tc>
          <w:tcPr>
            <w:tcW w:w="455" w:type="dxa"/>
          </w:tcPr>
          <w:p w14:paraId="073D0C41" w14:textId="77777777" w:rsidR="00695AE2" w:rsidRPr="00503014" w:rsidRDefault="00695AE2" w:rsidP="00980493">
            <w:pPr>
              <w:jc w:val="center"/>
              <w:rPr>
                <w:rFonts w:eastAsia="Calibri" w:cs="Calibri"/>
                <w:sz w:val="14"/>
                <w:szCs w:val="14"/>
              </w:rPr>
            </w:pPr>
            <w:r w:rsidRPr="00503014">
              <w:rPr>
                <w:rFonts w:eastAsia="Calibri" w:cs="Calibri"/>
                <w:sz w:val="14"/>
                <w:szCs w:val="14"/>
              </w:rPr>
              <w:t>33</w:t>
            </w:r>
          </w:p>
        </w:tc>
        <w:tc>
          <w:tcPr>
            <w:tcW w:w="429" w:type="dxa"/>
          </w:tcPr>
          <w:p w14:paraId="4C0BDF72" w14:textId="77777777" w:rsidR="00695AE2" w:rsidRPr="00503014" w:rsidRDefault="00695AE2" w:rsidP="00980493">
            <w:pPr>
              <w:jc w:val="center"/>
              <w:rPr>
                <w:rFonts w:eastAsia="Calibri" w:cs="Calibri"/>
                <w:sz w:val="14"/>
                <w:szCs w:val="14"/>
              </w:rPr>
            </w:pPr>
            <w:r w:rsidRPr="00503014">
              <w:rPr>
                <w:rFonts w:eastAsia="Calibri" w:cs="Calibri"/>
                <w:sz w:val="14"/>
                <w:szCs w:val="14"/>
              </w:rPr>
              <w:t>51</w:t>
            </w:r>
          </w:p>
        </w:tc>
        <w:tc>
          <w:tcPr>
            <w:tcW w:w="422" w:type="dxa"/>
          </w:tcPr>
          <w:p w14:paraId="7E87FD57" w14:textId="77777777" w:rsidR="00695AE2" w:rsidRPr="00503014" w:rsidRDefault="00695AE2" w:rsidP="00980493">
            <w:pPr>
              <w:jc w:val="center"/>
              <w:rPr>
                <w:rFonts w:eastAsia="Calibri" w:cs="Calibri"/>
                <w:sz w:val="14"/>
                <w:szCs w:val="14"/>
              </w:rPr>
            </w:pPr>
            <w:r w:rsidRPr="00503014">
              <w:rPr>
                <w:rFonts w:eastAsia="Calibri" w:cs="Calibri"/>
                <w:sz w:val="14"/>
                <w:szCs w:val="14"/>
              </w:rPr>
              <w:t>72</w:t>
            </w:r>
          </w:p>
        </w:tc>
        <w:tc>
          <w:tcPr>
            <w:tcW w:w="425" w:type="dxa"/>
          </w:tcPr>
          <w:p w14:paraId="420EE625" w14:textId="77777777" w:rsidR="00695AE2" w:rsidRPr="00503014" w:rsidRDefault="00695AE2" w:rsidP="00980493">
            <w:pPr>
              <w:jc w:val="center"/>
              <w:rPr>
                <w:rFonts w:eastAsia="Calibri" w:cs="Calibri"/>
                <w:sz w:val="14"/>
                <w:szCs w:val="14"/>
              </w:rPr>
            </w:pPr>
            <w:r w:rsidRPr="00503014">
              <w:rPr>
                <w:rFonts w:eastAsia="Calibri" w:cs="Calibri"/>
                <w:sz w:val="14"/>
                <w:szCs w:val="14"/>
              </w:rPr>
              <w:t>4</w:t>
            </w:r>
          </w:p>
        </w:tc>
        <w:tc>
          <w:tcPr>
            <w:tcW w:w="566" w:type="dxa"/>
          </w:tcPr>
          <w:p w14:paraId="509FF6E0" w14:textId="77777777" w:rsidR="00695AE2" w:rsidRPr="00503014" w:rsidRDefault="00695AE2" w:rsidP="00980493">
            <w:pPr>
              <w:jc w:val="center"/>
              <w:rPr>
                <w:rFonts w:eastAsia="Calibri" w:cs="Calibri"/>
                <w:sz w:val="14"/>
                <w:szCs w:val="14"/>
              </w:rPr>
            </w:pPr>
            <w:r w:rsidRPr="00503014">
              <w:rPr>
                <w:rFonts w:eastAsia="Calibri" w:cs="Calibri"/>
                <w:sz w:val="14"/>
                <w:szCs w:val="14"/>
              </w:rPr>
              <w:t>348</w:t>
            </w:r>
          </w:p>
        </w:tc>
        <w:tc>
          <w:tcPr>
            <w:tcW w:w="429" w:type="dxa"/>
          </w:tcPr>
          <w:p w14:paraId="23CEDC9F" w14:textId="77777777" w:rsidR="00695AE2" w:rsidRPr="00503014" w:rsidRDefault="00695AE2" w:rsidP="00980493">
            <w:pPr>
              <w:jc w:val="center"/>
              <w:rPr>
                <w:rFonts w:eastAsia="Calibri" w:cs="Calibri"/>
                <w:sz w:val="14"/>
                <w:szCs w:val="14"/>
              </w:rPr>
            </w:pPr>
          </w:p>
        </w:tc>
        <w:tc>
          <w:tcPr>
            <w:tcW w:w="676" w:type="dxa"/>
          </w:tcPr>
          <w:p w14:paraId="51F29328" w14:textId="77777777" w:rsidR="00695AE2" w:rsidRPr="00503014" w:rsidRDefault="00695AE2" w:rsidP="00980493">
            <w:pPr>
              <w:jc w:val="center"/>
              <w:rPr>
                <w:rFonts w:eastAsia="Calibri" w:cs="Calibri"/>
                <w:sz w:val="14"/>
                <w:szCs w:val="14"/>
              </w:rPr>
            </w:pPr>
          </w:p>
        </w:tc>
        <w:tc>
          <w:tcPr>
            <w:tcW w:w="599" w:type="dxa"/>
          </w:tcPr>
          <w:p w14:paraId="620445BD" w14:textId="77777777" w:rsidR="00695AE2" w:rsidRPr="00503014" w:rsidRDefault="00695AE2" w:rsidP="00980493">
            <w:pPr>
              <w:jc w:val="center"/>
              <w:rPr>
                <w:rFonts w:eastAsia="Calibri" w:cs="Calibri"/>
                <w:sz w:val="14"/>
                <w:szCs w:val="14"/>
              </w:rPr>
            </w:pPr>
          </w:p>
        </w:tc>
        <w:tc>
          <w:tcPr>
            <w:tcW w:w="367" w:type="dxa"/>
          </w:tcPr>
          <w:p w14:paraId="58F44631" w14:textId="77777777" w:rsidR="00695AE2" w:rsidRPr="00503014" w:rsidRDefault="00695AE2" w:rsidP="00980493">
            <w:pPr>
              <w:jc w:val="center"/>
              <w:rPr>
                <w:rFonts w:eastAsia="Calibri" w:cs="Calibri"/>
                <w:sz w:val="14"/>
                <w:szCs w:val="14"/>
              </w:rPr>
            </w:pPr>
          </w:p>
        </w:tc>
        <w:tc>
          <w:tcPr>
            <w:tcW w:w="452" w:type="dxa"/>
          </w:tcPr>
          <w:p w14:paraId="2E359A2C" w14:textId="77777777" w:rsidR="00695AE2" w:rsidRPr="00503014" w:rsidRDefault="00695AE2" w:rsidP="00980493">
            <w:pPr>
              <w:jc w:val="center"/>
              <w:rPr>
                <w:rFonts w:eastAsia="Calibri" w:cs="Calibri"/>
                <w:sz w:val="14"/>
                <w:szCs w:val="14"/>
              </w:rPr>
            </w:pPr>
          </w:p>
        </w:tc>
        <w:tc>
          <w:tcPr>
            <w:tcW w:w="416" w:type="dxa"/>
          </w:tcPr>
          <w:p w14:paraId="596851B1" w14:textId="77777777" w:rsidR="00695AE2" w:rsidRPr="00503014" w:rsidRDefault="00695AE2" w:rsidP="00980493">
            <w:pPr>
              <w:jc w:val="center"/>
              <w:rPr>
                <w:rFonts w:eastAsia="Calibri" w:cs="Calibri"/>
                <w:sz w:val="14"/>
                <w:szCs w:val="14"/>
              </w:rPr>
            </w:pPr>
          </w:p>
        </w:tc>
        <w:tc>
          <w:tcPr>
            <w:tcW w:w="416" w:type="dxa"/>
          </w:tcPr>
          <w:p w14:paraId="1212C6A0" w14:textId="77777777" w:rsidR="00695AE2" w:rsidRPr="00503014" w:rsidRDefault="00695AE2" w:rsidP="00980493">
            <w:pPr>
              <w:jc w:val="center"/>
              <w:rPr>
                <w:rFonts w:eastAsia="Calibri" w:cs="Calibri"/>
                <w:sz w:val="14"/>
                <w:szCs w:val="14"/>
              </w:rPr>
            </w:pPr>
          </w:p>
        </w:tc>
        <w:tc>
          <w:tcPr>
            <w:tcW w:w="452" w:type="dxa"/>
          </w:tcPr>
          <w:p w14:paraId="755A9B00" w14:textId="77777777" w:rsidR="00695AE2" w:rsidRPr="00503014" w:rsidRDefault="00695AE2" w:rsidP="00980493">
            <w:pPr>
              <w:jc w:val="center"/>
              <w:rPr>
                <w:rFonts w:eastAsia="Calibri" w:cs="Calibri"/>
                <w:sz w:val="14"/>
                <w:szCs w:val="14"/>
              </w:rPr>
            </w:pPr>
          </w:p>
        </w:tc>
        <w:tc>
          <w:tcPr>
            <w:tcW w:w="416" w:type="dxa"/>
          </w:tcPr>
          <w:p w14:paraId="2FF935A7" w14:textId="77777777" w:rsidR="00695AE2" w:rsidRPr="00503014" w:rsidRDefault="00695AE2" w:rsidP="00980493">
            <w:pPr>
              <w:jc w:val="center"/>
              <w:rPr>
                <w:rFonts w:eastAsia="Calibri" w:cs="Calibri"/>
                <w:sz w:val="14"/>
                <w:szCs w:val="14"/>
              </w:rPr>
            </w:pPr>
          </w:p>
        </w:tc>
        <w:tc>
          <w:tcPr>
            <w:tcW w:w="452" w:type="dxa"/>
          </w:tcPr>
          <w:p w14:paraId="068C1BD1" w14:textId="77777777" w:rsidR="00695AE2" w:rsidRPr="00503014" w:rsidRDefault="00695AE2" w:rsidP="00980493">
            <w:pPr>
              <w:jc w:val="center"/>
              <w:rPr>
                <w:rFonts w:eastAsia="Calibri" w:cs="Calibri"/>
                <w:sz w:val="14"/>
                <w:szCs w:val="14"/>
              </w:rPr>
            </w:pPr>
          </w:p>
        </w:tc>
        <w:tc>
          <w:tcPr>
            <w:tcW w:w="416" w:type="dxa"/>
          </w:tcPr>
          <w:p w14:paraId="4813D3BA" w14:textId="77777777" w:rsidR="00695AE2" w:rsidRPr="00503014" w:rsidRDefault="00695AE2" w:rsidP="00980493">
            <w:pPr>
              <w:jc w:val="center"/>
              <w:rPr>
                <w:rFonts w:eastAsia="Calibri" w:cs="Calibri"/>
                <w:sz w:val="14"/>
                <w:szCs w:val="14"/>
              </w:rPr>
            </w:pPr>
          </w:p>
        </w:tc>
        <w:tc>
          <w:tcPr>
            <w:tcW w:w="647" w:type="dxa"/>
          </w:tcPr>
          <w:p w14:paraId="3BAE6641" w14:textId="77777777" w:rsidR="00695AE2" w:rsidRPr="00503014" w:rsidRDefault="00695AE2" w:rsidP="00980493">
            <w:pPr>
              <w:jc w:val="center"/>
              <w:rPr>
                <w:rFonts w:eastAsia="Calibri" w:cs="Calibri"/>
                <w:sz w:val="14"/>
                <w:szCs w:val="14"/>
              </w:rPr>
            </w:pPr>
          </w:p>
        </w:tc>
        <w:tc>
          <w:tcPr>
            <w:tcW w:w="328" w:type="dxa"/>
          </w:tcPr>
          <w:p w14:paraId="2C95A3BB" w14:textId="77777777" w:rsidR="00695AE2" w:rsidRPr="00503014" w:rsidRDefault="00695AE2" w:rsidP="00980493">
            <w:pPr>
              <w:jc w:val="center"/>
              <w:rPr>
                <w:rFonts w:eastAsia="Calibri" w:cs="Calibri"/>
                <w:sz w:val="14"/>
                <w:szCs w:val="14"/>
              </w:rPr>
            </w:pPr>
          </w:p>
        </w:tc>
        <w:tc>
          <w:tcPr>
            <w:tcW w:w="540" w:type="dxa"/>
          </w:tcPr>
          <w:p w14:paraId="03B707CA" w14:textId="77777777" w:rsidR="00695AE2" w:rsidRPr="00503014" w:rsidRDefault="00695AE2" w:rsidP="00980493">
            <w:pPr>
              <w:jc w:val="center"/>
              <w:rPr>
                <w:rFonts w:eastAsia="Calibri" w:cs="Calibri"/>
                <w:sz w:val="14"/>
                <w:szCs w:val="14"/>
              </w:rPr>
            </w:pPr>
          </w:p>
        </w:tc>
      </w:tr>
      <w:tr w:rsidR="00695AE2" w:rsidRPr="00503014" w14:paraId="01BF8934" w14:textId="77777777" w:rsidTr="00980493">
        <w:trPr>
          <w:trHeight w:val="200"/>
        </w:trPr>
        <w:tc>
          <w:tcPr>
            <w:tcW w:w="1244" w:type="dxa"/>
          </w:tcPr>
          <w:p w14:paraId="211CE234" w14:textId="77777777" w:rsidR="00695AE2" w:rsidRPr="00503014" w:rsidRDefault="00695AE2" w:rsidP="00980493">
            <w:pPr>
              <w:rPr>
                <w:rFonts w:eastAsia="Calibri" w:cs="Calibri"/>
                <w:sz w:val="14"/>
                <w:szCs w:val="14"/>
              </w:rPr>
            </w:pPr>
            <w:r w:rsidRPr="00503014">
              <w:rPr>
                <w:rFonts w:eastAsia="Calibri" w:cs="Calibri"/>
                <w:sz w:val="14"/>
                <w:szCs w:val="14"/>
              </w:rPr>
              <w:t>Delovne in socialno-pravne zadeve</w:t>
            </w:r>
          </w:p>
        </w:tc>
        <w:tc>
          <w:tcPr>
            <w:tcW w:w="284" w:type="dxa"/>
          </w:tcPr>
          <w:p w14:paraId="6C1EB4E9"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567" w:type="dxa"/>
          </w:tcPr>
          <w:p w14:paraId="710F4E8B" w14:textId="77777777" w:rsidR="00695AE2" w:rsidRPr="00503014" w:rsidRDefault="00695AE2" w:rsidP="00980493">
            <w:pPr>
              <w:jc w:val="center"/>
              <w:rPr>
                <w:rFonts w:eastAsia="Calibri" w:cs="Calibri"/>
                <w:sz w:val="14"/>
                <w:szCs w:val="14"/>
              </w:rPr>
            </w:pPr>
            <w:r w:rsidRPr="00503014">
              <w:rPr>
                <w:rFonts w:eastAsia="Calibri" w:cs="Calibri"/>
                <w:sz w:val="14"/>
                <w:szCs w:val="14"/>
              </w:rPr>
              <w:t>1.241</w:t>
            </w:r>
          </w:p>
        </w:tc>
        <w:tc>
          <w:tcPr>
            <w:tcW w:w="567" w:type="dxa"/>
          </w:tcPr>
          <w:p w14:paraId="73452D18" w14:textId="77777777" w:rsidR="00695AE2" w:rsidRPr="00503014" w:rsidRDefault="00695AE2" w:rsidP="00980493">
            <w:pPr>
              <w:jc w:val="center"/>
              <w:rPr>
                <w:rFonts w:eastAsia="Calibri" w:cs="Calibri"/>
                <w:sz w:val="14"/>
                <w:szCs w:val="14"/>
              </w:rPr>
            </w:pPr>
            <w:r w:rsidRPr="00503014">
              <w:rPr>
                <w:rFonts w:eastAsia="Calibri" w:cs="Calibri"/>
                <w:sz w:val="14"/>
                <w:szCs w:val="14"/>
              </w:rPr>
              <w:t>260</w:t>
            </w:r>
          </w:p>
        </w:tc>
        <w:tc>
          <w:tcPr>
            <w:tcW w:w="455" w:type="dxa"/>
          </w:tcPr>
          <w:p w14:paraId="3FDFE2A3" w14:textId="77777777" w:rsidR="00695AE2" w:rsidRPr="00503014" w:rsidRDefault="00695AE2" w:rsidP="00980493">
            <w:pPr>
              <w:jc w:val="center"/>
              <w:rPr>
                <w:rFonts w:eastAsia="Calibri" w:cs="Calibri"/>
                <w:sz w:val="14"/>
                <w:szCs w:val="14"/>
              </w:rPr>
            </w:pPr>
            <w:r w:rsidRPr="00503014">
              <w:rPr>
                <w:rFonts w:eastAsia="Calibri" w:cs="Calibri"/>
                <w:sz w:val="14"/>
                <w:szCs w:val="14"/>
              </w:rPr>
              <w:t>340</w:t>
            </w:r>
          </w:p>
        </w:tc>
        <w:tc>
          <w:tcPr>
            <w:tcW w:w="429" w:type="dxa"/>
          </w:tcPr>
          <w:p w14:paraId="0B0656DE" w14:textId="77777777" w:rsidR="00695AE2" w:rsidRPr="00503014" w:rsidRDefault="00695AE2" w:rsidP="00980493">
            <w:pPr>
              <w:jc w:val="center"/>
              <w:rPr>
                <w:rFonts w:eastAsia="Calibri" w:cs="Calibri"/>
                <w:sz w:val="14"/>
                <w:szCs w:val="14"/>
              </w:rPr>
            </w:pPr>
            <w:r w:rsidRPr="00503014">
              <w:rPr>
                <w:rFonts w:eastAsia="Calibri" w:cs="Calibri"/>
                <w:sz w:val="14"/>
                <w:szCs w:val="14"/>
              </w:rPr>
              <w:t>99</w:t>
            </w:r>
          </w:p>
        </w:tc>
        <w:tc>
          <w:tcPr>
            <w:tcW w:w="422" w:type="dxa"/>
          </w:tcPr>
          <w:p w14:paraId="0D3F3959" w14:textId="77777777" w:rsidR="00695AE2" w:rsidRPr="00503014" w:rsidRDefault="00695AE2" w:rsidP="00980493">
            <w:pPr>
              <w:jc w:val="center"/>
              <w:rPr>
                <w:rFonts w:eastAsia="Calibri" w:cs="Calibri"/>
                <w:sz w:val="14"/>
                <w:szCs w:val="14"/>
              </w:rPr>
            </w:pPr>
            <w:r w:rsidRPr="00503014">
              <w:rPr>
                <w:rFonts w:eastAsia="Calibri" w:cs="Calibri"/>
                <w:sz w:val="14"/>
                <w:szCs w:val="14"/>
              </w:rPr>
              <w:t>2</w:t>
            </w:r>
          </w:p>
        </w:tc>
        <w:tc>
          <w:tcPr>
            <w:tcW w:w="425" w:type="dxa"/>
          </w:tcPr>
          <w:p w14:paraId="4D87D5BC" w14:textId="77777777" w:rsidR="00695AE2" w:rsidRPr="00503014" w:rsidRDefault="00695AE2" w:rsidP="00980493">
            <w:pPr>
              <w:jc w:val="center"/>
              <w:rPr>
                <w:rFonts w:eastAsia="Calibri" w:cs="Calibri"/>
                <w:sz w:val="14"/>
                <w:szCs w:val="14"/>
              </w:rPr>
            </w:pPr>
          </w:p>
        </w:tc>
        <w:tc>
          <w:tcPr>
            <w:tcW w:w="566" w:type="dxa"/>
          </w:tcPr>
          <w:p w14:paraId="6F1F754B" w14:textId="77777777" w:rsidR="00695AE2" w:rsidRPr="00503014" w:rsidRDefault="00695AE2" w:rsidP="00980493">
            <w:pPr>
              <w:jc w:val="center"/>
              <w:rPr>
                <w:rFonts w:eastAsia="Calibri" w:cs="Calibri"/>
                <w:sz w:val="14"/>
                <w:szCs w:val="14"/>
              </w:rPr>
            </w:pPr>
            <w:r w:rsidRPr="00503014">
              <w:rPr>
                <w:rFonts w:eastAsia="Calibri" w:cs="Calibri"/>
                <w:sz w:val="14"/>
                <w:szCs w:val="14"/>
              </w:rPr>
              <w:t>4</w:t>
            </w:r>
          </w:p>
        </w:tc>
        <w:tc>
          <w:tcPr>
            <w:tcW w:w="429" w:type="dxa"/>
          </w:tcPr>
          <w:p w14:paraId="24E3C2F2" w14:textId="77777777" w:rsidR="00695AE2" w:rsidRPr="00503014" w:rsidRDefault="00695AE2" w:rsidP="00980493">
            <w:pPr>
              <w:jc w:val="center"/>
              <w:rPr>
                <w:rFonts w:eastAsia="Calibri" w:cs="Calibri"/>
                <w:sz w:val="14"/>
                <w:szCs w:val="14"/>
              </w:rPr>
            </w:pPr>
          </w:p>
        </w:tc>
        <w:tc>
          <w:tcPr>
            <w:tcW w:w="676" w:type="dxa"/>
          </w:tcPr>
          <w:p w14:paraId="50BA8BC4" w14:textId="77777777" w:rsidR="00695AE2" w:rsidRPr="00503014" w:rsidRDefault="00695AE2" w:rsidP="00980493">
            <w:pPr>
              <w:jc w:val="center"/>
              <w:rPr>
                <w:rFonts w:eastAsia="Calibri" w:cs="Calibri"/>
                <w:sz w:val="14"/>
                <w:szCs w:val="14"/>
              </w:rPr>
            </w:pPr>
          </w:p>
        </w:tc>
        <w:tc>
          <w:tcPr>
            <w:tcW w:w="599" w:type="dxa"/>
          </w:tcPr>
          <w:p w14:paraId="1F90AD7B" w14:textId="77777777" w:rsidR="00695AE2" w:rsidRPr="00503014" w:rsidRDefault="00695AE2" w:rsidP="00980493">
            <w:pPr>
              <w:jc w:val="center"/>
              <w:rPr>
                <w:rFonts w:eastAsia="Calibri" w:cs="Calibri"/>
                <w:sz w:val="14"/>
                <w:szCs w:val="14"/>
              </w:rPr>
            </w:pPr>
          </w:p>
        </w:tc>
        <w:tc>
          <w:tcPr>
            <w:tcW w:w="367" w:type="dxa"/>
          </w:tcPr>
          <w:p w14:paraId="0C5C01E8" w14:textId="77777777" w:rsidR="00695AE2" w:rsidRPr="00503014" w:rsidRDefault="00695AE2" w:rsidP="00980493">
            <w:pPr>
              <w:jc w:val="center"/>
              <w:rPr>
                <w:rFonts w:eastAsia="Calibri" w:cs="Calibri"/>
                <w:sz w:val="14"/>
                <w:szCs w:val="14"/>
              </w:rPr>
            </w:pPr>
          </w:p>
        </w:tc>
        <w:tc>
          <w:tcPr>
            <w:tcW w:w="452" w:type="dxa"/>
          </w:tcPr>
          <w:p w14:paraId="40C1D9ED" w14:textId="77777777" w:rsidR="00695AE2" w:rsidRPr="00503014" w:rsidRDefault="00695AE2" w:rsidP="00980493">
            <w:pPr>
              <w:jc w:val="center"/>
              <w:rPr>
                <w:rFonts w:eastAsia="Calibri" w:cs="Calibri"/>
                <w:sz w:val="14"/>
                <w:szCs w:val="14"/>
              </w:rPr>
            </w:pPr>
          </w:p>
        </w:tc>
        <w:tc>
          <w:tcPr>
            <w:tcW w:w="416" w:type="dxa"/>
          </w:tcPr>
          <w:p w14:paraId="67D23F39" w14:textId="77777777" w:rsidR="00695AE2" w:rsidRPr="00503014" w:rsidRDefault="00695AE2" w:rsidP="00980493">
            <w:pPr>
              <w:jc w:val="center"/>
              <w:rPr>
                <w:rFonts w:eastAsia="Calibri" w:cs="Calibri"/>
                <w:sz w:val="14"/>
                <w:szCs w:val="14"/>
              </w:rPr>
            </w:pPr>
          </w:p>
        </w:tc>
        <w:tc>
          <w:tcPr>
            <w:tcW w:w="416" w:type="dxa"/>
          </w:tcPr>
          <w:p w14:paraId="07D05DA7" w14:textId="77777777" w:rsidR="00695AE2" w:rsidRPr="00503014" w:rsidRDefault="00695AE2" w:rsidP="00980493">
            <w:pPr>
              <w:jc w:val="center"/>
              <w:rPr>
                <w:rFonts w:eastAsia="Calibri" w:cs="Calibri"/>
                <w:sz w:val="14"/>
                <w:szCs w:val="14"/>
              </w:rPr>
            </w:pPr>
          </w:p>
        </w:tc>
        <w:tc>
          <w:tcPr>
            <w:tcW w:w="452" w:type="dxa"/>
          </w:tcPr>
          <w:p w14:paraId="5FA59161" w14:textId="77777777" w:rsidR="00695AE2" w:rsidRPr="00503014" w:rsidRDefault="00695AE2" w:rsidP="00980493">
            <w:pPr>
              <w:jc w:val="center"/>
              <w:rPr>
                <w:rFonts w:eastAsia="Calibri" w:cs="Calibri"/>
                <w:sz w:val="14"/>
                <w:szCs w:val="14"/>
              </w:rPr>
            </w:pPr>
          </w:p>
        </w:tc>
        <w:tc>
          <w:tcPr>
            <w:tcW w:w="416" w:type="dxa"/>
          </w:tcPr>
          <w:p w14:paraId="6DC71B8A" w14:textId="77777777" w:rsidR="00695AE2" w:rsidRPr="00503014" w:rsidRDefault="00695AE2" w:rsidP="00980493">
            <w:pPr>
              <w:jc w:val="center"/>
              <w:rPr>
                <w:rFonts w:eastAsia="Calibri" w:cs="Calibri"/>
                <w:sz w:val="14"/>
                <w:szCs w:val="14"/>
              </w:rPr>
            </w:pPr>
          </w:p>
        </w:tc>
        <w:tc>
          <w:tcPr>
            <w:tcW w:w="452" w:type="dxa"/>
          </w:tcPr>
          <w:p w14:paraId="0A786D27" w14:textId="77777777" w:rsidR="00695AE2" w:rsidRPr="00503014" w:rsidRDefault="00695AE2" w:rsidP="00980493">
            <w:pPr>
              <w:jc w:val="center"/>
              <w:rPr>
                <w:rFonts w:eastAsia="Calibri" w:cs="Calibri"/>
                <w:sz w:val="14"/>
                <w:szCs w:val="14"/>
              </w:rPr>
            </w:pPr>
          </w:p>
        </w:tc>
        <w:tc>
          <w:tcPr>
            <w:tcW w:w="416" w:type="dxa"/>
          </w:tcPr>
          <w:p w14:paraId="490039EC" w14:textId="77777777" w:rsidR="00695AE2" w:rsidRPr="00503014" w:rsidRDefault="00695AE2" w:rsidP="00980493">
            <w:pPr>
              <w:jc w:val="center"/>
              <w:rPr>
                <w:rFonts w:eastAsia="Calibri" w:cs="Calibri"/>
                <w:sz w:val="14"/>
                <w:szCs w:val="14"/>
              </w:rPr>
            </w:pPr>
          </w:p>
        </w:tc>
        <w:tc>
          <w:tcPr>
            <w:tcW w:w="647" w:type="dxa"/>
          </w:tcPr>
          <w:p w14:paraId="28BAFAE3" w14:textId="77777777" w:rsidR="00695AE2" w:rsidRPr="00503014" w:rsidRDefault="00695AE2" w:rsidP="00980493">
            <w:pPr>
              <w:jc w:val="center"/>
              <w:rPr>
                <w:rFonts w:eastAsia="Calibri" w:cs="Calibri"/>
                <w:sz w:val="14"/>
                <w:szCs w:val="14"/>
              </w:rPr>
            </w:pPr>
          </w:p>
        </w:tc>
        <w:tc>
          <w:tcPr>
            <w:tcW w:w="328" w:type="dxa"/>
          </w:tcPr>
          <w:p w14:paraId="28379C60" w14:textId="77777777" w:rsidR="00695AE2" w:rsidRPr="00503014" w:rsidRDefault="00695AE2" w:rsidP="00980493">
            <w:pPr>
              <w:jc w:val="center"/>
              <w:rPr>
                <w:rFonts w:eastAsia="Calibri" w:cs="Calibri"/>
                <w:sz w:val="14"/>
                <w:szCs w:val="14"/>
              </w:rPr>
            </w:pPr>
          </w:p>
        </w:tc>
        <w:tc>
          <w:tcPr>
            <w:tcW w:w="540" w:type="dxa"/>
          </w:tcPr>
          <w:p w14:paraId="7876D468" w14:textId="77777777" w:rsidR="00695AE2" w:rsidRPr="00503014" w:rsidRDefault="00695AE2" w:rsidP="00980493">
            <w:pPr>
              <w:jc w:val="center"/>
              <w:rPr>
                <w:rFonts w:eastAsia="Calibri" w:cs="Calibri"/>
                <w:sz w:val="14"/>
                <w:szCs w:val="14"/>
              </w:rPr>
            </w:pPr>
          </w:p>
        </w:tc>
      </w:tr>
      <w:tr w:rsidR="00695AE2" w:rsidRPr="00503014" w14:paraId="003522D6" w14:textId="77777777" w:rsidTr="00980493">
        <w:trPr>
          <w:trHeight w:val="185"/>
        </w:trPr>
        <w:tc>
          <w:tcPr>
            <w:tcW w:w="1244" w:type="dxa"/>
          </w:tcPr>
          <w:p w14:paraId="2BFF4744" w14:textId="77777777" w:rsidR="00695AE2" w:rsidRPr="00503014" w:rsidRDefault="00695AE2" w:rsidP="00980493">
            <w:pPr>
              <w:rPr>
                <w:rFonts w:eastAsia="Calibri" w:cs="Calibri"/>
                <w:sz w:val="14"/>
                <w:szCs w:val="14"/>
              </w:rPr>
            </w:pPr>
            <w:r w:rsidRPr="00503014">
              <w:rPr>
                <w:rFonts w:eastAsia="Calibri" w:cs="Calibri"/>
                <w:sz w:val="14"/>
                <w:szCs w:val="14"/>
              </w:rPr>
              <w:t>Predhodni odškodninski postopki po ZKP</w:t>
            </w:r>
          </w:p>
        </w:tc>
        <w:tc>
          <w:tcPr>
            <w:tcW w:w="284" w:type="dxa"/>
          </w:tcPr>
          <w:p w14:paraId="7B5DB818" w14:textId="77777777" w:rsidR="00695AE2" w:rsidRPr="00503014" w:rsidRDefault="00695AE2" w:rsidP="00980493">
            <w:pPr>
              <w:jc w:val="center"/>
              <w:rPr>
                <w:rFonts w:eastAsia="Calibri" w:cs="Calibri"/>
                <w:sz w:val="14"/>
                <w:szCs w:val="14"/>
              </w:rPr>
            </w:pPr>
          </w:p>
        </w:tc>
        <w:tc>
          <w:tcPr>
            <w:tcW w:w="567" w:type="dxa"/>
          </w:tcPr>
          <w:p w14:paraId="556C70FF" w14:textId="77777777" w:rsidR="00695AE2" w:rsidRPr="00503014" w:rsidRDefault="00695AE2" w:rsidP="00980493">
            <w:pPr>
              <w:jc w:val="center"/>
              <w:rPr>
                <w:rFonts w:eastAsia="Calibri" w:cs="Calibri"/>
                <w:sz w:val="14"/>
                <w:szCs w:val="14"/>
              </w:rPr>
            </w:pPr>
          </w:p>
        </w:tc>
        <w:tc>
          <w:tcPr>
            <w:tcW w:w="567" w:type="dxa"/>
          </w:tcPr>
          <w:p w14:paraId="3C37BF47" w14:textId="77777777" w:rsidR="00695AE2" w:rsidRPr="00503014" w:rsidRDefault="00695AE2" w:rsidP="00980493">
            <w:pPr>
              <w:jc w:val="center"/>
              <w:rPr>
                <w:rFonts w:eastAsia="Calibri" w:cs="Calibri"/>
                <w:sz w:val="14"/>
                <w:szCs w:val="14"/>
              </w:rPr>
            </w:pPr>
          </w:p>
        </w:tc>
        <w:tc>
          <w:tcPr>
            <w:tcW w:w="455" w:type="dxa"/>
          </w:tcPr>
          <w:p w14:paraId="41B1DC10" w14:textId="77777777" w:rsidR="00695AE2" w:rsidRPr="00503014" w:rsidRDefault="00695AE2" w:rsidP="00980493">
            <w:pPr>
              <w:jc w:val="center"/>
              <w:rPr>
                <w:rFonts w:eastAsia="Calibri" w:cs="Calibri"/>
                <w:sz w:val="14"/>
                <w:szCs w:val="14"/>
              </w:rPr>
            </w:pPr>
          </w:p>
        </w:tc>
        <w:tc>
          <w:tcPr>
            <w:tcW w:w="429" w:type="dxa"/>
          </w:tcPr>
          <w:p w14:paraId="5F542069" w14:textId="77777777" w:rsidR="00695AE2" w:rsidRPr="00503014" w:rsidRDefault="00695AE2" w:rsidP="00980493">
            <w:pPr>
              <w:jc w:val="center"/>
              <w:rPr>
                <w:rFonts w:eastAsia="Calibri" w:cs="Calibri"/>
                <w:sz w:val="14"/>
                <w:szCs w:val="14"/>
              </w:rPr>
            </w:pPr>
          </w:p>
        </w:tc>
        <w:tc>
          <w:tcPr>
            <w:tcW w:w="422" w:type="dxa"/>
          </w:tcPr>
          <w:p w14:paraId="396C4ABD" w14:textId="77777777" w:rsidR="00695AE2" w:rsidRPr="00503014" w:rsidRDefault="00695AE2" w:rsidP="00980493">
            <w:pPr>
              <w:jc w:val="center"/>
              <w:rPr>
                <w:rFonts w:eastAsia="Calibri" w:cs="Calibri"/>
                <w:sz w:val="14"/>
                <w:szCs w:val="14"/>
              </w:rPr>
            </w:pPr>
            <w:r w:rsidRPr="00503014">
              <w:rPr>
                <w:rFonts w:eastAsia="Calibri" w:cs="Calibri"/>
                <w:sz w:val="14"/>
                <w:szCs w:val="14"/>
              </w:rPr>
              <w:t>17</w:t>
            </w:r>
          </w:p>
        </w:tc>
        <w:tc>
          <w:tcPr>
            <w:tcW w:w="425" w:type="dxa"/>
          </w:tcPr>
          <w:p w14:paraId="0A7C1266" w14:textId="77777777" w:rsidR="00695AE2" w:rsidRPr="00503014" w:rsidRDefault="00695AE2" w:rsidP="00980493">
            <w:pPr>
              <w:jc w:val="center"/>
              <w:rPr>
                <w:rFonts w:eastAsia="Calibri" w:cs="Calibri"/>
                <w:sz w:val="14"/>
                <w:szCs w:val="14"/>
              </w:rPr>
            </w:pPr>
            <w:r w:rsidRPr="00503014">
              <w:rPr>
                <w:rFonts w:eastAsia="Calibri" w:cs="Calibri"/>
                <w:sz w:val="14"/>
                <w:szCs w:val="14"/>
              </w:rPr>
              <w:t>13</w:t>
            </w:r>
          </w:p>
        </w:tc>
        <w:tc>
          <w:tcPr>
            <w:tcW w:w="566" w:type="dxa"/>
          </w:tcPr>
          <w:p w14:paraId="54DA8F72" w14:textId="77777777" w:rsidR="00695AE2" w:rsidRPr="00503014" w:rsidRDefault="00695AE2" w:rsidP="00980493">
            <w:pPr>
              <w:jc w:val="center"/>
              <w:rPr>
                <w:rFonts w:eastAsia="Calibri" w:cs="Calibri"/>
                <w:sz w:val="14"/>
                <w:szCs w:val="14"/>
              </w:rPr>
            </w:pPr>
            <w:r w:rsidRPr="00503014">
              <w:rPr>
                <w:rFonts w:eastAsia="Calibri" w:cs="Calibri"/>
                <w:sz w:val="14"/>
                <w:szCs w:val="14"/>
              </w:rPr>
              <w:t>19</w:t>
            </w:r>
          </w:p>
        </w:tc>
        <w:tc>
          <w:tcPr>
            <w:tcW w:w="429" w:type="dxa"/>
          </w:tcPr>
          <w:p w14:paraId="5FBDF1B0" w14:textId="77777777" w:rsidR="00695AE2" w:rsidRPr="00503014" w:rsidRDefault="00695AE2" w:rsidP="00980493">
            <w:pPr>
              <w:jc w:val="center"/>
              <w:rPr>
                <w:rFonts w:eastAsia="Calibri" w:cs="Calibri"/>
                <w:sz w:val="14"/>
                <w:szCs w:val="14"/>
              </w:rPr>
            </w:pPr>
          </w:p>
        </w:tc>
        <w:tc>
          <w:tcPr>
            <w:tcW w:w="676" w:type="dxa"/>
          </w:tcPr>
          <w:p w14:paraId="14EDCEA6" w14:textId="77777777" w:rsidR="00695AE2" w:rsidRPr="00503014" w:rsidRDefault="00695AE2" w:rsidP="00980493">
            <w:pPr>
              <w:jc w:val="center"/>
              <w:rPr>
                <w:rFonts w:eastAsia="Calibri" w:cs="Calibri"/>
                <w:sz w:val="14"/>
                <w:szCs w:val="14"/>
              </w:rPr>
            </w:pPr>
          </w:p>
        </w:tc>
        <w:tc>
          <w:tcPr>
            <w:tcW w:w="599" w:type="dxa"/>
          </w:tcPr>
          <w:p w14:paraId="021D6464" w14:textId="77777777" w:rsidR="00695AE2" w:rsidRPr="00503014" w:rsidRDefault="00695AE2" w:rsidP="00980493">
            <w:pPr>
              <w:jc w:val="center"/>
              <w:rPr>
                <w:rFonts w:eastAsia="Calibri" w:cs="Calibri"/>
                <w:sz w:val="14"/>
                <w:szCs w:val="14"/>
              </w:rPr>
            </w:pPr>
          </w:p>
        </w:tc>
        <w:tc>
          <w:tcPr>
            <w:tcW w:w="367" w:type="dxa"/>
          </w:tcPr>
          <w:p w14:paraId="3CA0F8A4" w14:textId="77777777" w:rsidR="00695AE2" w:rsidRPr="00503014" w:rsidRDefault="00695AE2" w:rsidP="00980493">
            <w:pPr>
              <w:jc w:val="center"/>
              <w:rPr>
                <w:rFonts w:eastAsia="Calibri" w:cs="Calibri"/>
                <w:sz w:val="14"/>
                <w:szCs w:val="14"/>
              </w:rPr>
            </w:pPr>
          </w:p>
        </w:tc>
        <w:tc>
          <w:tcPr>
            <w:tcW w:w="452" w:type="dxa"/>
          </w:tcPr>
          <w:p w14:paraId="066F7AC9" w14:textId="77777777" w:rsidR="00695AE2" w:rsidRPr="00503014" w:rsidRDefault="00695AE2" w:rsidP="00980493">
            <w:pPr>
              <w:jc w:val="center"/>
              <w:rPr>
                <w:rFonts w:eastAsia="Calibri" w:cs="Calibri"/>
                <w:sz w:val="14"/>
                <w:szCs w:val="14"/>
              </w:rPr>
            </w:pPr>
          </w:p>
        </w:tc>
        <w:tc>
          <w:tcPr>
            <w:tcW w:w="416" w:type="dxa"/>
          </w:tcPr>
          <w:p w14:paraId="7DC614E8" w14:textId="77777777" w:rsidR="00695AE2" w:rsidRPr="00503014" w:rsidRDefault="00695AE2" w:rsidP="00980493">
            <w:pPr>
              <w:jc w:val="center"/>
              <w:rPr>
                <w:rFonts w:eastAsia="Calibri" w:cs="Calibri"/>
                <w:sz w:val="14"/>
                <w:szCs w:val="14"/>
              </w:rPr>
            </w:pPr>
          </w:p>
        </w:tc>
        <w:tc>
          <w:tcPr>
            <w:tcW w:w="416" w:type="dxa"/>
          </w:tcPr>
          <w:p w14:paraId="331D08B6" w14:textId="77777777" w:rsidR="00695AE2" w:rsidRPr="00503014" w:rsidRDefault="00695AE2" w:rsidP="00980493">
            <w:pPr>
              <w:jc w:val="center"/>
              <w:rPr>
                <w:rFonts w:eastAsia="Calibri" w:cs="Calibri"/>
                <w:sz w:val="14"/>
                <w:szCs w:val="14"/>
              </w:rPr>
            </w:pPr>
          </w:p>
        </w:tc>
        <w:tc>
          <w:tcPr>
            <w:tcW w:w="452" w:type="dxa"/>
          </w:tcPr>
          <w:p w14:paraId="7BE3EE7A" w14:textId="77777777" w:rsidR="00695AE2" w:rsidRPr="00503014" w:rsidRDefault="00695AE2" w:rsidP="00980493">
            <w:pPr>
              <w:jc w:val="center"/>
              <w:rPr>
                <w:rFonts w:eastAsia="Calibri" w:cs="Calibri"/>
                <w:sz w:val="14"/>
                <w:szCs w:val="14"/>
              </w:rPr>
            </w:pPr>
          </w:p>
        </w:tc>
        <w:tc>
          <w:tcPr>
            <w:tcW w:w="416" w:type="dxa"/>
          </w:tcPr>
          <w:p w14:paraId="7240BFA5" w14:textId="77777777" w:rsidR="00695AE2" w:rsidRPr="00503014" w:rsidRDefault="00695AE2" w:rsidP="00980493">
            <w:pPr>
              <w:jc w:val="center"/>
              <w:rPr>
                <w:rFonts w:eastAsia="Calibri" w:cs="Calibri"/>
                <w:sz w:val="14"/>
                <w:szCs w:val="14"/>
              </w:rPr>
            </w:pPr>
          </w:p>
        </w:tc>
        <w:tc>
          <w:tcPr>
            <w:tcW w:w="452" w:type="dxa"/>
          </w:tcPr>
          <w:p w14:paraId="39050A90" w14:textId="77777777" w:rsidR="00695AE2" w:rsidRPr="00503014" w:rsidRDefault="00695AE2" w:rsidP="00980493">
            <w:pPr>
              <w:jc w:val="center"/>
              <w:rPr>
                <w:rFonts w:eastAsia="Calibri" w:cs="Calibri"/>
                <w:sz w:val="14"/>
                <w:szCs w:val="14"/>
              </w:rPr>
            </w:pPr>
          </w:p>
        </w:tc>
        <w:tc>
          <w:tcPr>
            <w:tcW w:w="416" w:type="dxa"/>
          </w:tcPr>
          <w:p w14:paraId="11730644" w14:textId="77777777" w:rsidR="00695AE2" w:rsidRPr="00503014" w:rsidRDefault="00695AE2" w:rsidP="00980493">
            <w:pPr>
              <w:jc w:val="center"/>
              <w:rPr>
                <w:rFonts w:eastAsia="Calibri" w:cs="Calibri"/>
                <w:sz w:val="14"/>
                <w:szCs w:val="14"/>
              </w:rPr>
            </w:pPr>
          </w:p>
        </w:tc>
        <w:tc>
          <w:tcPr>
            <w:tcW w:w="647" w:type="dxa"/>
          </w:tcPr>
          <w:p w14:paraId="04C40AEA" w14:textId="77777777" w:rsidR="00695AE2" w:rsidRPr="00503014" w:rsidRDefault="00695AE2" w:rsidP="00980493">
            <w:pPr>
              <w:jc w:val="center"/>
              <w:rPr>
                <w:rFonts w:eastAsia="Calibri" w:cs="Calibri"/>
                <w:sz w:val="14"/>
                <w:szCs w:val="14"/>
              </w:rPr>
            </w:pPr>
          </w:p>
        </w:tc>
        <w:tc>
          <w:tcPr>
            <w:tcW w:w="328" w:type="dxa"/>
          </w:tcPr>
          <w:p w14:paraId="6FE36CED" w14:textId="77777777" w:rsidR="00695AE2" w:rsidRPr="00503014" w:rsidRDefault="00695AE2" w:rsidP="00980493">
            <w:pPr>
              <w:jc w:val="center"/>
              <w:rPr>
                <w:rFonts w:eastAsia="Calibri" w:cs="Calibri"/>
                <w:sz w:val="14"/>
                <w:szCs w:val="14"/>
              </w:rPr>
            </w:pPr>
          </w:p>
        </w:tc>
        <w:tc>
          <w:tcPr>
            <w:tcW w:w="540" w:type="dxa"/>
          </w:tcPr>
          <w:p w14:paraId="02D6A99A" w14:textId="77777777" w:rsidR="00695AE2" w:rsidRPr="00503014" w:rsidRDefault="00695AE2" w:rsidP="00980493">
            <w:pPr>
              <w:jc w:val="center"/>
              <w:rPr>
                <w:rFonts w:eastAsia="Calibri" w:cs="Calibri"/>
                <w:sz w:val="14"/>
                <w:szCs w:val="14"/>
              </w:rPr>
            </w:pPr>
          </w:p>
        </w:tc>
      </w:tr>
      <w:tr w:rsidR="00695AE2" w:rsidRPr="00503014" w14:paraId="7C917106" w14:textId="77777777" w:rsidTr="00980493">
        <w:trPr>
          <w:trHeight w:val="200"/>
        </w:trPr>
        <w:tc>
          <w:tcPr>
            <w:tcW w:w="1244" w:type="dxa"/>
          </w:tcPr>
          <w:p w14:paraId="11860D77" w14:textId="77777777" w:rsidR="00695AE2" w:rsidRPr="00503014" w:rsidRDefault="00695AE2" w:rsidP="00980493">
            <w:pPr>
              <w:rPr>
                <w:rFonts w:eastAsia="Calibri" w:cs="Calibri"/>
                <w:sz w:val="14"/>
                <w:szCs w:val="14"/>
              </w:rPr>
            </w:pPr>
            <w:r w:rsidRPr="00503014">
              <w:rPr>
                <w:rFonts w:eastAsia="Calibri" w:cs="Calibri"/>
                <w:sz w:val="14"/>
                <w:szCs w:val="14"/>
              </w:rPr>
              <w:lastRenderedPageBreak/>
              <w:t>Prehodni odškodninski postopki po ZP-1</w:t>
            </w:r>
          </w:p>
        </w:tc>
        <w:tc>
          <w:tcPr>
            <w:tcW w:w="284" w:type="dxa"/>
          </w:tcPr>
          <w:p w14:paraId="5EBF4EA9" w14:textId="77777777" w:rsidR="00695AE2" w:rsidRPr="00503014" w:rsidRDefault="00695AE2" w:rsidP="00980493">
            <w:pPr>
              <w:jc w:val="center"/>
              <w:rPr>
                <w:rFonts w:eastAsia="Calibri" w:cs="Calibri"/>
                <w:sz w:val="14"/>
                <w:szCs w:val="14"/>
              </w:rPr>
            </w:pPr>
          </w:p>
        </w:tc>
        <w:tc>
          <w:tcPr>
            <w:tcW w:w="567" w:type="dxa"/>
          </w:tcPr>
          <w:p w14:paraId="6C39A16D" w14:textId="77777777" w:rsidR="00695AE2" w:rsidRPr="00503014" w:rsidRDefault="00695AE2" w:rsidP="00980493">
            <w:pPr>
              <w:jc w:val="center"/>
              <w:rPr>
                <w:rFonts w:eastAsia="Calibri" w:cs="Calibri"/>
                <w:sz w:val="14"/>
                <w:szCs w:val="14"/>
              </w:rPr>
            </w:pPr>
          </w:p>
        </w:tc>
        <w:tc>
          <w:tcPr>
            <w:tcW w:w="567" w:type="dxa"/>
          </w:tcPr>
          <w:p w14:paraId="79F2D259" w14:textId="77777777" w:rsidR="00695AE2" w:rsidRPr="00503014" w:rsidRDefault="00695AE2" w:rsidP="00980493">
            <w:pPr>
              <w:jc w:val="center"/>
              <w:rPr>
                <w:rFonts w:eastAsia="Calibri" w:cs="Calibri"/>
                <w:sz w:val="14"/>
                <w:szCs w:val="14"/>
              </w:rPr>
            </w:pPr>
          </w:p>
        </w:tc>
        <w:tc>
          <w:tcPr>
            <w:tcW w:w="455" w:type="dxa"/>
          </w:tcPr>
          <w:p w14:paraId="737C94FE" w14:textId="77777777" w:rsidR="00695AE2" w:rsidRPr="00503014" w:rsidRDefault="00695AE2" w:rsidP="00980493">
            <w:pPr>
              <w:jc w:val="center"/>
              <w:rPr>
                <w:rFonts w:eastAsia="Calibri" w:cs="Calibri"/>
                <w:sz w:val="14"/>
                <w:szCs w:val="14"/>
              </w:rPr>
            </w:pPr>
          </w:p>
        </w:tc>
        <w:tc>
          <w:tcPr>
            <w:tcW w:w="429" w:type="dxa"/>
          </w:tcPr>
          <w:p w14:paraId="0D6CCD70" w14:textId="77777777" w:rsidR="00695AE2" w:rsidRPr="00503014" w:rsidRDefault="00695AE2" w:rsidP="00980493">
            <w:pPr>
              <w:jc w:val="center"/>
              <w:rPr>
                <w:rFonts w:eastAsia="Calibri" w:cs="Calibri"/>
                <w:sz w:val="14"/>
                <w:szCs w:val="14"/>
              </w:rPr>
            </w:pPr>
          </w:p>
        </w:tc>
        <w:tc>
          <w:tcPr>
            <w:tcW w:w="422" w:type="dxa"/>
          </w:tcPr>
          <w:p w14:paraId="2211EA3A" w14:textId="77777777" w:rsidR="00695AE2" w:rsidRPr="00503014" w:rsidRDefault="00695AE2" w:rsidP="00980493">
            <w:pPr>
              <w:rPr>
                <w:rFonts w:eastAsia="Calibri" w:cs="Calibri"/>
                <w:sz w:val="14"/>
                <w:szCs w:val="14"/>
              </w:rPr>
            </w:pPr>
            <w:r w:rsidRPr="00503014">
              <w:rPr>
                <w:rFonts w:eastAsia="Calibri" w:cs="Calibri"/>
                <w:sz w:val="14"/>
                <w:szCs w:val="14"/>
              </w:rPr>
              <w:t>1</w:t>
            </w:r>
          </w:p>
        </w:tc>
        <w:tc>
          <w:tcPr>
            <w:tcW w:w="425" w:type="dxa"/>
          </w:tcPr>
          <w:p w14:paraId="245370D0" w14:textId="77777777" w:rsidR="00695AE2" w:rsidRPr="00503014" w:rsidRDefault="00695AE2" w:rsidP="00980493">
            <w:pPr>
              <w:jc w:val="center"/>
              <w:rPr>
                <w:rFonts w:eastAsia="Calibri" w:cs="Calibri"/>
                <w:sz w:val="14"/>
                <w:szCs w:val="14"/>
              </w:rPr>
            </w:pPr>
          </w:p>
        </w:tc>
        <w:tc>
          <w:tcPr>
            <w:tcW w:w="566" w:type="dxa"/>
          </w:tcPr>
          <w:p w14:paraId="301BA8D1" w14:textId="77777777" w:rsidR="00695AE2" w:rsidRPr="00503014" w:rsidRDefault="00695AE2" w:rsidP="00980493">
            <w:pPr>
              <w:jc w:val="center"/>
              <w:rPr>
                <w:rFonts w:eastAsia="Calibri" w:cs="Calibri"/>
                <w:sz w:val="14"/>
                <w:szCs w:val="14"/>
              </w:rPr>
            </w:pPr>
            <w:r w:rsidRPr="00503014">
              <w:rPr>
                <w:rFonts w:eastAsia="Calibri" w:cs="Calibri"/>
                <w:sz w:val="14"/>
                <w:szCs w:val="14"/>
              </w:rPr>
              <w:t>3</w:t>
            </w:r>
          </w:p>
        </w:tc>
        <w:tc>
          <w:tcPr>
            <w:tcW w:w="429" w:type="dxa"/>
          </w:tcPr>
          <w:p w14:paraId="302817D1" w14:textId="77777777" w:rsidR="00695AE2" w:rsidRPr="00503014" w:rsidRDefault="00695AE2" w:rsidP="00980493">
            <w:pPr>
              <w:jc w:val="center"/>
              <w:rPr>
                <w:rFonts w:eastAsia="Calibri" w:cs="Calibri"/>
                <w:sz w:val="14"/>
                <w:szCs w:val="14"/>
              </w:rPr>
            </w:pPr>
          </w:p>
        </w:tc>
        <w:tc>
          <w:tcPr>
            <w:tcW w:w="676" w:type="dxa"/>
          </w:tcPr>
          <w:p w14:paraId="0D26881E" w14:textId="77777777" w:rsidR="00695AE2" w:rsidRPr="00503014" w:rsidRDefault="00695AE2" w:rsidP="00980493">
            <w:pPr>
              <w:jc w:val="center"/>
              <w:rPr>
                <w:rFonts w:eastAsia="Calibri" w:cs="Calibri"/>
                <w:sz w:val="14"/>
                <w:szCs w:val="14"/>
              </w:rPr>
            </w:pPr>
          </w:p>
        </w:tc>
        <w:tc>
          <w:tcPr>
            <w:tcW w:w="599" w:type="dxa"/>
          </w:tcPr>
          <w:p w14:paraId="1A409C8D" w14:textId="77777777" w:rsidR="00695AE2" w:rsidRPr="00503014" w:rsidRDefault="00695AE2" w:rsidP="00980493">
            <w:pPr>
              <w:jc w:val="center"/>
              <w:rPr>
                <w:rFonts w:eastAsia="Calibri" w:cs="Calibri"/>
                <w:sz w:val="14"/>
                <w:szCs w:val="14"/>
              </w:rPr>
            </w:pPr>
          </w:p>
        </w:tc>
        <w:tc>
          <w:tcPr>
            <w:tcW w:w="367" w:type="dxa"/>
          </w:tcPr>
          <w:p w14:paraId="3BC282CC" w14:textId="77777777" w:rsidR="00695AE2" w:rsidRPr="00503014" w:rsidRDefault="00695AE2" w:rsidP="00980493">
            <w:pPr>
              <w:jc w:val="center"/>
              <w:rPr>
                <w:rFonts w:eastAsia="Calibri" w:cs="Calibri"/>
                <w:sz w:val="14"/>
                <w:szCs w:val="14"/>
              </w:rPr>
            </w:pPr>
          </w:p>
        </w:tc>
        <w:tc>
          <w:tcPr>
            <w:tcW w:w="452" w:type="dxa"/>
          </w:tcPr>
          <w:p w14:paraId="3020A114" w14:textId="77777777" w:rsidR="00695AE2" w:rsidRPr="00503014" w:rsidRDefault="00695AE2" w:rsidP="00980493">
            <w:pPr>
              <w:jc w:val="center"/>
              <w:rPr>
                <w:rFonts w:eastAsia="Calibri" w:cs="Calibri"/>
                <w:sz w:val="14"/>
                <w:szCs w:val="14"/>
              </w:rPr>
            </w:pPr>
          </w:p>
        </w:tc>
        <w:tc>
          <w:tcPr>
            <w:tcW w:w="416" w:type="dxa"/>
          </w:tcPr>
          <w:p w14:paraId="6ED0555A" w14:textId="77777777" w:rsidR="00695AE2" w:rsidRPr="00503014" w:rsidRDefault="00695AE2" w:rsidP="00980493">
            <w:pPr>
              <w:jc w:val="center"/>
              <w:rPr>
                <w:rFonts w:eastAsia="Calibri" w:cs="Calibri"/>
                <w:sz w:val="14"/>
                <w:szCs w:val="14"/>
              </w:rPr>
            </w:pPr>
          </w:p>
        </w:tc>
        <w:tc>
          <w:tcPr>
            <w:tcW w:w="416" w:type="dxa"/>
          </w:tcPr>
          <w:p w14:paraId="49675CC6" w14:textId="77777777" w:rsidR="00695AE2" w:rsidRPr="00503014" w:rsidRDefault="00695AE2" w:rsidP="00980493">
            <w:pPr>
              <w:jc w:val="center"/>
              <w:rPr>
                <w:rFonts w:eastAsia="Calibri" w:cs="Calibri"/>
                <w:sz w:val="14"/>
                <w:szCs w:val="14"/>
              </w:rPr>
            </w:pPr>
          </w:p>
        </w:tc>
        <w:tc>
          <w:tcPr>
            <w:tcW w:w="452" w:type="dxa"/>
          </w:tcPr>
          <w:p w14:paraId="1D5EF42B" w14:textId="77777777" w:rsidR="00695AE2" w:rsidRPr="00503014" w:rsidRDefault="00695AE2" w:rsidP="00980493">
            <w:pPr>
              <w:jc w:val="center"/>
              <w:rPr>
                <w:rFonts w:eastAsia="Calibri" w:cs="Calibri"/>
                <w:sz w:val="14"/>
                <w:szCs w:val="14"/>
              </w:rPr>
            </w:pPr>
          </w:p>
        </w:tc>
        <w:tc>
          <w:tcPr>
            <w:tcW w:w="416" w:type="dxa"/>
          </w:tcPr>
          <w:p w14:paraId="5EC9E019" w14:textId="77777777" w:rsidR="00695AE2" w:rsidRPr="00503014" w:rsidRDefault="00695AE2" w:rsidP="00980493">
            <w:pPr>
              <w:jc w:val="center"/>
              <w:rPr>
                <w:rFonts w:eastAsia="Calibri" w:cs="Calibri"/>
                <w:sz w:val="14"/>
                <w:szCs w:val="14"/>
              </w:rPr>
            </w:pPr>
          </w:p>
        </w:tc>
        <w:tc>
          <w:tcPr>
            <w:tcW w:w="452" w:type="dxa"/>
          </w:tcPr>
          <w:p w14:paraId="01A70E0E" w14:textId="77777777" w:rsidR="00695AE2" w:rsidRPr="00503014" w:rsidRDefault="00695AE2" w:rsidP="00980493">
            <w:pPr>
              <w:jc w:val="center"/>
              <w:rPr>
                <w:rFonts w:eastAsia="Calibri" w:cs="Calibri"/>
                <w:sz w:val="14"/>
                <w:szCs w:val="14"/>
              </w:rPr>
            </w:pPr>
          </w:p>
        </w:tc>
        <w:tc>
          <w:tcPr>
            <w:tcW w:w="416" w:type="dxa"/>
          </w:tcPr>
          <w:p w14:paraId="00D2E2F1" w14:textId="77777777" w:rsidR="00695AE2" w:rsidRPr="00503014" w:rsidRDefault="00695AE2" w:rsidP="00980493">
            <w:pPr>
              <w:jc w:val="center"/>
              <w:rPr>
                <w:rFonts w:eastAsia="Calibri" w:cs="Calibri"/>
                <w:sz w:val="14"/>
                <w:szCs w:val="14"/>
              </w:rPr>
            </w:pPr>
          </w:p>
        </w:tc>
        <w:tc>
          <w:tcPr>
            <w:tcW w:w="647" w:type="dxa"/>
          </w:tcPr>
          <w:p w14:paraId="3558DF57" w14:textId="77777777" w:rsidR="00695AE2" w:rsidRPr="00503014" w:rsidRDefault="00695AE2" w:rsidP="00980493">
            <w:pPr>
              <w:jc w:val="center"/>
              <w:rPr>
                <w:rFonts w:eastAsia="Calibri" w:cs="Calibri"/>
                <w:sz w:val="14"/>
                <w:szCs w:val="14"/>
              </w:rPr>
            </w:pPr>
          </w:p>
        </w:tc>
        <w:tc>
          <w:tcPr>
            <w:tcW w:w="328" w:type="dxa"/>
          </w:tcPr>
          <w:p w14:paraId="2D7CDCE4" w14:textId="77777777" w:rsidR="00695AE2" w:rsidRPr="00503014" w:rsidRDefault="00695AE2" w:rsidP="00980493">
            <w:pPr>
              <w:jc w:val="center"/>
              <w:rPr>
                <w:rFonts w:eastAsia="Calibri" w:cs="Calibri"/>
                <w:sz w:val="14"/>
                <w:szCs w:val="14"/>
              </w:rPr>
            </w:pPr>
          </w:p>
        </w:tc>
        <w:tc>
          <w:tcPr>
            <w:tcW w:w="540" w:type="dxa"/>
          </w:tcPr>
          <w:p w14:paraId="2A32DE93" w14:textId="77777777" w:rsidR="00695AE2" w:rsidRPr="00503014" w:rsidRDefault="00695AE2" w:rsidP="00980493">
            <w:pPr>
              <w:jc w:val="center"/>
              <w:rPr>
                <w:rFonts w:eastAsia="Calibri" w:cs="Calibri"/>
                <w:sz w:val="14"/>
                <w:szCs w:val="14"/>
              </w:rPr>
            </w:pPr>
          </w:p>
        </w:tc>
      </w:tr>
      <w:tr w:rsidR="00695AE2" w:rsidRPr="00503014" w14:paraId="300FEA07" w14:textId="77777777" w:rsidTr="00980493">
        <w:trPr>
          <w:trHeight w:val="185"/>
        </w:trPr>
        <w:tc>
          <w:tcPr>
            <w:tcW w:w="1244" w:type="dxa"/>
          </w:tcPr>
          <w:p w14:paraId="72A9DD8A" w14:textId="77777777" w:rsidR="00695AE2" w:rsidRPr="00503014" w:rsidRDefault="00695AE2" w:rsidP="00980493">
            <w:pPr>
              <w:rPr>
                <w:rFonts w:eastAsia="Calibri" w:cs="Calibri"/>
                <w:sz w:val="14"/>
                <w:szCs w:val="14"/>
              </w:rPr>
            </w:pPr>
            <w:r w:rsidRPr="00503014">
              <w:rPr>
                <w:rFonts w:eastAsia="Calibri" w:cs="Calibri"/>
                <w:sz w:val="14"/>
                <w:szCs w:val="14"/>
              </w:rPr>
              <w:t>Postopki po ZVPSBNO</w:t>
            </w:r>
          </w:p>
        </w:tc>
        <w:tc>
          <w:tcPr>
            <w:tcW w:w="284" w:type="dxa"/>
          </w:tcPr>
          <w:p w14:paraId="79A4DE02" w14:textId="77777777" w:rsidR="00695AE2" w:rsidRPr="00503014" w:rsidRDefault="00695AE2" w:rsidP="00980493">
            <w:pPr>
              <w:jc w:val="center"/>
              <w:rPr>
                <w:rFonts w:eastAsia="Calibri" w:cs="Calibri"/>
                <w:sz w:val="14"/>
                <w:szCs w:val="14"/>
              </w:rPr>
            </w:pPr>
          </w:p>
        </w:tc>
        <w:tc>
          <w:tcPr>
            <w:tcW w:w="567" w:type="dxa"/>
          </w:tcPr>
          <w:p w14:paraId="44E5DBB3" w14:textId="77777777" w:rsidR="00695AE2" w:rsidRPr="00503014" w:rsidRDefault="00695AE2" w:rsidP="00980493">
            <w:pPr>
              <w:jc w:val="center"/>
              <w:rPr>
                <w:rFonts w:eastAsia="Calibri" w:cs="Calibri"/>
                <w:sz w:val="14"/>
                <w:szCs w:val="14"/>
              </w:rPr>
            </w:pPr>
          </w:p>
        </w:tc>
        <w:tc>
          <w:tcPr>
            <w:tcW w:w="567" w:type="dxa"/>
          </w:tcPr>
          <w:p w14:paraId="412A4E4D" w14:textId="77777777" w:rsidR="00695AE2" w:rsidRPr="00503014" w:rsidRDefault="00695AE2" w:rsidP="00980493">
            <w:pPr>
              <w:jc w:val="center"/>
              <w:rPr>
                <w:rFonts w:eastAsia="Calibri" w:cs="Calibri"/>
                <w:sz w:val="14"/>
                <w:szCs w:val="14"/>
              </w:rPr>
            </w:pPr>
            <w:r w:rsidRPr="00503014">
              <w:rPr>
                <w:rFonts w:eastAsia="Calibri" w:cs="Calibri"/>
                <w:sz w:val="14"/>
                <w:szCs w:val="14"/>
              </w:rPr>
              <w:t>4</w:t>
            </w:r>
          </w:p>
        </w:tc>
        <w:tc>
          <w:tcPr>
            <w:tcW w:w="455" w:type="dxa"/>
          </w:tcPr>
          <w:p w14:paraId="0F0AA582"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29" w:type="dxa"/>
          </w:tcPr>
          <w:p w14:paraId="267C3549" w14:textId="77777777" w:rsidR="00695AE2" w:rsidRPr="00503014" w:rsidRDefault="00695AE2" w:rsidP="00980493">
            <w:pPr>
              <w:jc w:val="center"/>
              <w:rPr>
                <w:rFonts w:eastAsia="Calibri" w:cs="Calibri"/>
                <w:sz w:val="14"/>
                <w:szCs w:val="14"/>
              </w:rPr>
            </w:pPr>
          </w:p>
        </w:tc>
        <w:tc>
          <w:tcPr>
            <w:tcW w:w="422" w:type="dxa"/>
          </w:tcPr>
          <w:p w14:paraId="0614E8D2" w14:textId="77777777" w:rsidR="00695AE2" w:rsidRPr="00503014" w:rsidRDefault="00695AE2" w:rsidP="00980493">
            <w:pPr>
              <w:jc w:val="center"/>
              <w:rPr>
                <w:rFonts w:eastAsia="Calibri" w:cs="Calibri"/>
                <w:sz w:val="14"/>
                <w:szCs w:val="14"/>
              </w:rPr>
            </w:pPr>
            <w:r w:rsidRPr="00503014">
              <w:rPr>
                <w:rFonts w:eastAsia="Calibri" w:cs="Calibri"/>
                <w:sz w:val="14"/>
                <w:szCs w:val="14"/>
              </w:rPr>
              <w:t>14</w:t>
            </w:r>
          </w:p>
        </w:tc>
        <w:tc>
          <w:tcPr>
            <w:tcW w:w="425" w:type="dxa"/>
          </w:tcPr>
          <w:p w14:paraId="6B3475B6" w14:textId="77777777" w:rsidR="00695AE2" w:rsidRPr="00503014" w:rsidRDefault="00695AE2" w:rsidP="00980493">
            <w:pPr>
              <w:jc w:val="center"/>
              <w:rPr>
                <w:rFonts w:eastAsia="Calibri" w:cs="Calibri"/>
                <w:sz w:val="14"/>
                <w:szCs w:val="14"/>
              </w:rPr>
            </w:pPr>
          </w:p>
        </w:tc>
        <w:tc>
          <w:tcPr>
            <w:tcW w:w="566" w:type="dxa"/>
          </w:tcPr>
          <w:p w14:paraId="5694B483" w14:textId="77777777" w:rsidR="00695AE2" w:rsidRPr="00503014" w:rsidRDefault="00695AE2" w:rsidP="00980493">
            <w:pPr>
              <w:jc w:val="center"/>
              <w:rPr>
                <w:rFonts w:eastAsia="Calibri" w:cs="Calibri"/>
                <w:sz w:val="14"/>
                <w:szCs w:val="14"/>
              </w:rPr>
            </w:pPr>
            <w:r w:rsidRPr="00503014">
              <w:rPr>
                <w:rFonts w:eastAsia="Calibri" w:cs="Calibri"/>
                <w:sz w:val="14"/>
                <w:szCs w:val="14"/>
              </w:rPr>
              <w:t>23</w:t>
            </w:r>
          </w:p>
        </w:tc>
        <w:tc>
          <w:tcPr>
            <w:tcW w:w="429" w:type="dxa"/>
          </w:tcPr>
          <w:p w14:paraId="21DDE6ED" w14:textId="77777777" w:rsidR="00695AE2" w:rsidRPr="00503014" w:rsidRDefault="00695AE2" w:rsidP="00980493">
            <w:pPr>
              <w:jc w:val="center"/>
              <w:rPr>
                <w:rFonts w:eastAsia="Calibri" w:cs="Calibri"/>
                <w:sz w:val="14"/>
                <w:szCs w:val="14"/>
              </w:rPr>
            </w:pPr>
          </w:p>
        </w:tc>
        <w:tc>
          <w:tcPr>
            <w:tcW w:w="676" w:type="dxa"/>
          </w:tcPr>
          <w:p w14:paraId="58F0C3B3" w14:textId="77777777" w:rsidR="00695AE2" w:rsidRPr="00503014" w:rsidRDefault="00695AE2" w:rsidP="00980493">
            <w:pPr>
              <w:jc w:val="center"/>
              <w:rPr>
                <w:rFonts w:eastAsia="Calibri" w:cs="Calibri"/>
                <w:sz w:val="14"/>
                <w:szCs w:val="14"/>
              </w:rPr>
            </w:pPr>
          </w:p>
        </w:tc>
        <w:tc>
          <w:tcPr>
            <w:tcW w:w="599" w:type="dxa"/>
          </w:tcPr>
          <w:p w14:paraId="27908D4F" w14:textId="77777777" w:rsidR="00695AE2" w:rsidRPr="00503014" w:rsidRDefault="00695AE2" w:rsidP="00980493">
            <w:pPr>
              <w:jc w:val="center"/>
              <w:rPr>
                <w:rFonts w:eastAsia="Calibri" w:cs="Calibri"/>
                <w:sz w:val="14"/>
                <w:szCs w:val="14"/>
              </w:rPr>
            </w:pPr>
          </w:p>
        </w:tc>
        <w:tc>
          <w:tcPr>
            <w:tcW w:w="367" w:type="dxa"/>
          </w:tcPr>
          <w:p w14:paraId="6F89DD06" w14:textId="77777777" w:rsidR="00695AE2" w:rsidRPr="00503014" w:rsidRDefault="00695AE2" w:rsidP="00980493">
            <w:pPr>
              <w:jc w:val="center"/>
              <w:rPr>
                <w:rFonts w:eastAsia="Calibri" w:cs="Calibri"/>
                <w:sz w:val="14"/>
                <w:szCs w:val="14"/>
              </w:rPr>
            </w:pPr>
          </w:p>
        </w:tc>
        <w:tc>
          <w:tcPr>
            <w:tcW w:w="452" w:type="dxa"/>
          </w:tcPr>
          <w:p w14:paraId="16F11A68" w14:textId="77777777" w:rsidR="00695AE2" w:rsidRPr="00503014" w:rsidRDefault="00695AE2" w:rsidP="00980493">
            <w:pPr>
              <w:jc w:val="center"/>
              <w:rPr>
                <w:rFonts w:eastAsia="Calibri" w:cs="Calibri"/>
                <w:sz w:val="14"/>
                <w:szCs w:val="14"/>
              </w:rPr>
            </w:pPr>
          </w:p>
        </w:tc>
        <w:tc>
          <w:tcPr>
            <w:tcW w:w="416" w:type="dxa"/>
          </w:tcPr>
          <w:p w14:paraId="3A8EB88F" w14:textId="77777777" w:rsidR="00695AE2" w:rsidRPr="00503014" w:rsidRDefault="00695AE2" w:rsidP="00980493">
            <w:pPr>
              <w:jc w:val="center"/>
              <w:rPr>
                <w:rFonts w:eastAsia="Calibri" w:cs="Calibri"/>
                <w:sz w:val="14"/>
                <w:szCs w:val="14"/>
              </w:rPr>
            </w:pPr>
          </w:p>
        </w:tc>
        <w:tc>
          <w:tcPr>
            <w:tcW w:w="416" w:type="dxa"/>
          </w:tcPr>
          <w:p w14:paraId="104B294F" w14:textId="77777777" w:rsidR="00695AE2" w:rsidRPr="00503014" w:rsidRDefault="00695AE2" w:rsidP="00980493">
            <w:pPr>
              <w:jc w:val="center"/>
              <w:rPr>
                <w:rFonts w:eastAsia="Calibri" w:cs="Calibri"/>
                <w:sz w:val="14"/>
                <w:szCs w:val="14"/>
              </w:rPr>
            </w:pPr>
          </w:p>
        </w:tc>
        <w:tc>
          <w:tcPr>
            <w:tcW w:w="452" w:type="dxa"/>
          </w:tcPr>
          <w:p w14:paraId="2E7C69A2" w14:textId="77777777" w:rsidR="00695AE2" w:rsidRPr="00503014" w:rsidRDefault="00695AE2" w:rsidP="00980493">
            <w:pPr>
              <w:jc w:val="center"/>
              <w:rPr>
                <w:rFonts w:eastAsia="Calibri" w:cs="Calibri"/>
                <w:sz w:val="14"/>
                <w:szCs w:val="14"/>
              </w:rPr>
            </w:pPr>
          </w:p>
        </w:tc>
        <w:tc>
          <w:tcPr>
            <w:tcW w:w="416" w:type="dxa"/>
          </w:tcPr>
          <w:p w14:paraId="75ED2C96" w14:textId="77777777" w:rsidR="00695AE2" w:rsidRPr="00503014" w:rsidRDefault="00695AE2" w:rsidP="00980493">
            <w:pPr>
              <w:jc w:val="center"/>
              <w:rPr>
                <w:rFonts w:eastAsia="Calibri" w:cs="Calibri"/>
                <w:sz w:val="14"/>
                <w:szCs w:val="14"/>
              </w:rPr>
            </w:pPr>
          </w:p>
        </w:tc>
        <w:tc>
          <w:tcPr>
            <w:tcW w:w="452" w:type="dxa"/>
          </w:tcPr>
          <w:p w14:paraId="26D4744C" w14:textId="77777777" w:rsidR="00695AE2" w:rsidRPr="00503014" w:rsidRDefault="00695AE2" w:rsidP="00980493">
            <w:pPr>
              <w:jc w:val="center"/>
              <w:rPr>
                <w:rFonts w:eastAsia="Calibri" w:cs="Calibri"/>
                <w:sz w:val="14"/>
                <w:szCs w:val="14"/>
              </w:rPr>
            </w:pPr>
          </w:p>
        </w:tc>
        <w:tc>
          <w:tcPr>
            <w:tcW w:w="416" w:type="dxa"/>
          </w:tcPr>
          <w:p w14:paraId="3F7E608D" w14:textId="77777777" w:rsidR="00695AE2" w:rsidRPr="00503014" w:rsidRDefault="00695AE2" w:rsidP="00980493">
            <w:pPr>
              <w:jc w:val="center"/>
              <w:rPr>
                <w:rFonts w:eastAsia="Calibri" w:cs="Calibri"/>
                <w:sz w:val="14"/>
                <w:szCs w:val="14"/>
              </w:rPr>
            </w:pPr>
          </w:p>
        </w:tc>
        <w:tc>
          <w:tcPr>
            <w:tcW w:w="647" w:type="dxa"/>
          </w:tcPr>
          <w:p w14:paraId="6E4ACC00" w14:textId="77777777" w:rsidR="00695AE2" w:rsidRPr="00503014" w:rsidRDefault="00695AE2" w:rsidP="00980493">
            <w:pPr>
              <w:jc w:val="center"/>
              <w:rPr>
                <w:rFonts w:eastAsia="Calibri" w:cs="Calibri"/>
                <w:sz w:val="14"/>
                <w:szCs w:val="14"/>
              </w:rPr>
            </w:pPr>
          </w:p>
        </w:tc>
        <w:tc>
          <w:tcPr>
            <w:tcW w:w="328" w:type="dxa"/>
          </w:tcPr>
          <w:p w14:paraId="4681007B" w14:textId="77777777" w:rsidR="00695AE2" w:rsidRPr="00503014" w:rsidRDefault="00695AE2" w:rsidP="00980493">
            <w:pPr>
              <w:jc w:val="center"/>
              <w:rPr>
                <w:rFonts w:eastAsia="Calibri" w:cs="Calibri"/>
                <w:sz w:val="14"/>
                <w:szCs w:val="14"/>
              </w:rPr>
            </w:pPr>
          </w:p>
        </w:tc>
        <w:tc>
          <w:tcPr>
            <w:tcW w:w="540" w:type="dxa"/>
          </w:tcPr>
          <w:p w14:paraId="5DFC387D" w14:textId="77777777" w:rsidR="00695AE2" w:rsidRPr="00503014" w:rsidRDefault="00695AE2" w:rsidP="00980493">
            <w:pPr>
              <w:jc w:val="center"/>
              <w:rPr>
                <w:rFonts w:eastAsia="Calibri" w:cs="Calibri"/>
                <w:sz w:val="14"/>
                <w:szCs w:val="14"/>
              </w:rPr>
            </w:pPr>
          </w:p>
        </w:tc>
      </w:tr>
      <w:tr w:rsidR="00695AE2" w:rsidRPr="00503014" w14:paraId="5DE91D06" w14:textId="77777777" w:rsidTr="00980493">
        <w:trPr>
          <w:trHeight w:val="200"/>
        </w:trPr>
        <w:tc>
          <w:tcPr>
            <w:tcW w:w="1244" w:type="dxa"/>
          </w:tcPr>
          <w:p w14:paraId="6D91E77B" w14:textId="77777777" w:rsidR="00695AE2" w:rsidRPr="00503014" w:rsidRDefault="00695AE2" w:rsidP="00980493">
            <w:pPr>
              <w:rPr>
                <w:rFonts w:eastAsia="Calibri" w:cs="Calibri"/>
                <w:sz w:val="14"/>
                <w:szCs w:val="14"/>
              </w:rPr>
            </w:pPr>
            <w:r w:rsidRPr="00503014">
              <w:rPr>
                <w:rFonts w:eastAsia="Calibri" w:cs="Calibri"/>
                <w:sz w:val="14"/>
                <w:szCs w:val="14"/>
              </w:rPr>
              <w:t>Postopki po ZPŠOIRSP</w:t>
            </w:r>
          </w:p>
        </w:tc>
        <w:tc>
          <w:tcPr>
            <w:tcW w:w="284" w:type="dxa"/>
          </w:tcPr>
          <w:p w14:paraId="116A4AD4" w14:textId="77777777" w:rsidR="00695AE2" w:rsidRPr="00503014" w:rsidRDefault="00695AE2" w:rsidP="00980493">
            <w:pPr>
              <w:jc w:val="center"/>
              <w:rPr>
                <w:rFonts w:eastAsia="Calibri" w:cs="Calibri"/>
                <w:sz w:val="14"/>
                <w:szCs w:val="14"/>
              </w:rPr>
            </w:pPr>
          </w:p>
        </w:tc>
        <w:tc>
          <w:tcPr>
            <w:tcW w:w="567" w:type="dxa"/>
          </w:tcPr>
          <w:p w14:paraId="35C56548" w14:textId="77777777" w:rsidR="00695AE2" w:rsidRPr="00503014" w:rsidRDefault="00695AE2" w:rsidP="00980493">
            <w:pPr>
              <w:jc w:val="center"/>
              <w:rPr>
                <w:rFonts w:eastAsia="Calibri" w:cs="Calibri"/>
                <w:sz w:val="14"/>
                <w:szCs w:val="14"/>
              </w:rPr>
            </w:pPr>
            <w:r w:rsidRPr="00503014">
              <w:rPr>
                <w:rFonts w:eastAsia="Calibri" w:cs="Calibri"/>
                <w:sz w:val="14"/>
                <w:szCs w:val="14"/>
              </w:rPr>
              <w:t>2</w:t>
            </w:r>
          </w:p>
        </w:tc>
        <w:tc>
          <w:tcPr>
            <w:tcW w:w="567" w:type="dxa"/>
          </w:tcPr>
          <w:p w14:paraId="70CB52D2" w14:textId="77777777" w:rsidR="00695AE2" w:rsidRPr="00503014" w:rsidRDefault="00695AE2" w:rsidP="00980493">
            <w:pPr>
              <w:jc w:val="center"/>
              <w:rPr>
                <w:rFonts w:eastAsia="Calibri" w:cs="Calibri"/>
                <w:sz w:val="14"/>
                <w:szCs w:val="14"/>
              </w:rPr>
            </w:pPr>
            <w:r w:rsidRPr="00503014">
              <w:rPr>
                <w:rFonts w:eastAsia="Calibri" w:cs="Calibri"/>
                <w:sz w:val="14"/>
                <w:szCs w:val="14"/>
              </w:rPr>
              <w:t>9</w:t>
            </w:r>
          </w:p>
        </w:tc>
        <w:tc>
          <w:tcPr>
            <w:tcW w:w="455" w:type="dxa"/>
          </w:tcPr>
          <w:p w14:paraId="4335300F"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29" w:type="dxa"/>
          </w:tcPr>
          <w:p w14:paraId="6A818D55"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22" w:type="dxa"/>
          </w:tcPr>
          <w:p w14:paraId="0717E693" w14:textId="77777777" w:rsidR="00695AE2" w:rsidRPr="00503014" w:rsidRDefault="00695AE2" w:rsidP="00980493">
            <w:pPr>
              <w:jc w:val="center"/>
              <w:rPr>
                <w:rFonts w:eastAsia="Calibri" w:cs="Calibri"/>
                <w:sz w:val="14"/>
                <w:szCs w:val="14"/>
              </w:rPr>
            </w:pPr>
          </w:p>
        </w:tc>
        <w:tc>
          <w:tcPr>
            <w:tcW w:w="425" w:type="dxa"/>
          </w:tcPr>
          <w:p w14:paraId="3AF55012" w14:textId="77777777" w:rsidR="00695AE2" w:rsidRPr="00503014" w:rsidRDefault="00695AE2" w:rsidP="00980493">
            <w:pPr>
              <w:jc w:val="center"/>
              <w:rPr>
                <w:rFonts w:eastAsia="Calibri" w:cs="Calibri"/>
                <w:sz w:val="14"/>
                <w:szCs w:val="14"/>
              </w:rPr>
            </w:pPr>
          </w:p>
        </w:tc>
        <w:tc>
          <w:tcPr>
            <w:tcW w:w="566" w:type="dxa"/>
          </w:tcPr>
          <w:p w14:paraId="700DA4FE"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29" w:type="dxa"/>
          </w:tcPr>
          <w:p w14:paraId="567F9809" w14:textId="77777777" w:rsidR="00695AE2" w:rsidRPr="00503014" w:rsidRDefault="00695AE2" w:rsidP="00980493">
            <w:pPr>
              <w:jc w:val="center"/>
              <w:rPr>
                <w:rFonts w:eastAsia="Calibri" w:cs="Calibri"/>
                <w:sz w:val="14"/>
                <w:szCs w:val="14"/>
              </w:rPr>
            </w:pPr>
          </w:p>
        </w:tc>
        <w:tc>
          <w:tcPr>
            <w:tcW w:w="676" w:type="dxa"/>
          </w:tcPr>
          <w:p w14:paraId="77F88388" w14:textId="77777777" w:rsidR="00695AE2" w:rsidRPr="00503014" w:rsidRDefault="00695AE2" w:rsidP="00980493">
            <w:pPr>
              <w:jc w:val="center"/>
              <w:rPr>
                <w:rFonts w:eastAsia="Calibri" w:cs="Calibri"/>
                <w:sz w:val="14"/>
                <w:szCs w:val="14"/>
              </w:rPr>
            </w:pPr>
          </w:p>
        </w:tc>
        <w:tc>
          <w:tcPr>
            <w:tcW w:w="599" w:type="dxa"/>
          </w:tcPr>
          <w:p w14:paraId="13DAF8B0" w14:textId="77777777" w:rsidR="00695AE2" w:rsidRPr="00503014" w:rsidRDefault="00695AE2" w:rsidP="00980493">
            <w:pPr>
              <w:jc w:val="center"/>
              <w:rPr>
                <w:rFonts w:eastAsia="Calibri" w:cs="Calibri"/>
                <w:sz w:val="14"/>
                <w:szCs w:val="14"/>
              </w:rPr>
            </w:pPr>
          </w:p>
        </w:tc>
        <w:tc>
          <w:tcPr>
            <w:tcW w:w="367" w:type="dxa"/>
          </w:tcPr>
          <w:p w14:paraId="52832A37" w14:textId="77777777" w:rsidR="00695AE2" w:rsidRPr="00503014" w:rsidRDefault="00695AE2" w:rsidP="00980493">
            <w:pPr>
              <w:jc w:val="center"/>
              <w:rPr>
                <w:rFonts w:eastAsia="Calibri" w:cs="Calibri"/>
                <w:sz w:val="14"/>
                <w:szCs w:val="14"/>
              </w:rPr>
            </w:pPr>
          </w:p>
        </w:tc>
        <w:tc>
          <w:tcPr>
            <w:tcW w:w="452" w:type="dxa"/>
          </w:tcPr>
          <w:p w14:paraId="0CF75541" w14:textId="77777777" w:rsidR="00695AE2" w:rsidRPr="00503014" w:rsidRDefault="00695AE2" w:rsidP="00980493">
            <w:pPr>
              <w:jc w:val="center"/>
              <w:rPr>
                <w:rFonts w:eastAsia="Calibri" w:cs="Calibri"/>
                <w:sz w:val="14"/>
                <w:szCs w:val="14"/>
              </w:rPr>
            </w:pPr>
          </w:p>
        </w:tc>
        <w:tc>
          <w:tcPr>
            <w:tcW w:w="416" w:type="dxa"/>
          </w:tcPr>
          <w:p w14:paraId="078E46DB" w14:textId="77777777" w:rsidR="00695AE2" w:rsidRPr="00503014" w:rsidRDefault="00695AE2" w:rsidP="00980493">
            <w:pPr>
              <w:jc w:val="center"/>
              <w:rPr>
                <w:rFonts w:eastAsia="Calibri" w:cs="Calibri"/>
                <w:sz w:val="14"/>
                <w:szCs w:val="14"/>
              </w:rPr>
            </w:pPr>
          </w:p>
        </w:tc>
        <w:tc>
          <w:tcPr>
            <w:tcW w:w="416" w:type="dxa"/>
          </w:tcPr>
          <w:p w14:paraId="7840E16C" w14:textId="77777777" w:rsidR="00695AE2" w:rsidRPr="00503014" w:rsidRDefault="00695AE2" w:rsidP="00980493">
            <w:pPr>
              <w:jc w:val="center"/>
              <w:rPr>
                <w:rFonts w:eastAsia="Calibri" w:cs="Calibri"/>
                <w:sz w:val="14"/>
                <w:szCs w:val="14"/>
              </w:rPr>
            </w:pPr>
          </w:p>
        </w:tc>
        <w:tc>
          <w:tcPr>
            <w:tcW w:w="452" w:type="dxa"/>
          </w:tcPr>
          <w:p w14:paraId="6C14F055" w14:textId="77777777" w:rsidR="00695AE2" w:rsidRPr="00503014" w:rsidRDefault="00695AE2" w:rsidP="00980493">
            <w:pPr>
              <w:jc w:val="center"/>
              <w:rPr>
                <w:rFonts w:eastAsia="Calibri" w:cs="Calibri"/>
                <w:sz w:val="14"/>
                <w:szCs w:val="14"/>
              </w:rPr>
            </w:pPr>
          </w:p>
        </w:tc>
        <w:tc>
          <w:tcPr>
            <w:tcW w:w="416" w:type="dxa"/>
          </w:tcPr>
          <w:p w14:paraId="7A54CFB5" w14:textId="77777777" w:rsidR="00695AE2" w:rsidRPr="00503014" w:rsidRDefault="00695AE2" w:rsidP="00980493">
            <w:pPr>
              <w:jc w:val="center"/>
              <w:rPr>
                <w:rFonts w:eastAsia="Calibri" w:cs="Calibri"/>
                <w:sz w:val="14"/>
                <w:szCs w:val="14"/>
              </w:rPr>
            </w:pPr>
          </w:p>
        </w:tc>
        <w:tc>
          <w:tcPr>
            <w:tcW w:w="452" w:type="dxa"/>
          </w:tcPr>
          <w:p w14:paraId="22B14313" w14:textId="77777777" w:rsidR="00695AE2" w:rsidRPr="00503014" w:rsidRDefault="00695AE2" w:rsidP="00980493">
            <w:pPr>
              <w:jc w:val="center"/>
              <w:rPr>
                <w:rFonts w:eastAsia="Calibri" w:cs="Calibri"/>
                <w:sz w:val="14"/>
                <w:szCs w:val="14"/>
              </w:rPr>
            </w:pPr>
          </w:p>
        </w:tc>
        <w:tc>
          <w:tcPr>
            <w:tcW w:w="416" w:type="dxa"/>
          </w:tcPr>
          <w:p w14:paraId="0566EE2C" w14:textId="77777777" w:rsidR="00695AE2" w:rsidRPr="00503014" w:rsidRDefault="00695AE2" w:rsidP="00980493">
            <w:pPr>
              <w:jc w:val="center"/>
              <w:rPr>
                <w:rFonts w:eastAsia="Calibri" w:cs="Calibri"/>
                <w:sz w:val="14"/>
                <w:szCs w:val="14"/>
              </w:rPr>
            </w:pPr>
          </w:p>
        </w:tc>
        <w:tc>
          <w:tcPr>
            <w:tcW w:w="647" w:type="dxa"/>
          </w:tcPr>
          <w:p w14:paraId="58CBBF49" w14:textId="77777777" w:rsidR="00695AE2" w:rsidRPr="00503014" w:rsidRDefault="00695AE2" w:rsidP="00980493">
            <w:pPr>
              <w:jc w:val="center"/>
              <w:rPr>
                <w:rFonts w:eastAsia="Calibri" w:cs="Calibri"/>
                <w:sz w:val="14"/>
                <w:szCs w:val="14"/>
              </w:rPr>
            </w:pPr>
          </w:p>
        </w:tc>
        <w:tc>
          <w:tcPr>
            <w:tcW w:w="328" w:type="dxa"/>
          </w:tcPr>
          <w:p w14:paraId="1B76414B" w14:textId="77777777" w:rsidR="00695AE2" w:rsidRPr="00503014" w:rsidRDefault="00695AE2" w:rsidP="00980493">
            <w:pPr>
              <w:jc w:val="center"/>
              <w:rPr>
                <w:rFonts w:eastAsia="Calibri" w:cs="Calibri"/>
                <w:sz w:val="14"/>
                <w:szCs w:val="14"/>
              </w:rPr>
            </w:pPr>
          </w:p>
        </w:tc>
        <w:tc>
          <w:tcPr>
            <w:tcW w:w="540" w:type="dxa"/>
          </w:tcPr>
          <w:p w14:paraId="22B391B2" w14:textId="77777777" w:rsidR="00695AE2" w:rsidRPr="00503014" w:rsidRDefault="00695AE2" w:rsidP="00980493">
            <w:pPr>
              <w:jc w:val="center"/>
              <w:rPr>
                <w:rFonts w:eastAsia="Calibri" w:cs="Calibri"/>
                <w:sz w:val="14"/>
                <w:szCs w:val="14"/>
              </w:rPr>
            </w:pPr>
          </w:p>
        </w:tc>
      </w:tr>
      <w:tr w:rsidR="00695AE2" w:rsidRPr="00503014" w14:paraId="5D045B6F" w14:textId="77777777" w:rsidTr="00980493">
        <w:trPr>
          <w:trHeight w:val="185"/>
        </w:trPr>
        <w:tc>
          <w:tcPr>
            <w:tcW w:w="1244" w:type="dxa"/>
          </w:tcPr>
          <w:p w14:paraId="530B5455" w14:textId="77777777" w:rsidR="00695AE2" w:rsidRPr="00503014" w:rsidRDefault="00695AE2" w:rsidP="00980493">
            <w:pPr>
              <w:rPr>
                <w:rFonts w:eastAsia="Calibri" w:cs="Calibri"/>
                <w:sz w:val="14"/>
                <w:szCs w:val="14"/>
              </w:rPr>
            </w:pPr>
            <w:r w:rsidRPr="00503014">
              <w:rPr>
                <w:rFonts w:eastAsia="Calibri" w:cs="Calibri"/>
                <w:sz w:val="14"/>
                <w:szCs w:val="14"/>
              </w:rPr>
              <w:t>Postopki izvršbe in zavarovanja</w:t>
            </w:r>
          </w:p>
        </w:tc>
        <w:tc>
          <w:tcPr>
            <w:tcW w:w="284" w:type="dxa"/>
          </w:tcPr>
          <w:p w14:paraId="74AF22F5" w14:textId="77777777" w:rsidR="00695AE2" w:rsidRPr="00503014" w:rsidRDefault="00695AE2" w:rsidP="00980493">
            <w:pPr>
              <w:jc w:val="center"/>
              <w:rPr>
                <w:rFonts w:eastAsia="Calibri" w:cs="Calibri"/>
                <w:sz w:val="14"/>
                <w:szCs w:val="14"/>
              </w:rPr>
            </w:pPr>
            <w:r w:rsidRPr="00503014">
              <w:rPr>
                <w:rFonts w:eastAsia="Calibri" w:cs="Calibri"/>
                <w:sz w:val="14"/>
                <w:szCs w:val="14"/>
              </w:rPr>
              <w:t>2</w:t>
            </w:r>
          </w:p>
        </w:tc>
        <w:tc>
          <w:tcPr>
            <w:tcW w:w="567" w:type="dxa"/>
          </w:tcPr>
          <w:p w14:paraId="7DDD0849" w14:textId="77777777" w:rsidR="00695AE2" w:rsidRPr="00503014" w:rsidRDefault="00695AE2" w:rsidP="00980493">
            <w:pPr>
              <w:jc w:val="center"/>
              <w:rPr>
                <w:rFonts w:eastAsia="Calibri" w:cs="Calibri"/>
                <w:sz w:val="14"/>
                <w:szCs w:val="14"/>
              </w:rPr>
            </w:pPr>
          </w:p>
        </w:tc>
        <w:tc>
          <w:tcPr>
            <w:tcW w:w="567" w:type="dxa"/>
          </w:tcPr>
          <w:p w14:paraId="2393DF51" w14:textId="77777777" w:rsidR="00695AE2" w:rsidRPr="00503014" w:rsidRDefault="00695AE2" w:rsidP="00980493">
            <w:pPr>
              <w:jc w:val="center"/>
              <w:rPr>
                <w:rFonts w:eastAsia="Calibri" w:cs="Calibri"/>
                <w:sz w:val="14"/>
                <w:szCs w:val="14"/>
              </w:rPr>
            </w:pPr>
          </w:p>
        </w:tc>
        <w:tc>
          <w:tcPr>
            <w:tcW w:w="455" w:type="dxa"/>
          </w:tcPr>
          <w:p w14:paraId="7AEAF792" w14:textId="77777777" w:rsidR="00695AE2" w:rsidRPr="00503014" w:rsidRDefault="00695AE2" w:rsidP="00980493">
            <w:pPr>
              <w:jc w:val="center"/>
              <w:rPr>
                <w:rFonts w:eastAsia="Calibri" w:cs="Calibri"/>
                <w:sz w:val="14"/>
                <w:szCs w:val="14"/>
              </w:rPr>
            </w:pPr>
          </w:p>
        </w:tc>
        <w:tc>
          <w:tcPr>
            <w:tcW w:w="429" w:type="dxa"/>
          </w:tcPr>
          <w:p w14:paraId="23289161" w14:textId="77777777" w:rsidR="00695AE2" w:rsidRPr="00503014" w:rsidRDefault="00695AE2" w:rsidP="00980493">
            <w:pPr>
              <w:jc w:val="center"/>
              <w:rPr>
                <w:rFonts w:eastAsia="Calibri" w:cs="Calibri"/>
                <w:sz w:val="14"/>
                <w:szCs w:val="14"/>
              </w:rPr>
            </w:pPr>
          </w:p>
        </w:tc>
        <w:tc>
          <w:tcPr>
            <w:tcW w:w="422" w:type="dxa"/>
          </w:tcPr>
          <w:p w14:paraId="665DFB18" w14:textId="77777777" w:rsidR="00695AE2" w:rsidRPr="00503014" w:rsidRDefault="00695AE2" w:rsidP="00980493">
            <w:pPr>
              <w:jc w:val="center"/>
              <w:rPr>
                <w:rFonts w:eastAsia="Calibri" w:cs="Calibri"/>
                <w:sz w:val="14"/>
                <w:szCs w:val="14"/>
              </w:rPr>
            </w:pPr>
          </w:p>
        </w:tc>
        <w:tc>
          <w:tcPr>
            <w:tcW w:w="425" w:type="dxa"/>
          </w:tcPr>
          <w:p w14:paraId="3E76C526" w14:textId="77777777" w:rsidR="00695AE2" w:rsidRPr="00503014" w:rsidRDefault="00695AE2" w:rsidP="00980493">
            <w:pPr>
              <w:jc w:val="center"/>
              <w:rPr>
                <w:rFonts w:eastAsia="Calibri" w:cs="Calibri"/>
                <w:sz w:val="14"/>
                <w:szCs w:val="14"/>
              </w:rPr>
            </w:pPr>
          </w:p>
        </w:tc>
        <w:tc>
          <w:tcPr>
            <w:tcW w:w="566" w:type="dxa"/>
          </w:tcPr>
          <w:p w14:paraId="6D761F30" w14:textId="77777777" w:rsidR="00695AE2" w:rsidRPr="00503014" w:rsidRDefault="00695AE2" w:rsidP="00980493">
            <w:pPr>
              <w:jc w:val="center"/>
              <w:rPr>
                <w:rFonts w:eastAsia="Calibri" w:cs="Calibri"/>
                <w:sz w:val="14"/>
                <w:szCs w:val="14"/>
              </w:rPr>
            </w:pPr>
            <w:r w:rsidRPr="00503014">
              <w:rPr>
                <w:rFonts w:eastAsia="Calibri" w:cs="Calibri"/>
                <w:sz w:val="14"/>
                <w:szCs w:val="14"/>
              </w:rPr>
              <w:t>8</w:t>
            </w:r>
          </w:p>
        </w:tc>
        <w:tc>
          <w:tcPr>
            <w:tcW w:w="429" w:type="dxa"/>
          </w:tcPr>
          <w:p w14:paraId="67977337" w14:textId="77777777" w:rsidR="00695AE2" w:rsidRPr="00503014" w:rsidRDefault="00695AE2" w:rsidP="00980493">
            <w:pPr>
              <w:jc w:val="center"/>
              <w:rPr>
                <w:rFonts w:eastAsia="Calibri" w:cs="Calibri"/>
                <w:sz w:val="14"/>
                <w:szCs w:val="14"/>
              </w:rPr>
            </w:pPr>
            <w:r w:rsidRPr="00503014">
              <w:rPr>
                <w:rFonts w:eastAsia="Calibri" w:cs="Calibri"/>
                <w:sz w:val="14"/>
                <w:szCs w:val="14"/>
              </w:rPr>
              <w:t>399</w:t>
            </w:r>
          </w:p>
        </w:tc>
        <w:tc>
          <w:tcPr>
            <w:tcW w:w="676" w:type="dxa"/>
          </w:tcPr>
          <w:p w14:paraId="382BEBB5" w14:textId="77777777" w:rsidR="00695AE2" w:rsidRPr="00503014" w:rsidRDefault="00695AE2" w:rsidP="00980493">
            <w:pPr>
              <w:jc w:val="center"/>
              <w:rPr>
                <w:rFonts w:eastAsia="Calibri" w:cs="Calibri"/>
                <w:sz w:val="14"/>
                <w:szCs w:val="14"/>
              </w:rPr>
            </w:pPr>
            <w:r w:rsidRPr="00503014">
              <w:rPr>
                <w:rFonts w:eastAsia="Calibri" w:cs="Calibri"/>
                <w:sz w:val="14"/>
                <w:szCs w:val="14"/>
              </w:rPr>
              <w:t>3.372</w:t>
            </w:r>
          </w:p>
        </w:tc>
        <w:tc>
          <w:tcPr>
            <w:tcW w:w="599" w:type="dxa"/>
          </w:tcPr>
          <w:p w14:paraId="07FE59B8" w14:textId="77777777" w:rsidR="00695AE2" w:rsidRPr="00503014" w:rsidRDefault="00695AE2" w:rsidP="00980493">
            <w:pPr>
              <w:jc w:val="center"/>
              <w:rPr>
                <w:rFonts w:eastAsia="Calibri" w:cs="Calibri"/>
                <w:sz w:val="14"/>
                <w:szCs w:val="14"/>
              </w:rPr>
            </w:pPr>
            <w:r w:rsidRPr="00503014">
              <w:rPr>
                <w:rFonts w:eastAsia="Calibri" w:cs="Calibri"/>
                <w:sz w:val="14"/>
                <w:szCs w:val="14"/>
              </w:rPr>
              <w:t>557</w:t>
            </w:r>
          </w:p>
        </w:tc>
        <w:tc>
          <w:tcPr>
            <w:tcW w:w="367" w:type="dxa"/>
          </w:tcPr>
          <w:p w14:paraId="43C4AEF3" w14:textId="77777777" w:rsidR="00695AE2" w:rsidRPr="00503014" w:rsidRDefault="00695AE2" w:rsidP="00980493">
            <w:pPr>
              <w:jc w:val="center"/>
              <w:rPr>
                <w:rFonts w:eastAsia="Calibri" w:cs="Calibri"/>
                <w:sz w:val="14"/>
                <w:szCs w:val="14"/>
              </w:rPr>
            </w:pPr>
            <w:r w:rsidRPr="00503014">
              <w:rPr>
                <w:rFonts w:eastAsia="Calibri" w:cs="Calibri"/>
                <w:sz w:val="14"/>
                <w:szCs w:val="14"/>
              </w:rPr>
              <w:t>18</w:t>
            </w:r>
          </w:p>
        </w:tc>
        <w:tc>
          <w:tcPr>
            <w:tcW w:w="452" w:type="dxa"/>
          </w:tcPr>
          <w:p w14:paraId="6B788893" w14:textId="77777777" w:rsidR="00695AE2" w:rsidRPr="00503014" w:rsidRDefault="00695AE2" w:rsidP="00980493">
            <w:pPr>
              <w:jc w:val="center"/>
              <w:rPr>
                <w:rFonts w:eastAsia="Calibri" w:cs="Calibri"/>
                <w:sz w:val="14"/>
                <w:szCs w:val="14"/>
              </w:rPr>
            </w:pPr>
            <w:r w:rsidRPr="00503014">
              <w:rPr>
                <w:rFonts w:eastAsia="Calibri" w:cs="Calibri"/>
                <w:sz w:val="14"/>
                <w:szCs w:val="14"/>
              </w:rPr>
              <w:t>146</w:t>
            </w:r>
          </w:p>
        </w:tc>
        <w:tc>
          <w:tcPr>
            <w:tcW w:w="416" w:type="dxa"/>
          </w:tcPr>
          <w:p w14:paraId="0A1C699D" w14:textId="77777777" w:rsidR="00695AE2" w:rsidRPr="00503014" w:rsidRDefault="00695AE2" w:rsidP="00980493">
            <w:pPr>
              <w:jc w:val="center"/>
              <w:rPr>
                <w:rFonts w:eastAsia="Calibri" w:cs="Calibri"/>
                <w:sz w:val="14"/>
                <w:szCs w:val="14"/>
              </w:rPr>
            </w:pPr>
          </w:p>
        </w:tc>
        <w:tc>
          <w:tcPr>
            <w:tcW w:w="416" w:type="dxa"/>
          </w:tcPr>
          <w:p w14:paraId="7F0C6966" w14:textId="77777777" w:rsidR="00695AE2" w:rsidRPr="00503014" w:rsidRDefault="00695AE2" w:rsidP="00980493">
            <w:pPr>
              <w:jc w:val="center"/>
              <w:rPr>
                <w:rFonts w:eastAsia="Calibri" w:cs="Calibri"/>
                <w:sz w:val="14"/>
                <w:szCs w:val="14"/>
              </w:rPr>
            </w:pPr>
          </w:p>
        </w:tc>
        <w:tc>
          <w:tcPr>
            <w:tcW w:w="452" w:type="dxa"/>
          </w:tcPr>
          <w:p w14:paraId="1A346531" w14:textId="77777777" w:rsidR="00695AE2" w:rsidRPr="00503014" w:rsidRDefault="00695AE2" w:rsidP="00980493">
            <w:pPr>
              <w:jc w:val="center"/>
              <w:rPr>
                <w:rFonts w:eastAsia="Calibri" w:cs="Calibri"/>
                <w:sz w:val="14"/>
                <w:szCs w:val="14"/>
              </w:rPr>
            </w:pPr>
          </w:p>
        </w:tc>
        <w:tc>
          <w:tcPr>
            <w:tcW w:w="416" w:type="dxa"/>
          </w:tcPr>
          <w:p w14:paraId="671ADB72" w14:textId="77777777" w:rsidR="00695AE2" w:rsidRPr="00503014" w:rsidRDefault="00695AE2" w:rsidP="00980493">
            <w:pPr>
              <w:jc w:val="center"/>
              <w:rPr>
                <w:rFonts w:eastAsia="Calibri" w:cs="Calibri"/>
                <w:sz w:val="14"/>
                <w:szCs w:val="14"/>
              </w:rPr>
            </w:pPr>
          </w:p>
        </w:tc>
        <w:tc>
          <w:tcPr>
            <w:tcW w:w="452" w:type="dxa"/>
          </w:tcPr>
          <w:p w14:paraId="0C618BAB" w14:textId="77777777" w:rsidR="00695AE2" w:rsidRPr="00503014" w:rsidRDefault="00695AE2" w:rsidP="00980493">
            <w:pPr>
              <w:jc w:val="center"/>
              <w:rPr>
                <w:rFonts w:eastAsia="Calibri" w:cs="Calibri"/>
                <w:sz w:val="14"/>
                <w:szCs w:val="14"/>
              </w:rPr>
            </w:pPr>
          </w:p>
        </w:tc>
        <w:tc>
          <w:tcPr>
            <w:tcW w:w="416" w:type="dxa"/>
          </w:tcPr>
          <w:p w14:paraId="1537DE24" w14:textId="77777777" w:rsidR="00695AE2" w:rsidRPr="00503014" w:rsidRDefault="00695AE2" w:rsidP="00980493">
            <w:pPr>
              <w:jc w:val="center"/>
              <w:rPr>
                <w:rFonts w:eastAsia="Calibri" w:cs="Calibri"/>
                <w:sz w:val="14"/>
                <w:szCs w:val="14"/>
              </w:rPr>
            </w:pPr>
          </w:p>
        </w:tc>
        <w:tc>
          <w:tcPr>
            <w:tcW w:w="647" w:type="dxa"/>
          </w:tcPr>
          <w:p w14:paraId="1B51B557" w14:textId="77777777" w:rsidR="00695AE2" w:rsidRPr="00503014" w:rsidRDefault="00695AE2" w:rsidP="00980493">
            <w:pPr>
              <w:jc w:val="center"/>
              <w:rPr>
                <w:rFonts w:eastAsia="Calibri" w:cs="Calibri"/>
                <w:sz w:val="14"/>
                <w:szCs w:val="14"/>
              </w:rPr>
            </w:pPr>
          </w:p>
        </w:tc>
        <w:tc>
          <w:tcPr>
            <w:tcW w:w="328" w:type="dxa"/>
          </w:tcPr>
          <w:p w14:paraId="28A68F2B" w14:textId="77777777" w:rsidR="00695AE2" w:rsidRPr="00503014" w:rsidRDefault="00695AE2" w:rsidP="00980493">
            <w:pPr>
              <w:jc w:val="center"/>
              <w:rPr>
                <w:rFonts w:eastAsia="Calibri" w:cs="Calibri"/>
                <w:sz w:val="14"/>
                <w:szCs w:val="14"/>
              </w:rPr>
            </w:pPr>
          </w:p>
        </w:tc>
        <w:tc>
          <w:tcPr>
            <w:tcW w:w="540" w:type="dxa"/>
          </w:tcPr>
          <w:p w14:paraId="18CF1FD1" w14:textId="77777777" w:rsidR="00695AE2" w:rsidRPr="00503014" w:rsidRDefault="00695AE2" w:rsidP="00980493">
            <w:pPr>
              <w:jc w:val="center"/>
              <w:rPr>
                <w:rFonts w:eastAsia="Calibri" w:cs="Calibri"/>
                <w:sz w:val="14"/>
                <w:szCs w:val="14"/>
              </w:rPr>
            </w:pPr>
          </w:p>
        </w:tc>
      </w:tr>
      <w:tr w:rsidR="00695AE2" w:rsidRPr="00503014" w14:paraId="1D24D9F4" w14:textId="77777777" w:rsidTr="00980493">
        <w:trPr>
          <w:trHeight w:val="185"/>
        </w:trPr>
        <w:tc>
          <w:tcPr>
            <w:tcW w:w="1244" w:type="dxa"/>
          </w:tcPr>
          <w:p w14:paraId="0B34883F" w14:textId="77777777" w:rsidR="00695AE2" w:rsidRPr="00503014" w:rsidRDefault="00695AE2" w:rsidP="00980493">
            <w:pPr>
              <w:rPr>
                <w:rFonts w:eastAsia="Calibri" w:cs="Calibri"/>
                <w:sz w:val="14"/>
                <w:szCs w:val="14"/>
              </w:rPr>
            </w:pPr>
            <w:r w:rsidRPr="00503014">
              <w:rPr>
                <w:rFonts w:eastAsia="Calibri" w:cs="Calibri"/>
                <w:sz w:val="14"/>
                <w:szCs w:val="14"/>
              </w:rPr>
              <w:t>Postopki zaradi insolventnosti in postopki prisilnega prenehanja</w:t>
            </w:r>
          </w:p>
        </w:tc>
        <w:tc>
          <w:tcPr>
            <w:tcW w:w="284" w:type="dxa"/>
          </w:tcPr>
          <w:p w14:paraId="795B80F8" w14:textId="77777777" w:rsidR="00695AE2" w:rsidRPr="00503014" w:rsidRDefault="00695AE2" w:rsidP="00980493">
            <w:pPr>
              <w:jc w:val="center"/>
              <w:rPr>
                <w:rFonts w:eastAsia="Calibri" w:cs="Calibri"/>
                <w:sz w:val="14"/>
                <w:szCs w:val="14"/>
              </w:rPr>
            </w:pPr>
          </w:p>
        </w:tc>
        <w:tc>
          <w:tcPr>
            <w:tcW w:w="567" w:type="dxa"/>
          </w:tcPr>
          <w:p w14:paraId="466FB11D" w14:textId="77777777" w:rsidR="00695AE2" w:rsidRPr="00503014" w:rsidRDefault="00695AE2" w:rsidP="00980493">
            <w:pPr>
              <w:jc w:val="center"/>
              <w:rPr>
                <w:rFonts w:eastAsia="Calibri" w:cs="Calibri"/>
                <w:sz w:val="14"/>
                <w:szCs w:val="14"/>
              </w:rPr>
            </w:pPr>
          </w:p>
        </w:tc>
        <w:tc>
          <w:tcPr>
            <w:tcW w:w="567" w:type="dxa"/>
          </w:tcPr>
          <w:p w14:paraId="45EA8BAA" w14:textId="77777777" w:rsidR="00695AE2" w:rsidRPr="00503014" w:rsidRDefault="00695AE2" w:rsidP="00980493">
            <w:pPr>
              <w:jc w:val="center"/>
              <w:rPr>
                <w:rFonts w:eastAsia="Calibri" w:cs="Calibri"/>
                <w:sz w:val="14"/>
                <w:szCs w:val="14"/>
              </w:rPr>
            </w:pPr>
            <w:r w:rsidRPr="00503014">
              <w:rPr>
                <w:rFonts w:eastAsia="Calibri" w:cs="Calibri"/>
                <w:sz w:val="14"/>
                <w:szCs w:val="14"/>
              </w:rPr>
              <w:t>3.009</w:t>
            </w:r>
          </w:p>
        </w:tc>
        <w:tc>
          <w:tcPr>
            <w:tcW w:w="455" w:type="dxa"/>
          </w:tcPr>
          <w:p w14:paraId="51FCC256" w14:textId="77777777" w:rsidR="00695AE2" w:rsidRPr="00503014" w:rsidRDefault="00695AE2" w:rsidP="00980493">
            <w:pPr>
              <w:jc w:val="center"/>
              <w:rPr>
                <w:rFonts w:eastAsia="Calibri" w:cs="Calibri"/>
                <w:sz w:val="14"/>
                <w:szCs w:val="14"/>
              </w:rPr>
            </w:pPr>
            <w:r w:rsidRPr="00503014">
              <w:rPr>
                <w:rFonts w:eastAsia="Calibri" w:cs="Calibri"/>
                <w:sz w:val="14"/>
                <w:szCs w:val="14"/>
              </w:rPr>
              <w:t>3</w:t>
            </w:r>
          </w:p>
        </w:tc>
        <w:tc>
          <w:tcPr>
            <w:tcW w:w="429" w:type="dxa"/>
          </w:tcPr>
          <w:p w14:paraId="68B84551" w14:textId="77777777" w:rsidR="00695AE2" w:rsidRPr="00503014" w:rsidRDefault="00695AE2" w:rsidP="00980493">
            <w:pPr>
              <w:jc w:val="center"/>
              <w:rPr>
                <w:rFonts w:eastAsia="Calibri" w:cs="Calibri"/>
                <w:sz w:val="14"/>
                <w:szCs w:val="14"/>
              </w:rPr>
            </w:pPr>
            <w:r w:rsidRPr="00503014">
              <w:rPr>
                <w:rFonts w:eastAsia="Calibri" w:cs="Calibri"/>
                <w:sz w:val="14"/>
                <w:szCs w:val="14"/>
              </w:rPr>
              <w:t>55</w:t>
            </w:r>
          </w:p>
        </w:tc>
        <w:tc>
          <w:tcPr>
            <w:tcW w:w="422" w:type="dxa"/>
          </w:tcPr>
          <w:p w14:paraId="004819BC" w14:textId="77777777" w:rsidR="00695AE2" w:rsidRPr="00503014" w:rsidRDefault="00695AE2" w:rsidP="00980493">
            <w:pPr>
              <w:jc w:val="center"/>
              <w:rPr>
                <w:rFonts w:eastAsia="Calibri" w:cs="Calibri"/>
                <w:sz w:val="14"/>
                <w:szCs w:val="14"/>
              </w:rPr>
            </w:pPr>
          </w:p>
        </w:tc>
        <w:tc>
          <w:tcPr>
            <w:tcW w:w="425" w:type="dxa"/>
          </w:tcPr>
          <w:p w14:paraId="690FE496" w14:textId="77777777" w:rsidR="00695AE2" w:rsidRPr="00503014" w:rsidRDefault="00695AE2" w:rsidP="00980493">
            <w:pPr>
              <w:jc w:val="center"/>
              <w:rPr>
                <w:rFonts w:eastAsia="Calibri" w:cs="Calibri"/>
                <w:sz w:val="14"/>
                <w:szCs w:val="14"/>
              </w:rPr>
            </w:pPr>
          </w:p>
        </w:tc>
        <w:tc>
          <w:tcPr>
            <w:tcW w:w="566" w:type="dxa"/>
          </w:tcPr>
          <w:p w14:paraId="21C13D8A" w14:textId="77777777" w:rsidR="00695AE2" w:rsidRPr="00503014" w:rsidRDefault="00695AE2" w:rsidP="00980493">
            <w:pPr>
              <w:jc w:val="center"/>
              <w:rPr>
                <w:rFonts w:eastAsia="Calibri" w:cs="Calibri"/>
                <w:sz w:val="14"/>
                <w:szCs w:val="14"/>
              </w:rPr>
            </w:pPr>
          </w:p>
        </w:tc>
        <w:tc>
          <w:tcPr>
            <w:tcW w:w="429" w:type="dxa"/>
          </w:tcPr>
          <w:p w14:paraId="0D62A057" w14:textId="77777777" w:rsidR="00695AE2" w:rsidRPr="00503014" w:rsidRDefault="00695AE2" w:rsidP="00980493">
            <w:pPr>
              <w:jc w:val="center"/>
              <w:rPr>
                <w:rFonts w:eastAsia="Calibri" w:cs="Calibri"/>
                <w:sz w:val="14"/>
                <w:szCs w:val="14"/>
              </w:rPr>
            </w:pPr>
          </w:p>
        </w:tc>
        <w:tc>
          <w:tcPr>
            <w:tcW w:w="676" w:type="dxa"/>
          </w:tcPr>
          <w:p w14:paraId="1BADEED7" w14:textId="77777777" w:rsidR="00695AE2" w:rsidRPr="00503014" w:rsidRDefault="00695AE2" w:rsidP="00980493">
            <w:pPr>
              <w:jc w:val="center"/>
              <w:rPr>
                <w:rFonts w:eastAsia="Calibri" w:cs="Calibri"/>
                <w:sz w:val="14"/>
                <w:szCs w:val="14"/>
              </w:rPr>
            </w:pPr>
          </w:p>
        </w:tc>
        <w:tc>
          <w:tcPr>
            <w:tcW w:w="599" w:type="dxa"/>
          </w:tcPr>
          <w:p w14:paraId="7AB081A6" w14:textId="77777777" w:rsidR="00695AE2" w:rsidRPr="00503014" w:rsidRDefault="00695AE2" w:rsidP="00980493">
            <w:pPr>
              <w:jc w:val="center"/>
              <w:rPr>
                <w:rFonts w:eastAsia="Calibri" w:cs="Calibri"/>
                <w:sz w:val="14"/>
                <w:szCs w:val="14"/>
              </w:rPr>
            </w:pPr>
          </w:p>
        </w:tc>
        <w:tc>
          <w:tcPr>
            <w:tcW w:w="367" w:type="dxa"/>
          </w:tcPr>
          <w:p w14:paraId="606AAB73" w14:textId="77777777" w:rsidR="00695AE2" w:rsidRPr="00503014" w:rsidRDefault="00695AE2" w:rsidP="00980493">
            <w:pPr>
              <w:jc w:val="center"/>
              <w:rPr>
                <w:rFonts w:eastAsia="Calibri" w:cs="Calibri"/>
                <w:sz w:val="14"/>
                <w:szCs w:val="14"/>
              </w:rPr>
            </w:pPr>
          </w:p>
        </w:tc>
        <w:tc>
          <w:tcPr>
            <w:tcW w:w="452" w:type="dxa"/>
          </w:tcPr>
          <w:p w14:paraId="77403536" w14:textId="77777777" w:rsidR="00695AE2" w:rsidRPr="00503014" w:rsidRDefault="00695AE2" w:rsidP="00980493">
            <w:pPr>
              <w:jc w:val="center"/>
              <w:rPr>
                <w:rFonts w:eastAsia="Calibri" w:cs="Calibri"/>
                <w:sz w:val="14"/>
                <w:szCs w:val="14"/>
              </w:rPr>
            </w:pPr>
          </w:p>
        </w:tc>
        <w:tc>
          <w:tcPr>
            <w:tcW w:w="416" w:type="dxa"/>
          </w:tcPr>
          <w:p w14:paraId="75466208"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16" w:type="dxa"/>
          </w:tcPr>
          <w:p w14:paraId="282BD235" w14:textId="77777777" w:rsidR="00695AE2" w:rsidRPr="00503014" w:rsidRDefault="00695AE2" w:rsidP="00980493">
            <w:pPr>
              <w:jc w:val="center"/>
              <w:rPr>
                <w:rFonts w:eastAsia="Calibri" w:cs="Calibri"/>
                <w:sz w:val="14"/>
                <w:szCs w:val="14"/>
              </w:rPr>
            </w:pPr>
          </w:p>
        </w:tc>
        <w:tc>
          <w:tcPr>
            <w:tcW w:w="452" w:type="dxa"/>
          </w:tcPr>
          <w:p w14:paraId="342BF420" w14:textId="77777777" w:rsidR="00695AE2" w:rsidRPr="00503014" w:rsidRDefault="00695AE2" w:rsidP="00980493">
            <w:pPr>
              <w:jc w:val="center"/>
              <w:rPr>
                <w:rFonts w:eastAsia="Calibri" w:cs="Calibri"/>
                <w:sz w:val="14"/>
                <w:szCs w:val="14"/>
              </w:rPr>
            </w:pPr>
          </w:p>
        </w:tc>
        <w:tc>
          <w:tcPr>
            <w:tcW w:w="416" w:type="dxa"/>
          </w:tcPr>
          <w:p w14:paraId="1541444C" w14:textId="77777777" w:rsidR="00695AE2" w:rsidRPr="00503014" w:rsidRDefault="00695AE2" w:rsidP="00980493">
            <w:pPr>
              <w:jc w:val="center"/>
              <w:rPr>
                <w:rFonts w:eastAsia="Calibri" w:cs="Calibri"/>
                <w:sz w:val="14"/>
                <w:szCs w:val="14"/>
              </w:rPr>
            </w:pPr>
          </w:p>
        </w:tc>
        <w:tc>
          <w:tcPr>
            <w:tcW w:w="452" w:type="dxa"/>
          </w:tcPr>
          <w:p w14:paraId="03E5D4D4" w14:textId="77777777" w:rsidR="00695AE2" w:rsidRPr="00503014" w:rsidRDefault="00695AE2" w:rsidP="00980493">
            <w:pPr>
              <w:jc w:val="center"/>
              <w:rPr>
                <w:rFonts w:eastAsia="Calibri" w:cs="Calibri"/>
                <w:sz w:val="14"/>
                <w:szCs w:val="14"/>
              </w:rPr>
            </w:pPr>
          </w:p>
        </w:tc>
        <w:tc>
          <w:tcPr>
            <w:tcW w:w="416" w:type="dxa"/>
          </w:tcPr>
          <w:p w14:paraId="23228BDB" w14:textId="77777777" w:rsidR="00695AE2" w:rsidRPr="00503014" w:rsidRDefault="00695AE2" w:rsidP="00980493">
            <w:pPr>
              <w:jc w:val="center"/>
              <w:rPr>
                <w:rFonts w:eastAsia="Calibri" w:cs="Calibri"/>
                <w:sz w:val="14"/>
                <w:szCs w:val="14"/>
              </w:rPr>
            </w:pPr>
          </w:p>
        </w:tc>
        <w:tc>
          <w:tcPr>
            <w:tcW w:w="647" w:type="dxa"/>
          </w:tcPr>
          <w:p w14:paraId="7F5C04EE" w14:textId="77777777" w:rsidR="00695AE2" w:rsidRPr="00503014" w:rsidRDefault="00695AE2" w:rsidP="00980493">
            <w:pPr>
              <w:jc w:val="center"/>
              <w:rPr>
                <w:rFonts w:eastAsia="Calibri" w:cs="Calibri"/>
                <w:sz w:val="14"/>
                <w:szCs w:val="14"/>
              </w:rPr>
            </w:pPr>
          </w:p>
        </w:tc>
        <w:tc>
          <w:tcPr>
            <w:tcW w:w="328" w:type="dxa"/>
          </w:tcPr>
          <w:p w14:paraId="08361D65" w14:textId="77777777" w:rsidR="00695AE2" w:rsidRPr="00503014" w:rsidRDefault="00695AE2" w:rsidP="00980493">
            <w:pPr>
              <w:jc w:val="center"/>
              <w:rPr>
                <w:rFonts w:eastAsia="Calibri" w:cs="Calibri"/>
                <w:sz w:val="14"/>
                <w:szCs w:val="14"/>
              </w:rPr>
            </w:pPr>
          </w:p>
        </w:tc>
        <w:tc>
          <w:tcPr>
            <w:tcW w:w="540" w:type="dxa"/>
          </w:tcPr>
          <w:p w14:paraId="1F1253C8" w14:textId="77777777" w:rsidR="00695AE2" w:rsidRPr="00503014" w:rsidRDefault="00695AE2" w:rsidP="00980493">
            <w:pPr>
              <w:jc w:val="center"/>
              <w:rPr>
                <w:rFonts w:eastAsia="Calibri" w:cs="Calibri"/>
                <w:sz w:val="14"/>
                <w:szCs w:val="14"/>
              </w:rPr>
            </w:pPr>
          </w:p>
        </w:tc>
      </w:tr>
      <w:tr w:rsidR="00695AE2" w:rsidRPr="00503014" w14:paraId="5B3D79C0" w14:textId="77777777" w:rsidTr="00980493">
        <w:trPr>
          <w:trHeight w:val="185"/>
        </w:trPr>
        <w:tc>
          <w:tcPr>
            <w:tcW w:w="1244" w:type="dxa"/>
          </w:tcPr>
          <w:p w14:paraId="29CA2542" w14:textId="77777777" w:rsidR="00695AE2" w:rsidRPr="00503014" w:rsidRDefault="00695AE2" w:rsidP="00980493">
            <w:pPr>
              <w:rPr>
                <w:rFonts w:eastAsia="Calibri" w:cs="Calibri"/>
                <w:sz w:val="14"/>
                <w:szCs w:val="14"/>
              </w:rPr>
            </w:pPr>
            <w:r w:rsidRPr="00503014">
              <w:rPr>
                <w:rFonts w:eastAsia="Calibri" w:cs="Calibri"/>
                <w:sz w:val="14"/>
                <w:szCs w:val="14"/>
              </w:rPr>
              <w:t>Nepravdni postopki</w:t>
            </w:r>
          </w:p>
        </w:tc>
        <w:tc>
          <w:tcPr>
            <w:tcW w:w="284" w:type="dxa"/>
          </w:tcPr>
          <w:p w14:paraId="4B04109E" w14:textId="77777777" w:rsidR="00695AE2" w:rsidRPr="00503014" w:rsidRDefault="00695AE2" w:rsidP="00980493">
            <w:pPr>
              <w:jc w:val="center"/>
              <w:rPr>
                <w:rFonts w:eastAsia="Calibri" w:cs="Calibri"/>
                <w:sz w:val="14"/>
                <w:szCs w:val="14"/>
              </w:rPr>
            </w:pPr>
          </w:p>
        </w:tc>
        <w:tc>
          <w:tcPr>
            <w:tcW w:w="567" w:type="dxa"/>
          </w:tcPr>
          <w:p w14:paraId="75FE6DB7" w14:textId="77777777" w:rsidR="00695AE2" w:rsidRPr="00503014" w:rsidRDefault="00695AE2" w:rsidP="00980493">
            <w:pPr>
              <w:jc w:val="center"/>
              <w:rPr>
                <w:rFonts w:eastAsia="Calibri" w:cs="Calibri"/>
                <w:sz w:val="14"/>
                <w:szCs w:val="14"/>
              </w:rPr>
            </w:pPr>
            <w:r w:rsidRPr="00503014">
              <w:rPr>
                <w:rFonts w:eastAsia="Calibri" w:cs="Calibri"/>
                <w:sz w:val="14"/>
                <w:szCs w:val="14"/>
              </w:rPr>
              <w:t>18</w:t>
            </w:r>
          </w:p>
        </w:tc>
        <w:tc>
          <w:tcPr>
            <w:tcW w:w="567" w:type="dxa"/>
          </w:tcPr>
          <w:p w14:paraId="3CC3EA09" w14:textId="77777777" w:rsidR="00695AE2" w:rsidRPr="00503014" w:rsidRDefault="00695AE2" w:rsidP="00980493">
            <w:pPr>
              <w:jc w:val="center"/>
              <w:rPr>
                <w:rFonts w:eastAsia="Calibri" w:cs="Calibri"/>
                <w:sz w:val="14"/>
                <w:szCs w:val="14"/>
              </w:rPr>
            </w:pPr>
          </w:p>
        </w:tc>
        <w:tc>
          <w:tcPr>
            <w:tcW w:w="455" w:type="dxa"/>
          </w:tcPr>
          <w:p w14:paraId="42F62C1E" w14:textId="77777777" w:rsidR="00695AE2" w:rsidRPr="00503014" w:rsidRDefault="00695AE2" w:rsidP="00980493">
            <w:pPr>
              <w:jc w:val="center"/>
              <w:rPr>
                <w:rFonts w:eastAsia="Calibri" w:cs="Calibri"/>
                <w:sz w:val="14"/>
                <w:szCs w:val="14"/>
              </w:rPr>
            </w:pPr>
          </w:p>
        </w:tc>
        <w:tc>
          <w:tcPr>
            <w:tcW w:w="429" w:type="dxa"/>
          </w:tcPr>
          <w:p w14:paraId="7907545C" w14:textId="77777777" w:rsidR="00695AE2" w:rsidRPr="00503014" w:rsidRDefault="00695AE2" w:rsidP="00980493">
            <w:pPr>
              <w:jc w:val="center"/>
              <w:rPr>
                <w:rFonts w:eastAsia="Calibri" w:cs="Calibri"/>
                <w:sz w:val="14"/>
                <w:szCs w:val="14"/>
              </w:rPr>
            </w:pPr>
            <w:r w:rsidRPr="00503014">
              <w:rPr>
                <w:rFonts w:eastAsia="Calibri" w:cs="Calibri"/>
                <w:sz w:val="14"/>
                <w:szCs w:val="14"/>
              </w:rPr>
              <w:t>229</w:t>
            </w:r>
          </w:p>
        </w:tc>
        <w:tc>
          <w:tcPr>
            <w:tcW w:w="422" w:type="dxa"/>
          </w:tcPr>
          <w:p w14:paraId="293C48FB" w14:textId="77777777" w:rsidR="00695AE2" w:rsidRPr="00503014" w:rsidRDefault="00695AE2" w:rsidP="00980493">
            <w:pPr>
              <w:jc w:val="center"/>
              <w:rPr>
                <w:rFonts w:eastAsia="Calibri" w:cs="Calibri"/>
                <w:sz w:val="14"/>
                <w:szCs w:val="14"/>
              </w:rPr>
            </w:pPr>
          </w:p>
        </w:tc>
        <w:tc>
          <w:tcPr>
            <w:tcW w:w="425" w:type="dxa"/>
          </w:tcPr>
          <w:p w14:paraId="08C88CE5" w14:textId="77777777" w:rsidR="00695AE2" w:rsidRPr="00503014" w:rsidRDefault="00695AE2" w:rsidP="00980493">
            <w:pPr>
              <w:jc w:val="center"/>
              <w:rPr>
                <w:rFonts w:eastAsia="Calibri" w:cs="Calibri"/>
                <w:sz w:val="14"/>
                <w:szCs w:val="14"/>
              </w:rPr>
            </w:pPr>
          </w:p>
        </w:tc>
        <w:tc>
          <w:tcPr>
            <w:tcW w:w="566" w:type="dxa"/>
          </w:tcPr>
          <w:p w14:paraId="10D1DA27" w14:textId="77777777" w:rsidR="00695AE2" w:rsidRPr="00503014" w:rsidRDefault="00695AE2" w:rsidP="00980493">
            <w:pPr>
              <w:jc w:val="center"/>
              <w:rPr>
                <w:rFonts w:eastAsia="Calibri" w:cs="Calibri"/>
                <w:sz w:val="14"/>
                <w:szCs w:val="14"/>
              </w:rPr>
            </w:pPr>
          </w:p>
        </w:tc>
        <w:tc>
          <w:tcPr>
            <w:tcW w:w="429" w:type="dxa"/>
          </w:tcPr>
          <w:p w14:paraId="5DAABD0B" w14:textId="77777777" w:rsidR="00695AE2" w:rsidRPr="00503014" w:rsidRDefault="00695AE2" w:rsidP="00980493">
            <w:pPr>
              <w:jc w:val="center"/>
              <w:rPr>
                <w:rFonts w:eastAsia="Calibri" w:cs="Calibri"/>
                <w:sz w:val="14"/>
                <w:szCs w:val="14"/>
              </w:rPr>
            </w:pPr>
          </w:p>
        </w:tc>
        <w:tc>
          <w:tcPr>
            <w:tcW w:w="676" w:type="dxa"/>
          </w:tcPr>
          <w:p w14:paraId="7A2335A5" w14:textId="77777777" w:rsidR="00695AE2" w:rsidRPr="00503014" w:rsidRDefault="00695AE2" w:rsidP="00980493">
            <w:pPr>
              <w:jc w:val="center"/>
              <w:rPr>
                <w:rFonts w:eastAsia="Calibri" w:cs="Calibri"/>
                <w:sz w:val="14"/>
                <w:szCs w:val="14"/>
              </w:rPr>
            </w:pPr>
            <w:r w:rsidRPr="00503014">
              <w:rPr>
                <w:rFonts w:eastAsia="Calibri" w:cs="Calibri"/>
                <w:sz w:val="14"/>
                <w:szCs w:val="14"/>
              </w:rPr>
              <w:t>10.101</w:t>
            </w:r>
          </w:p>
        </w:tc>
        <w:tc>
          <w:tcPr>
            <w:tcW w:w="599" w:type="dxa"/>
          </w:tcPr>
          <w:p w14:paraId="33CDF54D" w14:textId="77777777" w:rsidR="00695AE2" w:rsidRPr="00503014" w:rsidRDefault="00695AE2" w:rsidP="00980493">
            <w:pPr>
              <w:jc w:val="center"/>
              <w:rPr>
                <w:rFonts w:eastAsia="Calibri" w:cs="Calibri"/>
                <w:sz w:val="14"/>
                <w:szCs w:val="14"/>
              </w:rPr>
            </w:pPr>
          </w:p>
        </w:tc>
        <w:tc>
          <w:tcPr>
            <w:tcW w:w="367" w:type="dxa"/>
          </w:tcPr>
          <w:p w14:paraId="7F485646" w14:textId="77777777" w:rsidR="00695AE2" w:rsidRPr="00503014" w:rsidRDefault="00695AE2" w:rsidP="00980493">
            <w:pPr>
              <w:jc w:val="center"/>
              <w:rPr>
                <w:rFonts w:eastAsia="Calibri" w:cs="Calibri"/>
                <w:sz w:val="14"/>
                <w:szCs w:val="14"/>
              </w:rPr>
            </w:pPr>
          </w:p>
        </w:tc>
        <w:tc>
          <w:tcPr>
            <w:tcW w:w="452" w:type="dxa"/>
          </w:tcPr>
          <w:p w14:paraId="1522AA54" w14:textId="77777777" w:rsidR="00695AE2" w:rsidRPr="00503014" w:rsidRDefault="00695AE2" w:rsidP="00980493">
            <w:pPr>
              <w:jc w:val="center"/>
              <w:rPr>
                <w:rFonts w:eastAsia="Calibri" w:cs="Calibri"/>
                <w:sz w:val="14"/>
                <w:szCs w:val="14"/>
              </w:rPr>
            </w:pPr>
          </w:p>
        </w:tc>
        <w:tc>
          <w:tcPr>
            <w:tcW w:w="416" w:type="dxa"/>
          </w:tcPr>
          <w:p w14:paraId="6DED0565" w14:textId="77777777" w:rsidR="00695AE2" w:rsidRPr="00503014" w:rsidRDefault="00695AE2" w:rsidP="00980493">
            <w:pPr>
              <w:jc w:val="center"/>
              <w:rPr>
                <w:rFonts w:eastAsia="Calibri" w:cs="Calibri"/>
                <w:sz w:val="14"/>
                <w:szCs w:val="14"/>
              </w:rPr>
            </w:pPr>
            <w:r w:rsidRPr="00503014">
              <w:rPr>
                <w:rFonts w:eastAsia="Calibri" w:cs="Calibri"/>
                <w:sz w:val="14"/>
                <w:szCs w:val="14"/>
              </w:rPr>
              <w:t>16</w:t>
            </w:r>
          </w:p>
        </w:tc>
        <w:tc>
          <w:tcPr>
            <w:tcW w:w="416" w:type="dxa"/>
          </w:tcPr>
          <w:p w14:paraId="38F4EC54" w14:textId="77777777" w:rsidR="00695AE2" w:rsidRPr="00503014" w:rsidRDefault="00695AE2" w:rsidP="00980493">
            <w:pPr>
              <w:jc w:val="center"/>
              <w:rPr>
                <w:rFonts w:eastAsia="Calibri" w:cs="Calibri"/>
                <w:sz w:val="14"/>
                <w:szCs w:val="14"/>
              </w:rPr>
            </w:pPr>
            <w:r w:rsidRPr="00503014">
              <w:rPr>
                <w:rFonts w:eastAsia="Calibri" w:cs="Calibri"/>
                <w:sz w:val="14"/>
                <w:szCs w:val="14"/>
              </w:rPr>
              <w:t>85</w:t>
            </w:r>
          </w:p>
        </w:tc>
        <w:tc>
          <w:tcPr>
            <w:tcW w:w="452" w:type="dxa"/>
          </w:tcPr>
          <w:p w14:paraId="271B1714" w14:textId="77777777" w:rsidR="00695AE2" w:rsidRPr="00503014" w:rsidRDefault="00695AE2" w:rsidP="00980493">
            <w:pPr>
              <w:jc w:val="center"/>
              <w:rPr>
                <w:rFonts w:eastAsia="Calibri" w:cs="Calibri"/>
                <w:sz w:val="14"/>
                <w:szCs w:val="14"/>
              </w:rPr>
            </w:pPr>
          </w:p>
        </w:tc>
        <w:tc>
          <w:tcPr>
            <w:tcW w:w="416" w:type="dxa"/>
          </w:tcPr>
          <w:p w14:paraId="55511575" w14:textId="77777777" w:rsidR="00695AE2" w:rsidRPr="00503014" w:rsidRDefault="00695AE2" w:rsidP="00980493">
            <w:pPr>
              <w:jc w:val="center"/>
              <w:rPr>
                <w:rFonts w:eastAsia="Calibri" w:cs="Calibri"/>
                <w:sz w:val="14"/>
                <w:szCs w:val="14"/>
              </w:rPr>
            </w:pPr>
          </w:p>
        </w:tc>
        <w:tc>
          <w:tcPr>
            <w:tcW w:w="452" w:type="dxa"/>
          </w:tcPr>
          <w:p w14:paraId="22B11660" w14:textId="77777777" w:rsidR="00695AE2" w:rsidRPr="00503014" w:rsidRDefault="00695AE2" w:rsidP="00980493">
            <w:pPr>
              <w:jc w:val="center"/>
              <w:rPr>
                <w:rFonts w:eastAsia="Calibri" w:cs="Calibri"/>
                <w:sz w:val="14"/>
                <w:szCs w:val="14"/>
              </w:rPr>
            </w:pPr>
            <w:r w:rsidRPr="00503014">
              <w:rPr>
                <w:rFonts w:eastAsia="Calibri" w:cs="Calibri"/>
                <w:sz w:val="14"/>
                <w:szCs w:val="14"/>
              </w:rPr>
              <w:t>239</w:t>
            </w:r>
          </w:p>
        </w:tc>
        <w:tc>
          <w:tcPr>
            <w:tcW w:w="416" w:type="dxa"/>
          </w:tcPr>
          <w:p w14:paraId="7EB437CA" w14:textId="77777777" w:rsidR="00695AE2" w:rsidRPr="00503014" w:rsidRDefault="00695AE2" w:rsidP="00980493">
            <w:pPr>
              <w:jc w:val="center"/>
              <w:rPr>
                <w:rFonts w:eastAsia="Calibri" w:cs="Calibri"/>
                <w:sz w:val="14"/>
                <w:szCs w:val="14"/>
              </w:rPr>
            </w:pPr>
          </w:p>
        </w:tc>
        <w:tc>
          <w:tcPr>
            <w:tcW w:w="647" w:type="dxa"/>
          </w:tcPr>
          <w:p w14:paraId="62CD3532" w14:textId="77777777" w:rsidR="00695AE2" w:rsidRPr="00503014" w:rsidRDefault="00695AE2" w:rsidP="00980493">
            <w:pPr>
              <w:jc w:val="center"/>
              <w:rPr>
                <w:rFonts w:eastAsia="Calibri" w:cs="Calibri"/>
                <w:sz w:val="14"/>
                <w:szCs w:val="14"/>
              </w:rPr>
            </w:pPr>
          </w:p>
        </w:tc>
        <w:tc>
          <w:tcPr>
            <w:tcW w:w="328" w:type="dxa"/>
          </w:tcPr>
          <w:p w14:paraId="757E9FE5" w14:textId="77777777" w:rsidR="00695AE2" w:rsidRPr="00503014" w:rsidRDefault="00695AE2" w:rsidP="00980493">
            <w:pPr>
              <w:jc w:val="center"/>
              <w:rPr>
                <w:rFonts w:eastAsia="Calibri" w:cs="Calibri"/>
                <w:sz w:val="14"/>
                <w:szCs w:val="14"/>
              </w:rPr>
            </w:pPr>
          </w:p>
        </w:tc>
        <w:tc>
          <w:tcPr>
            <w:tcW w:w="540" w:type="dxa"/>
          </w:tcPr>
          <w:p w14:paraId="15C90124" w14:textId="77777777" w:rsidR="00695AE2" w:rsidRPr="00503014" w:rsidRDefault="00695AE2" w:rsidP="00980493">
            <w:pPr>
              <w:jc w:val="center"/>
              <w:rPr>
                <w:rFonts w:eastAsia="Calibri" w:cs="Calibri"/>
                <w:sz w:val="14"/>
                <w:szCs w:val="14"/>
              </w:rPr>
            </w:pPr>
          </w:p>
        </w:tc>
      </w:tr>
      <w:tr w:rsidR="00695AE2" w:rsidRPr="00503014" w14:paraId="2DA6905D" w14:textId="77777777" w:rsidTr="00980493">
        <w:trPr>
          <w:trHeight w:val="185"/>
        </w:trPr>
        <w:tc>
          <w:tcPr>
            <w:tcW w:w="1244" w:type="dxa"/>
          </w:tcPr>
          <w:p w14:paraId="60749304" w14:textId="77777777" w:rsidR="00695AE2" w:rsidRPr="00503014" w:rsidRDefault="00695AE2" w:rsidP="00980493">
            <w:pPr>
              <w:rPr>
                <w:rFonts w:eastAsia="Calibri" w:cs="Calibri"/>
                <w:sz w:val="14"/>
                <w:szCs w:val="14"/>
              </w:rPr>
            </w:pPr>
            <w:r w:rsidRPr="00503014">
              <w:rPr>
                <w:rFonts w:eastAsia="Calibri" w:cs="Calibri"/>
                <w:sz w:val="14"/>
                <w:szCs w:val="14"/>
              </w:rPr>
              <w:t>Postopki razlastitev</w:t>
            </w:r>
          </w:p>
        </w:tc>
        <w:tc>
          <w:tcPr>
            <w:tcW w:w="284" w:type="dxa"/>
          </w:tcPr>
          <w:p w14:paraId="7338D93E" w14:textId="77777777" w:rsidR="00695AE2" w:rsidRPr="00503014" w:rsidRDefault="00695AE2" w:rsidP="00980493">
            <w:pPr>
              <w:jc w:val="center"/>
              <w:rPr>
                <w:rFonts w:eastAsia="Calibri" w:cs="Calibri"/>
                <w:sz w:val="14"/>
                <w:szCs w:val="14"/>
              </w:rPr>
            </w:pPr>
          </w:p>
        </w:tc>
        <w:tc>
          <w:tcPr>
            <w:tcW w:w="567" w:type="dxa"/>
          </w:tcPr>
          <w:p w14:paraId="66F302BA" w14:textId="77777777" w:rsidR="00695AE2" w:rsidRPr="00503014" w:rsidRDefault="00695AE2" w:rsidP="00980493">
            <w:pPr>
              <w:jc w:val="center"/>
              <w:rPr>
                <w:rFonts w:eastAsia="Calibri" w:cs="Calibri"/>
                <w:sz w:val="14"/>
                <w:szCs w:val="14"/>
              </w:rPr>
            </w:pPr>
          </w:p>
        </w:tc>
        <w:tc>
          <w:tcPr>
            <w:tcW w:w="567" w:type="dxa"/>
          </w:tcPr>
          <w:p w14:paraId="13BC864B" w14:textId="77777777" w:rsidR="00695AE2" w:rsidRPr="00503014" w:rsidRDefault="00695AE2" w:rsidP="00980493">
            <w:pPr>
              <w:jc w:val="center"/>
              <w:rPr>
                <w:rFonts w:eastAsia="Calibri" w:cs="Calibri"/>
                <w:sz w:val="14"/>
                <w:szCs w:val="14"/>
              </w:rPr>
            </w:pPr>
          </w:p>
        </w:tc>
        <w:tc>
          <w:tcPr>
            <w:tcW w:w="455" w:type="dxa"/>
          </w:tcPr>
          <w:p w14:paraId="4278B43A" w14:textId="77777777" w:rsidR="00695AE2" w:rsidRPr="00503014" w:rsidRDefault="00695AE2" w:rsidP="00980493">
            <w:pPr>
              <w:jc w:val="center"/>
              <w:rPr>
                <w:rFonts w:eastAsia="Calibri" w:cs="Calibri"/>
                <w:sz w:val="14"/>
                <w:szCs w:val="14"/>
              </w:rPr>
            </w:pPr>
          </w:p>
        </w:tc>
        <w:tc>
          <w:tcPr>
            <w:tcW w:w="429" w:type="dxa"/>
          </w:tcPr>
          <w:p w14:paraId="2BA6EBC4" w14:textId="77777777" w:rsidR="00695AE2" w:rsidRPr="00503014" w:rsidRDefault="00695AE2" w:rsidP="00980493">
            <w:pPr>
              <w:jc w:val="center"/>
              <w:rPr>
                <w:rFonts w:eastAsia="Calibri" w:cs="Calibri"/>
                <w:sz w:val="14"/>
                <w:szCs w:val="14"/>
              </w:rPr>
            </w:pPr>
          </w:p>
        </w:tc>
        <w:tc>
          <w:tcPr>
            <w:tcW w:w="422" w:type="dxa"/>
          </w:tcPr>
          <w:p w14:paraId="3DAF77C0" w14:textId="77777777" w:rsidR="00695AE2" w:rsidRPr="00503014" w:rsidRDefault="00695AE2" w:rsidP="00980493">
            <w:pPr>
              <w:jc w:val="center"/>
              <w:rPr>
                <w:rFonts w:eastAsia="Calibri" w:cs="Calibri"/>
                <w:sz w:val="14"/>
                <w:szCs w:val="14"/>
              </w:rPr>
            </w:pPr>
          </w:p>
        </w:tc>
        <w:tc>
          <w:tcPr>
            <w:tcW w:w="425" w:type="dxa"/>
          </w:tcPr>
          <w:p w14:paraId="0F91C769" w14:textId="77777777" w:rsidR="00695AE2" w:rsidRPr="00503014" w:rsidRDefault="00695AE2" w:rsidP="00980493">
            <w:pPr>
              <w:jc w:val="center"/>
              <w:rPr>
                <w:rFonts w:eastAsia="Calibri" w:cs="Calibri"/>
                <w:sz w:val="14"/>
                <w:szCs w:val="14"/>
              </w:rPr>
            </w:pPr>
          </w:p>
        </w:tc>
        <w:tc>
          <w:tcPr>
            <w:tcW w:w="566" w:type="dxa"/>
          </w:tcPr>
          <w:p w14:paraId="669BC5A2" w14:textId="77777777" w:rsidR="00695AE2" w:rsidRPr="00503014" w:rsidRDefault="00695AE2" w:rsidP="00980493">
            <w:pPr>
              <w:jc w:val="center"/>
              <w:rPr>
                <w:rFonts w:eastAsia="Calibri" w:cs="Calibri"/>
                <w:sz w:val="14"/>
                <w:szCs w:val="14"/>
              </w:rPr>
            </w:pPr>
          </w:p>
        </w:tc>
        <w:tc>
          <w:tcPr>
            <w:tcW w:w="429" w:type="dxa"/>
          </w:tcPr>
          <w:p w14:paraId="00F9C46D" w14:textId="77777777" w:rsidR="00695AE2" w:rsidRPr="00503014" w:rsidRDefault="00695AE2" w:rsidP="00980493">
            <w:pPr>
              <w:jc w:val="center"/>
              <w:rPr>
                <w:rFonts w:eastAsia="Calibri" w:cs="Calibri"/>
                <w:sz w:val="14"/>
                <w:szCs w:val="14"/>
              </w:rPr>
            </w:pPr>
          </w:p>
        </w:tc>
        <w:tc>
          <w:tcPr>
            <w:tcW w:w="676" w:type="dxa"/>
          </w:tcPr>
          <w:p w14:paraId="08F144A5" w14:textId="77777777" w:rsidR="00695AE2" w:rsidRPr="00503014" w:rsidRDefault="00695AE2" w:rsidP="00980493">
            <w:pPr>
              <w:jc w:val="center"/>
              <w:rPr>
                <w:rFonts w:eastAsia="Calibri" w:cs="Calibri"/>
                <w:sz w:val="14"/>
                <w:szCs w:val="14"/>
              </w:rPr>
            </w:pPr>
          </w:p>
        </w:tc>
        <w:tc>
          <w:tcPr>
            <w:tcW w:w="599" w:type="dxa"/>
          </w:tcPr>
          <w:p w14:paraId="2AE32684" w14:textId="77777777" w:rsidR="00695AE2" w:rsidRPr="00503014" w:rsidRDefault="00695AE2" w:rsidP="00980493">
            <w:pPr>
              <w:jc w:val="center"/>
              <w:rPr>
                <w:rFonts w:eastAsia="Calibri" w:cs="Calibri"/>
                <w:sz w:val="14"/>
                <w:szCs w:val="14"/>
              </w:rPr>
            </w:pPr>
          </w:p>
        </w:tc>
        <w:tc>
          <w:tcPr>
            <w:tcW w:w="367" w:type="dxa"/>
          </w:tcPr>
          <w:p w14:paraId="67495A40" w14:textId="77777777" w:rsidR="00695AE2" w:rsidRPr="00503014" w:rsidRDefault="00695AE2" w:rsidP="00980493">
            <w:pPr>
              <w:jc w:val="center"/>
              <w:rPr>
                <w:rFonts w:eastAsia="Calibri" w:cs="Calibri"/>
                <w:sz w:val="14"/>
                <w:szCs w:val="14"/>
              </w:rPr>
            </w:pPr>
          </w:p>
        </w:tc>
        <w:tc>
          <w:tcPr>
            <w:tcW w:w="452" w:type="dxa"/>
          </w:tcPr>
          <w:p w14:paraId="0418259A" w14:textId="77777777" w:rsidR="00695AE2" w:rsidRPr="00503014" w:rsidRDefault="00695AE2" w:rsidP="00980493">
            <w:pPr>
              <w:jc w:val="center"/>
              <w:rPr>
                <w:rFonts w:eastAsia="Calibri" w:cs="Calibri"/>
                <w:sz w:val="14"/>
                <w:szCs w:val="14"/>
              </w:rPr>
            </w:pPr>
          </w:p>
        </w:tc>
        <w:tc>
          <w:tcPr>
            <w:tcW w:w="416" w:type="dxa"/>
          </w:tcPr>
          <w:p w14:paraId="2D6746BC" w14:textId="77777777" w:rsidR="00695AE2" w:rsidRPr="00503014" w:rsidRDefault="00695AE2" w:rsidP="00980493">
            <w:pPr>
              <w:jc w:val="center"/>
              <w:rPr>
                <w:rFonts w:eastAsia="Calibri" w:cs="Calibri"/>
                <w:sz w:val="14"/>
                <w:szCs w:val="14"/>
              </w:rPr>
            </w:pPr>
          </w:p>
        </w:tc>
        <w:tc>
          <w:tcPr>
            <w:tcW w:w="416" w:type="dxa"/>
          </w:tcPr>
          <w:p w14:paraId="6E116034" w14:textId="77777777" w:rsidR="00695AE2" w:rsidRPr="00503014" w:rsidRDefault="00695AE2" w:rsidP="00980493">
            <w:pPr>
              <w:jc w:val="center"/>
              <w:rPr>
                <w:rFonts w:eastAsia="Calibri" w:cs="Calibri"/>
                <w:sz w:val="14"/>
                <w:szCs w:val="14"/>
              </w:rPr>
            </w:pPr>
            <w:r w:rsidRPr="00503014">
              <w:rPr>
                <w:rFonts w:eastAsia="Calibri" w:cs="Calibri"/>
                <w:sz w:val="14"/>
                <w:szCs w:val="14"/>
              </w:rPr>
              <w:t>5</w:t>
            </w:r>
          </w:p>
        </w:tc>
        <w:tc>
          <w:tcPr>
            <w:tcW w:w="452" w:type="dxa"/>
          </w:tcPr>
          <w:p w14:paraId="2BA496CA" w14:textId="77777777" w:rsidR="00695AE2" w:rsidRPr="00503014" w:rsidRDefault="00695AE2" w:rsidP="00980493">
            <w:pPr>
              <w:jc w:val="center"/>
              <w:rPr>
                <w:rFonts w:eastAsia="Calibri" w:cs="Calibri"/>
                <w:sz w:val="14"/>
                <w:szCs w:val="14"/>
              </w:rPr>
            </w:pPr>
            <w:r w:rsidRPr="00503014">
              <w:rPr>
                <w:rFonts w:eastAsia="Calibri" w:cs="Calibri"/>
                <w:sz w:val="14"/>
                <w:szCs w:val="14"/>
              </w:rPr>
              <w:t>796</w:t>
            </w:r>
          </w:p>
        </w:tc>
        <w:tc>
          <w:tcPr>
            <w:tcW w:w="416" w:type="dxa"/>
          </w:tcPr>
          <w:p w14:paraId="64398C70" w14:textId="77777777" w:rsidR="00695AE2" w:rsidRPr="00503014" w:rsidRDefault="00695AE2" w:rsidP="00980493">
            <w:pPr>
              <w:jc w:val="center"/>
              <w:rPr>
                <w:rFonts w:eastAsia="Calibri" w:cs="Calibri"/>
                <w:sz w:val="14"/>
                <w:szCs w:val="14"/>
              </w:rPr>
            </w:pPr>
            <w:r w:rsidRPr="00503014">
              <w:rPr>
                <w:rFonts w:eastAsia="Calibri" w:cs="Calibri"/>
                <w:sz w:val="14"/>
                <w:szCs w:val="14"/>
              </w:rPr>
              <w:t>52</w:t>
            </w:r>
          </w:p>
        </w:tc>
        <w:tc>
          <w:tcPr>
            <w:tcW w:w="452" w:type="dxa"/>
          </w:tcPr>
          <w:p w14:paraId="0ECD825A" w14:textId="77777777" w:rsidR="00695AE2" w:rsidRPr="00503014" w:rsidRDefault="00695AE2" w:rsidP="00980493">
            <w:pPr>
              <w:jc w:val="center"/>
              <w:rPr>
                <w:rFonts w:eastAsia="Calibri" w:cs="Calibri"/>
                <w:sz w:val="14"/>
                <w:szCs w:val="14"/>
              </w:rPr>
            </w:pPr>
          </w:p>
        </w:tc>
        <w:tc>
          <w:tcPr>
            <w:tcW w:w="416" w:type="dxa"/>
          </w:tcPr>
          <w:p w14:paraId="7D0E6C1E" w14:textId="77777777" w:rsidR="00695AE2" w:rsidRPr="00503014" w:rsidRDefault="00695AE2" w:rsidP="00980493">
            <w:pPr>
              <w:jc w:val="center"/>
              <w:rPr>
                <w:rFonts w:eastAsia="Calibri" w:cs="Calibri"/>
                <w:sz w:val="14"/>
                <w:szCs w:val="14"/>
              </w:rPr>
            </w:pPr>
          </w:p>
        </w:tc>
        <w:tc>
          <w:tcPr>
            <w:tcW w:w="647" w:type="dxa"/>
          </w:tcPr>
          <w:p w14:paraId="2D56A84C" w14:textId="77777777" w:rsidR="00695AE2" w:rsidRPr="00503014" w:rsidRDefault="00695AE2" w:rsidP="00980493">
            <w:pPr>
              <w:jc w:val="center"/>
              <w:rPr>
                <w:rFonts w:eastAsia="Calibri" w:cs="Calibri"/>
                <w:sz w:val="14"/>
                <w:szCs w:val="14"/>
              </w:rPr>
            </w:pPr>
          </w:p>
        </w:tc>
        <w:tc>
          <w:tcPr>
            <w:tcW w:w="328" w:type="dxa"/>
          </w:tcPr>
          <w:p w14:paraId="70832693" w14:textId="77777777" w:rsidR="00695AE2" w:rsidRPr="00503014" w:rsidRDefault="00695AE2" w:rsidP="00980493">
            <w:pPr>
              <w:jc w:val="center"/>
              <w:rPr>
                <w:rFonts w:eastAsia="Calibri" w:cs="Calibri"/>
                <w:sz w:val="14"/>
                <w:szCs w:val="14"/>
              </w:rPr>
            </w:pPr>
          </w:p>
        </w:tc>
        <w:tc>
          <w:tcPr>
            <w:tcW w:w="540" w:type="dxa"/>
          </w:tcPr>
          <w:p w14:paraId="726BD3BB" w14:textId="77777777" w:rsidR="00695AE2" w:rsidRPr="00503014" w:rsidRDefault="00695AE2" w:rsidP="00980493">
            <w:pPr>
              <w:jc w:val="center"/>
              <w:rPr>
                <w:rFonts w:eastAsia="Calibri" w:cs="Calibri"/>
                <w:sz w:val="14"/>
                <w:szCs w:val="14"/>
              </w:rPr>
            </w:pPr>
          </w:p>
        </w:tc>
      </w:tr>
      <w:tr w:rsidR="00695AE2" w:rsidRPr="00503014" w14:paraId="26546196" w14:textId="77777777" w:rsidTr="00980493">
        <w:trPr>
          <w:trHeight w:val="185"/>
        </w:trPr>
        <w:tc>
          <w:tcPr>
            <w:tcW w:w="1244" w:type="dxa"/>
          </w:tcPr>
          <w:p w14:paraId="69FD1B1F" w14:textId="77777777" w:rsidR="00695AE2" w:rsidRPr="00503014" w:rsidRDefault="00695AE2" w:rsidP="00980493">
            <w:pPr>
              <w:rPr>
                <w:rFonts w:eastAsia="Calibri" w:cs="Calibri"/>
                <w:sz w:val="14"/>
                <w:szCs w:val="14"/>
              </w:rPr>
            </w:pPr>
            <w:r w:rsidRPr="00503014">
              <w:rPr>
                <w:rFonts w:eastAsia="Calibri" w:cs="Calibri"/>
                <w:sz w:val="14"/>
                <w:szCs w:val="14"/>
              </w:rPr>
              <w:t>Upravne zadeve</w:t>
            </w:r>
          </w:p>
        </w:tc>
        <w:tc>
          <w:tcPr>
            <w:tcW w:w="284" w:type="dxa"/>
          </w:tcPr>
          <w:p w14:paraId="2E065E36" w14:textId="77777777" w:rsidR="00695AE2" w:rsidRPr="00503014" w:rsidRDefault="00695AE2" w:rsidP="00980493">
            <w:pPr>
              <w:jc w:val="center"/>
              <w:rPr>
                <w:rFonts w:eastAsia="Calibri" w:cs="Calibri"/>
                <w:sz w:val="14"/>
                <w:szCs w:val="14"/>
              </w:rPr>
            </w:pPr>
          </w:p>
        </w:tc>
        <w:tc>
          <w:tcPr>
            <w:tcW w:w="567" w:type="dxa"/>
          </w:tcPr>
          <w:p w14:paraId="45591150" w14:textId="77777777" w:rsidR="00695AE2" w:rsidRPr="00503014" w:rsidRDefault="00695AE2" w:rsidP="00980493">
            <w:pPr>
              <w:jc w:val="center"/>
              <w:rPr>
                <w:rFonts w:eastAsia="Calibri" w:cs="Calibri"/>
                <w:sz w:val="14"/>
                <w:szCs w:val="14"/>
              </w:rPr>
            </w:pPr>
          </w:p>
        </w:tc>
        <w:tc>
          <w:tcPr>
            <w:tcW w:w="567" w:type="dxa"/>
          </w:tcPr>
          <w:p w14:paraId="04F9FFC9" w14:textId="77777777" w:rsidR="00695AE2" w:rsidRPr="00503014" w:rsidRDefault="00695AE2" w:rsidP="00980493">
            <w:pPr>
              <w:jc w:val="center"/>
              <w:rPr>
                <w:rFonts w:eastAsia="Calibri" w:cs="Calibri"/>
                <w:sz w:val="14"/>
                <w:szCs w:val="14"/>
              </w:rPr>
            </w:pPr>
            <w:r w:rsidRPr="00503014">
              <w:rPr>
                <w:rFonts w:eastAsia="Calibri" w:cs="Calibri"/>
                <w:sz w:val="14"/>
                <w:szCs w:val="14"/>
              </w:rPr>
              <w:t>79</w:t>
            </w:r>
          </w:p>
        </w:tc>
        <w:tc>
          <w:tcPr>
            <w:tcW w:w="455" w:type="dxa"/>
          </w:tcPr>
          <w:p w14:paraId="05D66DB5" w14:textId="77777777" w:rsidR="00695AE2" w:rsidRPr="00503014" w:rsidRDefault="00695AE2" w:rsidP="00980493">
            <w:pPr>
              <w:jc w:val="center"/>
              <w:rPr>
                <w:rFonts w:eastAsia="Calibri" w:cs="Calibri"/>
                <w:sz w:val="14"/>
                <w:szCs w:val="14"/>
              </w:rPr>
            </w:pPr>
            <w:r w:rsidRPr="00503014">
              <w:rPr>
                <w:rFonts w:eastAsia="Calibri" w:cs="Calibri"/>
                <w:sz w:val="14"/>
                <w:szCs w:val="14"/>
              </w:rPr>
              <w:t>27</w:t>
            </w:r>
          </w:p>
        </w:tc>
        <w:tc>
          <w:tcPr>
            <w:tcW w:w="429" w:type="dxa"/>
          </w:tcPr>
          <w:p w14:paraId="0E3B6843" w14:textId="77777777" w:rsidR="00695AE2" w:rsidRPr="00503014" w:rsidRDefault="00695AE2" w:rsidP="00980493">
            <w:pPr>
              <w:jc w:val="center"/>
              <w:rPr>
                <w:rFonts w:eastAsia="Calibri" w:cs="Calibri"/>
                <w:sz w:val="14"/>
                <w:szCs w:val="14"/>
              </w:rPr>
            </w:pPr>
            <w:r w:rsidRPr="00503014">
              <w:rPr>
                <w:rFonts w:eastAsia="Calibri" w:cs="Calibri"/>
                <w:sz w:val="14"/>
                <w:szCs w:val="14"/>
              </w:rPr>
              <w:t>4</w:t>
            </w:r>
          </w:p>
        </w:tc>
        <w:tc>
          <w:tcPr>
            <w:tcW w:w="422" w:type="dxa"/>
          </w:tcPr>
          <w:p w14:paraId="181B8BF6" w14:textId="77777777" w:rsidR="00695AE2" w:rsidRPr="00503014" w:rsidRDefault="00695AE2" w:rsidP="00980493">
            <w:pPr>
              <w:jc w:val="center"/>
              <w:rPr>
                <w:rFonts w:eastAsia="Calibri" w:cs="Calibri"/>
                <w:sz w:val="14"/>
                <w:szCs w:val="14"/>
              </w:rPr>
            </w:pPr>
          </w:p>
        </w:tc>
        <w:tc>
          <w:tcPr>
            <w:tcW w:w="425" w:type="dxa"/>
          </w:tcPr>
          <w:p w14:paraId="73D529FD" w14:textId="77777777" w:rsidR="00695AE2" w:rsidRPr="00503014" w:rsidRDefault="00695AE2" w:rsidP="00980493">
            <w:pPr>
              <w:jc w:val="center"/>
              <w:rPr>
                <w:rFonts w:eastAsia="Calibri" w:cs="Calibri"/>
                <w:sz w:val="14"/>
                <w:szCs w:val="14"/>
              </w:rPr>
            </w:pPr>
          </w:p>
        </w:tc>
        <w:tc>
          <w:tcPr>
            <w:tcW w:w="566" w:type="dxa"/>
          </w:tcPr>
          <w:p w14:paraId="53B8D601" w14:textId="77777777" w:rsidR="00695AE2" w:rsidRPr="00503014" w:rsidRDefault="00695AE2" w:rsidP="00980493">
            <w:pPr>
              <w:jc w:val="center"/>
              <w:rPr>
                <w:rFonts w:eastAsia="Calibri" w:cs="Calibri"/>
                <w:sz w:val="14"/>
                <w:szCs w:val="14"/>
              </w:rPr>
            </w:pPr>
          </w:p>
        </w:tc>
        <w:tc>
          <w:tcPr>
            <w:tcW w:w="429" w:type="dxa"/>
          </w:tcPr>
          <w:p w14:paraId="74F6D162" w14:textId="77777777" w:rsidR="00695AE2" w:rsidRPr="00503014" w:rsidRDefault="00695AE2" w:rsidP="00980493">
            <w:pPr>
              <w:jc w:val="center"/>
              <w:rPr>
                <w:rFonts w:eastAsia="Calibri" w:cs="Calibri"/>
                <w:sz w:val="14"/>
                <w:szCs w:val="14"/>
              </w:rPr>
            </w:pPr>
          </w:p>
        </w:tc>
        <w:tc>
          <w:tcPr>
            <w:tcW w:w="676" w:type="dxa"/>
          </w:tcPr>
          <w:p w14:paraId="3BCB8175" w14:textId="77777777" w:rsidR="00695AE2" w:rsidRPr="00503014" w:rsidRDefault="00695AE2" w:rsidP="00980493">
            <w:pPr>
              <w:jc w:val="center"/>
              <w:rPr>
                <w:rFonts w:eastAsia="Calibri" w:cs="Calibri"/>
                <w:sz w:val="14"/>
                <w:szCs w:val="14"/>
              </w:rPr>
            </w:pPr>
          </w:p>
        </w:tc>
        <w:tc>
          <w:tcPr>
            <w:tcW w:w="599" w:type="dxa"/>
          </w:tcPr>
          <w:p w14:paraId="09322BDE" w14:textId="77777777" w:rsidR="00695AE2" w:rsidRPr="00503014" w:rsidRDefault="00695AE2" w:rsidP="00980493">
            <w:pPr>
              <w:jc w:val="center"/>
              <w:rPr>
                <w:rFonts w:eastAsia="Calibri" w:cs="Calibri"/>
                <w:sz w:val="14"/>
                <w:szCs w:val="14"/>
              </w:rPr>
            </w:pPr>
          </w:p>
        </w:tc>
        <w:tc>
          <w:tcPr>
            <w:tcW w:w="367" w:type="dxa"/>
          </w:tcPr>
          <w:p w14:paraId="64C98643" w14:textId="77777777" w:rsidR="00695AE2" w:rsidRPr="00503014" w:rsidRDefault="00695AE2" w:rsidP="00980493">
            <w:pPr>
              <w:jc w:val="center"/>
              <w:rPr>
                <w:rFonts w:eastAsia="Calibri" w:cs="Calibri"/>
                <w:sz w:val="14"/>
                <w:szCs w:val="14"/>
              </w:rPr>
            </w:pPr>
          </w:p>
        </w:tc>
        <w:tc>
          <w:tcPr>
            <w:tcW w:w="452" w:type="dxa"/>
          </w:tcPr>
          <w:p w14:paraId="2230B566" w14:textId="77777777" w:rsidR="00695AE2" w:rsidRPr="00503014" w:rsidRDefault="00695AE2" w:rsidP="00980493">
            <w:pPr>
              <w:jc w:val="center"/>
              <w:rPr>
                <w:rFonts w:eastAsia="Calibri" w:cs="Calibri"/>
                <w:sz w:val="14"/>
                <w:szCs w:val="14"/>
              </w:rPr>
            </w:pPr>
          </w:p>
        </w:tc>
        <w:tc>
          <w:tcPr>
            <w:tcW w:w="416" w:type="dxa"/>
          </w:tcPr>
          <w:p w14:paraId="41ABC39A" w14:textId="77777777" w:rsidR="00695AE2" w:rsidRPr="00503014" w:rsidRDefault="00695AE2" w:rsidP="00980493">
            <w:pPr>
              <w:jc w:val="center"/>
              <w:rPr>
                <w:rFonts w:eastAsia="Calibri" w:cs="Calibri"/>
                <w:sz w:val="14"/>
                <w:szCs w:val="14"/>
              </w:rPr>
            </w:pPr>
          </w:p>
        </w:tc>
        <w:tc>
          <w:tcPr>
            <w:tcW w:w="416" w:type="dxa"/>
          </w:tcPr>
          <w:p w14:paraId="757BB19A" w14:textId="77777777" w:rsidR="00695AE2" w:rsidRPr="00503014" w:rsidRDefault="00695AE2" w:rsidP="00980493">
            <w:pPr>
              <w:jc w:val="center"/>
              <w:rPr>
                <w:rFonts w:eastAsia="Calibri" w:cs="Calibri"/>
                <w:sz w:val="14"/>
                <w:szCs w:val="14"/>
              </w:rPr>
            </w:pPr>
            <w:r w:rsidRPr="00503014">
              <w:rPr>
                <w:rFonts w:eastAsia="Calibri" w:cs="Calibri"/>
                <w:sz w:val="14"/>
                <w:szCs w:val="14"/>
              </w:rPr>
              <w:t>12</w:t>
            </w:r>
          </w:p>
        </w:tc>
        <w:tc>
          <w:tcPr>
            <w:tcW w:w="452" w:type="dxa"/>
          </w:tcPr>
          <w:p w14:paraId="255945CD" w14:textId="77777777" w:rsidR="00695AE2" w:rsidRPr="00503014" w:rsidRDefault="00695AE2" w:rsidP="00980493">
            <w:pPr>
              <w:jc w:val="center"/>
              <w:rPr>
                <w:rFonts w:eastAsia="Calibri" w:cs="Calibri"/>
                <w:sz w:val="14"/>
                <w:szCs w:val="14"/>
              </w:rPr>
            </w:pPr>
          </w:p>
        </w:tc>
        <w:tc>
          <w:tcPr>
            <w:tcW w:w="416" w:type="dxa"/>
          </w:tcPr>
          <w:p w14:paraId="6CD78FD4" w14:textId="77777777" w:rsidR="00695AE2" w:rsidRPr="00503014" w:rsidRDefault="00695AE2" w:rsidP="00980493">
            <w:pPr>
              <w:jc w:val="center"/>
              <w:rPr>
                <w:rFonts w:eastAsia="Calibri" w:cs="Calibri"/>
                <w:sz w:val="14"/>
                <w:szCs w:val="14"/>
              </w:rPr>
            </w:pPr>
          </w:p>
        </w:tc>
        <w:tc>
          <w:tcPr>
            <w:tcW w:w="452" w:type="dxa"/>
          </w:tcPr>
          <w:p w14:paraId="24B5A75C" w14:textId="77777777" w:rsidR="00695AE2" w:rsidRPr="00503014" w:rsidRDefault="00695AE2" w:rsidP="00980493">
            <w:pPr>
              <w:jc w:val="center"/>
              <w:rPr>
                <w:rFonts w:eastAsia="Calibri" w:cs="Calibri"/>
                <w:sz w:val="14"/>
                <w:szCs w:val="14"/>
              </w:rPr>
            </w:pPr>
          </w:p>
        </w:tc>
        <w:tc>
          <w:tcPr>
            <w:tcW w:w="416" w:type="dxa"/>
          </w:tcPr>
          <w:p w14:paraId="67E24B43" w14:textId="77777777" w:rsidR="00695AE2" w:rsidRPr="00503014" w:rsidRDefault="00695AE2" w:rsidP="00980493">
            <w:pPr>
              <w:jc w:val="center"/>
              <w:rPr>
                <w:rFonts w:eastAsia="Calibri" w:cs="Calibri"/>
                <w:sz w:val="14"/>
                <w:szCs w:val="14"/>
              </w:rPr>
            </w:pPr>
            <w:r w:rsidRPr="00503014">
              <w:rPr>
                <w:rFonts w:eastAsia="Calibri" w:cs="Calibri"/>
                <w:sz w:val="14"/>
                <w:szCs w:val="14"/>
              </w:rPr>
              <w:t>17</w:t>
            </w:r>
          </w:p>
        </w:tc>
        <w:tc>
          <w:tcPr>
            <w:tcW w:w="647" w:type="dxa"/>
          </w:tcPr>
          <w:p w14:paraId="6F6E372F" w14:textId="77777777" w:rsidR="00695AE2" w:rsidRPr="00503014" w:rsidRDefault="00695AE2" w:rsidP="00980493">
            <w:pPr>
              <w:jc w:val="center"/>
              <w:rPr>
                <w:rFonts w:eastAsia="Calibri" w:cs="Calibri"/>
                <w:sz w:val="14"/>
                <w:szCs w:val="14"/>
              </w:rPr>
            </w:pPr>
            <w:r w:rsidRPr="00503014">
              <w:rPr>
                <w:rFonts w:eastAsia="Calibri" w:cs="Calibri"/>
                <w:sz w:val="14"/>
                <w:szCs w:val="14"/>
              </w:rPr>
              <w:t>16.992</w:t>
            </w:r>
          </w:p>
        </w:tc>
        <w:tc>
          <w:tcPr>
            <w:tcW w:w="328" w:type="dxa"/>
          </w:tcPr>
          <w:p w14:paraId="7247EADA" w14:textId="77777777" w:rsidR="00695AE2" w:rsidRPr="00503014" w:rsidRDefault="00695AE2" w:rsidP="00980493">
            <w:pPr>
              <w:jc w:val="center"/>
              <w:rPr>
                <w:rFonts w:eastAsia="Calibri" w:cs="Calibri"/>
                <w:sz w:val="14"/>
                <w:szCs w:val="14"/>
              </w:rPr>
            </w:pPr>
          </w:p>
        </w:tc>
        <w:tc>
          <w:tcPr>
            <w:tcW w:w="540" w:type="dxa"/>
          </w:tcPr>
          <w:p w14:paraId="4C0992DF" w14:textId="77777777" w:rsidR="00695AE2" w:rsidRPr="00503014" w:rsidRDefault="00695AE2" w:rsidP="00980493">
            <w:pPr>
              <w:jc w:val="center"/>
              <w:rPr>
                <w:rFonts w:eastAsia="Calibri" w:cs="Calibri"/>
                <w:sz w:val="14"/>
                <w:szCs w:val="14"/>
              </w:rPr>
            </w:pPr>
            <w:r w:rsidRPr="00503014">
              <w:rPr>
                <w:rFonts w:eastAsia="Calibri" w:cs="Calibri"/>
                <w:sz w:val="14"/>
                <w:szCs w:val="14"/>
              </w:rPr>
              <w:t>828</w:t>
            </w:r>
          </w:p>
        </w:tc>
      </w:tr>
      <w:tr w:rsidR="00695AE2" w:rsidRPr="00503014" w14:paraId="1CFF1634" w14:textId="77777777" w:rsidTr="00980493">
        <w:trPr>
          <w:trHeight w:val="185"/>
        </w:trPr>
        <w:tc>
          <w:tcPr>
            <w:tcW w:w="1244" w:type="dxa"/>
          </w:tcPr>
          <w:p w14:paraId="0E30728A" w14:textId="77777777" w:rsidR="00695AE2" w:rsidRPr="00503014" w:rsidRDefault="00695AE2" w:rsidP="00980493">
            <w:pPr>
              <w:rPr>
                <w:rFonts w:eastAsia="Calibri" w:cs="Calibri"/>
                <w:sz w:val="14"/>
                <w:szCs w:val="14"/>
              </w:rPr>
            </w:pPr>
            <w:r w:rsidRPr="00503014">
              <w:rPr>
                <w:rFonts w:eastAsia="Calibri" w:cs="Calibri"/>
                <w:sz w:val="14"/>
                <w:szCs w:val="14"/>
              </w:rPr>
              <w:t>Postopki po ZDen</w:t>
            </w:r>
          </w:p>
        </w:tc>
        <w:tc>
          <w:tcPr>
            <w:tcW w:w="284" w:type="dxa"/>
          </w:tcPr>
          <w:p w14:paraId="73A6D0B3" w14:textId="77777777" w:rsidR="00695AE2" w:rsidRPr="00503014" w:rsidRDefault="00695AE2" w:rsidP="00980493">
            <w:pPr>
              <w:jc w:val="center"/>
              <w:rPr>
                <w:rFonts w:eastAsia="Calibri" w:cs="Calibri"/>
                <w:sz w:val="14"/>
                <w:szCs w:val="14"/>
              </w:rPr>
            </w:pPr>
          </w:p>
        </w:tc>
        <w:tc>
          <w:tcPr>
            <w:tcW w:w="567" w:type="dxa"/>
          </w:tcPr>
          <w:p w14:paraId="61A1688C" w14:textId="77777777" w:rsidR="00695AE2" w:rsidRPr="00503014" w:rsidRDefault="00695AE2" w:rsidP="00980493">
            <w:pPr>
              <w:jc w:val="center"/>
              <w:rPr>
                <w:rFonts w:eastAsia="Calibri" w:cs="Calibri"/>
                <w:sz w:val="14"/>
                <w:szCs w:val="14"/>
              </w:rPr>
            </w:pPr>
          </w:p>
        </w:tc>
        <w:tc>
          <w:tcPr>
            <w:tcW w:w="567" w:type="dxa"/>
          </w:tcPr>
          <w:p w14:paraId="0834B714" w14:textId="77777777" w:rsidR="00695AE2" w:rsidRPr="00503014" w:rsidRDefault="00695AE2" w:rsidP="00980493">
            <w:pPr>
              <w:jc w:val="center"/>
              <w:rPr>
                <w:rFonts w:eastAsia="Calibri" w:cs="Calibri"/>
                <w:sz w:val="14"/>
                <w:szCs w:val="14"/>
              </w:rPr>
            </w:pPr>
            <w:r w:rsidRPr="00503014">
              <w:rPr>
                <w:rFonts w:eastAsia="Calibri" w:cs="Calibri"/>
                <w:sz w:val="14"/>
                <w:szCs w:val="14"/>
              </w:rPr>
              <w:t>5</w:t>
            </w:r>
          </w:p>
        </w:tc>
        <w:tc>
          <w:tcPr>
            <w:tcW w:w="455" w:type="dxa"/>
          </w:tcPr>
          <w:p w14:paraId="6960232D" w14:textId="77777777" w:rsidR="00695AE2" w:rsidRPr="00503014" w:rsidRDefault="00695AE2" w:rsidP="00980493">
            <w:pPr>
              <w:jc w:val="center"/>
              <w:rPr>
                <w:rFonts w:eastAsia="Calibri" w:cs="Calibri"/>
                <w:sz w:val="14"/>
                <w:szCs w:val="14"/>
              </w:rPr>
            </w:pPr>
            <w:r w:rsidRPr="00503014">
              <w:rPr>
                <w:rFonts w:eastAsia="Calibri" w:cs="Calibri"/>
                <w:sz w:val="14"/>
                <w:szCs w:val="14"/>
              </w:rPr>
              <w:t>2</w:t>
            </w:r>
          </w:p>
        </w:tc>
        <w:tc>
          <w:tcPr>
            <w:tcW w:w="429" w:type="dxa"/>
          </w:tcPr>
          <w:p w14:paraId="283255EF" w14:textId="77777777" w:rsidR="00695AE2" w:rsidRPr="00503014" w:rsidRDefault="00695AE2" w:rsidP="00980493">
            <w:pPr>
              <w:jc w:val="center"/>
              <w:rPr>
                <w:rFonts w:eastAsia="Calibri" w:cs="Calibri"/>
                <w:sz w:val="14"/>
                <w:szCs w:val="14"/>
              </w:rPr>
            </w:pPr>
          </w:p>
        </w:tc>
        <w:tc>
          <w:tcPr>
            <w:tcW w:w="422" w:type="dxa"/>
          </w:tcPr>
          <w:p w14:paraId="2E176A79" w14:textId="77777777" w:rsidR="00695AE2" w:rsidRPr="00503014" w:rsidRDefault="00695AE2" w:rsidP="00980493">
            <w:pPr>
              <w:jc w:val="center"/>
              <w:rPr>
                <w:rFonts w:eastAsia="Calibri" w:cs="Calibri"/>
                <w:sz w:val="14"/>
                <w:szCs w:val="14"/>
              </w:rPr>
            </w:pPr>
          </w:p>
        </w:tc>
        <w:tc>
          <w:tcPr>
            <w:tcW w:w="425" w:type="dxa"/>
          </w:tcPr>
          <w:p w14:paraId="535C63B8" w14:textId="77777777" w:rsidR="00695AE2" w:rsidRPr="00503014" w:rsidRDefault="00695AE2" w:rsidP="00980493">
            <w:pPr>
              <w:jc w:val="center"/>
              <w:rPr>
                <w:rFonts w:eastAsia="Calibri" w:cs="Calibri"/>
                <w:sz w:val="14"/>
                <w:szCs w:val="14"/>
              </w:rPr>
            </w:pPr>
          </w:p>
        </w:tc>
        <w:tc>
          <w:tcPr>
            <w:tcW w:w="566" w:type="dxa"/>
          </w:tcPr>
          <w:p w14:paraId="1A6A79CA" w14:textId="77777777" w:rsidR="00695AE2" w:rsidRPr="00503014" w:rsidRDefault="00695AE2" w:rsidP="00980493">
            <w:pPr>
              <w:jc w:val="center"/>
              <w:rPr>
                <w:rFonts w:eastAsia="Calibri" w:cs="Calibri"/>
                <w:sz w:val="14"/>
                <w:szCs w:val="14"/>
              </w:rPr>
            </w:pPr>
          </w:p>
        </w:tc>
        <w:tc>
          <w:tcPr>
            <w:tcW w:w="429" w:type="dxa"/>
          </w:tcPr>
          <w:p w14:paraId="01CEFC19" w14:textId="77777777" w:rsidR="00695AE2" w:rsidRPr="00503014" w:rsidRDefault="00695AE2" w:rsidP="00980493">
            <w:pPr>
              <w:jc w:val="center"/>
              <w:rPr>
                <w:rFonts w:eastAsia="Calibri" w:cs="Calibri"/>
                <w:sz w:val="14"/>
                <w:szCs w:val="14"/>
              </w:rPr>
            </w:pPr>
          </w:p>
        </w:tc>
        <w:tc>
          <w:tcPr>
            <w:tcW w:w="676" w:type="dxa"/>
          </w:tcPr>
          <w:p w14:paraId="7CAA0A05" w14:textId="77777777" w:rsidR="00695AE2" w:rsidRPr="00503014" w:rsidRDefault="00695AE2" w:rsidP="00980493">
            <w:pPr>
              <w:jc w:val="center"/>
              <w:rPr>
                <w:rFonts w:eastAsia="Calibri" w:cs="Calibri"/>
                <w:sz w:val="14"/>
                <w:szCs w:val="14"/>
              </w:rPr>
            </w:pPr>
          </w:p>
        </w:tc>
        <w:tc>
          <w:tcPr>
            <w:tcW w:w="599" w:type="dxa"/>
          </w:tcPr>
          <w:p w14:paraId="224F51D7" w14:textId="77777777" w:rsidR="00695AE2" w:rsidRPr="00503014" w:rsidRDefault="00695AE2" w:rsidP="00980493">
            <w:pPr>
              <w:jc w:val="center"/>
              <w:rPr>
                <w:rFonts w:eastAsia="Calibri" w:cs="Calibri"/>
                <w:sz w:val="14"/>
                <w:szCs w:val="14"/>
              </w:rPr>
            </w:pPr>
          </w:p>
        </w:tc>
        <w:tc>
          <w:tcPr>
            <w:tcW w:w="367" w:type="dxa"/>
          </w:tcPr>
          <w:p w14:paraId="58035E6D" w14:textId="77777777" w:rsidR="00695AE2" w:rsidRPr="00503014" w:rsidRDefault="00695AE2" w:rsidP="00980493">
            <w:pPr>
              <w:jc w:val="center"/>
              <w:rPr>
                <w:rFonts w:eastAsia="Calibri" w:cs="Calibri"/>
                <w:sz w:val="14"/>
                <w:szCs w:val="14"/>
              </w:rPr>
            </w:pPr>
          </w:p>
        </w:tc>
        <w:tc>
          <w:tcPr>
            <w:tcW w:w="452" w:type="dxa"/>
          </w:tcPr>
          <w:p w14:paraId="144A53B7" w14:textId="77777777" w:rsidR="00695AE2" w:rsidRPr="00503014" w:rsidRDefault="00695AE2" w:rsidP="00980493">
            <w:pPr>
              <w:jc w:val="center"/>
              <w:rPr>
                <w:rFonts w:eastAsia="Calibri" w:cs="Calibri"/>
                <w:sz w:val="14"/>
                <w:szCs w:val="14"/>
              </w:rPr>
            </w:pPr>
          </w:p>
        </w:tc>
        <w:tc>
          <w:tcPr>
            <w:tcW w:w="416" w:type="dxa"/>
          </w:tcPr>
          <w:p w14:paraId="027A5E57" w14:textId="77777777" w:rsidR="00695AE2" w:rsidRPr="00503014" w:rsidRDefault="00695AE2" w:rsidP="00980493">
            <w:pPr>
              <w:jc w:val="center"/>
              <w:rPr>
                <w:rFonts w:eastAsia="Calibri" w:cs="Calibri"/>
                <w:sz w:val="14"/>
                <w:szCs w:val="14"/>
              </w:rPr>
            </w:pPr>
          </w:p>
        </w:tc>
        <w:tc>
          <w:tcPr>
            <w:tcW w:w="416" w:type="dxa"/>
          </w:tcPr>
          <w:p w14:paraId="2B81CE54" w14:textId="77777777" w:rsidR="00695AE2" w:rsidRPr="00503014" w:rsidRDefault="00695AE2" w:rsidP="00980493">
            <w:pPr>
              <w:jc w:val="center"/>
              <w:rPr>
                <w:rFonts w:eastAsia="Calibri" w:cs="Calibri"/>
                <w:sz w:val="14"/>
                <w:szCs w:val="14"/>
              </w:rPr>
            </w:pPr>
          </w:p>
        </w:tc>
        <w:tc>
          <w:tcPr>
            <w:tcW w:w="452" w:type="dxa"/>
          </w:tcPr>
          <w:p w14:paraId="2DD53221" w14:textId="77777777" w:rsidR="00695AE2" w:rsidRPr="00503014" w:rsidRDefault="00695AE2" w:rsidP="00980493">
            <w:pPr>
              <w:jc w:val="center"/>
              <w:rPr>
                <w:rFonts w:eastAsia="Calibri" w:cs="Calibri"/>
                <w:sz w:val="14"/>
                <w:szCs w:val="14"/>
              </w:rPr>
            </w:pPr>
          </w:p>
        </w:tc>
        <w:tc>
          <w:tcPr>
            <w:tcW w:w="416" w:type="dxa"/>
          </w:tcPr>
          <w:p w14:paraId="66F0DCA6" w14:textId="77777777" w:rsidR="00695AE2" w:rsidRPr="00503014" w:rsidRDefault="00695AE2" w:rsidP="00980493">
            <w:pPr>
              <w:jc w:val="center"/>
              <w:rPr>
                <w:rFonts w:eastAsia="Calibri" w:cs="Calibri"/>
                <w:sz w:val="14"/>
                <w:szCs w:val="14"/>
              </w:rPr>
            </w:pPr>
          </w:p>
        </w:tc>
        <w:tc>
          <w:tcPr>
            <w:tcW w:w="452" w:type="dxa"/>
          </w:tcPr>
          <w:p w14:paraId="414DC324" w14:textId="77777777" w:rsidR="00695AE2" w:rsidRPr="00503014" w:rsidRDefault="00695AE2" w:rsidP="00980493">
            <w:pPr>
              <w:jc w:val="center"/>
              <w:rPr>
                <w:rFonts w:eastAsia="Calibri" w:cs="Calibri"/>
                <w:sz w:val="14"/>
                <w:szCs w:val="14"/>
              </w:rPr>
            </w:pPr>
          </w:p>
        </w:tc>
        <w:tc>
          <w:tcPr>
            <w:tcW w:w="416" w:type="dxa"/>
          </w:tcPr>
          <w:p w14:paraId="5F441910" w14:textId="77777777" w:rsidR="00695AE2" w:rsidRPr="00503014" w:rsidRDefault="00695AE2" w:rsidP="00980493">
            <w:pPr>
              <w:jc w:val="center"/>
              <w:rPr>
                <w:rFonts w:eastAsia="Calibri" w:cs="Calibri"/>
                <w:sz w:val="14"/>
                <w:szCs w:val="14"/>
              </w:rPr>
            </w:pPr>
          </w:p>
        </w:tc>
        <w:tc>
          <w:tcPr>
            <w:tcW w:w="647" w:type="dxa"/>
          </w:tcPr>
          <w:p w14:paraId="5282649C" w14:textId="77777777" w:rsidR="00695AE2" w:rsidRPr="00503014" w:rsidRDefault="00695AE2" w:rsidP="00980493">
            <w:pPr>
              <w:jc w:val="center"/>
              <w:rPr>
                <w:rFonts w:eastAsia="Calibri" w:cs="Calibri"/>
                <w:sz w:val="14"/>
                <w:szCs w:val="14"/>
              </w:rPr>
            </w:pPr>
          </w:p>
        </w:tc>
        <w:tc>
          <w:tcPr>
            <w:tcW w:w="328" w:type="dxa"/>
          </w:tcPr>
          <w:p w14:paraId="6F5AA0CA" w14:textId="77777777" w:rsidR="00695AE2" w:rsidRPr="00503014" w:rsidRDefault="00695AE2" w:rsidP="00980493">
            <w:pPr>
              <w:jc w:val="center"/>
              <w:rPr>
                <w:rFonts w:eastAsia="Calibri" w:cs="Calibri"/>
                <w:sz w:val="14"/>
                <w:szCs w:val="14"/>
              </w:rPr>
            </w:pPr>
          </w:p>
        </w:tc>
        <w:tc>
          <w:tcPr>
            <w:tcW w:w="540" w:type="dxa"/>
          </w:tcPr>
          <w:p w14:paraId="02D769B6" w14:textId="77777777" w:rsidR="00695AE2" w:rsidRPr="00503014" w:rsidRDefault="00695AE2" w:rsidP="00980493">
            <w:pPr>
              <w:jc w:val="center"/>
              <w:rPr>
                <w:rFonts w:eastAsia="Calibri" w:cs="Calibri"/>
                <w:sz w:val="14"/>
                <w:szCs w:val="14"/>
              </w:rPr>
            </w:pPr>
          </w:p>
        </w:tc>
      </w:tr>
      <w:tr w:rsidR="00695AE2" w:rsidRPr="00503014" w14:paraId="09F7460C" w14:textId="77777777" w:rsidTr="00980493">
        <w:trPr>
          <w:trHeight w:val="185"/>
        </w:trPr>
        <w:tc>
          <w:tcPr>
            <w:tcW w:w="1244" w:type="dxa"/>
          </w:tcPr>
          <w:p w14:paraId="01038D62" w14:textId="77777777" w:rsidR="00695AE2" w:rsidRPr="00503014" w:rsidRDefault="00695AE2" w:rsidP="00980493">
            <w:pPr>
              <w:rPr>
                <w:rFonts w:eastAsia="Calibri" w:cs="Calibri"/>
                <w:sz w:val="14"/>
                <w:szCs w:val="14"/>
              </w:rPr>
            </w:pPr>
            <w:r w:rsidRPr="00503014">
              <w:rPr>
                <w:rFonts w:eastAsia="Calibri" w:cs="Calibri"/>
                <w:sz w:val="14"/>
                <w:szCs w:val="14"/>
              </w:rPr>
              <w:t>Postopki po ZIKS</w:t>
            </w:r>
          </w:p>
        </w:tc>
        <w:tc>
          <w:tcPr>
            <w:tcW w:w="284" w:type="dxa"/>
          </w:tcPr>
          <w:p w14:paraId="00538D78" w14:textId="77777777" w:rsidR="00695AE2" w:rsidRPr="00503014" w:rsidRDefault="00695AE2" w:rsidP="00980493">
            <w:pPr>
              <w:jc w:val="center"/>
              <w:rPr>
                <w:rFonts w:eastAsia="Calibri" w:cs="Calibri"/>
                <w:sz w:val="14"/>
                <w:szCs w:val="14"/>
              </w:rPr>
            </w:pPr>
          </w:p>
        </w:tc>
        <w:tc>
          <w:tcPr>
            <w:tcW w:w="567" w:type="dxa"/>
          </w:tcPr>
          <w:p w14:paraId="2066F629" w14:textId="77777777" w:rsidR="00695AE2" w:rsidRPr="00503014" w:rsidRDefault="00695AE2" w:rsidP="00980493">
            <w:pPr>
              <w:jc w:val="center"/>
              <w:rPr>
                <w:rFonts w:eastAsia="Calibri" w:cs="Calibri"/>
                <w:sz w:val="14"/>
                <w:szCs w:val="14"/>
              </w:rPr>
            </w:pPr>
          </w:p>
        </w:tc>
        <w:tc>
          <w:tcPr>
            <w:tcW w:w="567" w:type="dxa"/>
          </w:tcPr>
          <w:p w14:paraId="28FE3F66" w14:textId="77777777" w:rsidR="00695AE2" w:rsidRPr="00503014" w:rsidRDefault="00695AE2" w:rsidP="00980493">
            <w:pPr>
              <w:jc w:val="center"/>
              <w:rPr>
                <w:rFonts w:eastAsia="Calibri" w:cs="Calibri"/>
                <w:sz w:val="14"/>
                <w:szCs w:val="14"/>
              </w:rPr>
            </w:pPr>
            <w:r w:rsidRPr="00503014">
              <w:rPr>
                <w:rFonts w:eastAsia="Calibri" w:cs="Calibri"/>
                <w:sz w:val="14"/>
                <w:szCs w:val="14"/>
              </w:rPr>
              <w:t>2</w:t>
            </w:r>
          </w:p>
        </w:tc>
        <w:tc>
          <w:tcPr>
            <w:tcW w:w="455" w:type="dxa"/>
          </w:tcPr>
          <w:p w14:paraId="3CD2F87B"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29" w:type="dxa"/>
          </w:tcPr>
          <w:p w14:paraId="04936B04" w14:textId="77777777" w:rsidR="00695AE2" w:rsidRPr="00503014" w:rsidRDefault="00695AE2" w:rsidP="00980493">
            <w:pPr>
              <w:jc w:val="center"/>
              <w:rPr>
                <w:rFonts w:eastAsia="Calibri" w:cs="Calibri"/>
                <w:sz w:val="14"/>
                <w:szCs w:val="14"/>
              </w:rPr>
            </w:pPr>
          </w:p>
        </w:tc>
        <w:tc>
          <w:tcPr>
            <w:tcW w:w="422" w:type="dxa"/>
          </w:tcPr>
          <w:p w14:paraId="267D343F" w14:textId="77777777" w:rsidR="00695AE2" w:rsidRPr="00503014" w:rsidRDefault="00695AE2" w:rsidP="00980493">
            <w:pPr>
              <w:jc w:val="center"/>
              <w:rPr>
                <w:rFonts w:eastAsia="Calibri" w:cs="Calibri"/>
                <w:sz w:val="14"/>
                <w:szCs w:val="14"/>
              </w:rPr>
            </w:pPr>
          </w:p>
        </w:tc>
        <w:tc>
          <w:tcPr>
            <w:tcW w:w="425" w:type="dxa"/>
          </w:tcPr>
          <w:p w14:paraId="2C4A2CC7" w14:textId="77777777" w:rsidR="00695AE2" w:rsidRPr="00503014" w:rsidRDefault="00695AE2" w:rsidP="00980493">
            <w:pPr>
              <w:jc w:val="center"/>
              <w:rPr>
                <w:rFonts w:eastAsia="Calibri" w:cs="Calibri"/>
                <w:sz w:val="14"/>
                <w:szCs w:val="14"/>
              </w:rPr>
            </w:pPr>
          </w:p>
        </w:tc>
        <w:tc>
          <w:tcPr>
            <w:tcW w:w="566" w:type="dxa"/>
          </w:tcPr>
          <w:p w14:paraId="34A4AA9B" w14:textId="77777777" w:rsidR="00695AE2" w:rsidRPr="00503014" w:rsidRDefault="00695AE2" w:rsidP="00980493">
            <w:pPr>
              <w:jc w:val="center"/>
              <w:rPr>
                <w:rFonts w:eastAsia="Calibri" w:cs="Calibri"/>
                <w:sz w:val="14"/>
                <w:szCs w:val="14"/>
              </w:rPr>
            </w:pPr>
          </w:p>
        </w:tc>
        <w:tc>
          <w:tcPr>
            <w:tcW w:w="429" w:type="dxa"/>
          </w:tcPr>
          <w:p w14:paraId="2C31CDC2" w14:textId="77777777" w:rsidR="00695AE2" w:rsidRPr="00503014" w:rsidRDefault="00695AE2" w:rsidP="00980493">
            <w:pPr>
              <w:jc w:val="center"/>
              <w:rPr>
                <w:rFonts w:eastAsia="Calibri" w:cs="Calibri"/>
                <w:sz w:val="14"/>
                <w:szCs w:val="14"/>
              </w:rPr>
            </w:pPr>
          </w:p>
        </w:tc>
        <w:tc>
          <w:tcPr>
            <w:tcW w:w="676" w:type="dxa"/>
          </w:tcPr>
          <w:p w14:paraId="0DAF4FF7" w14:textId="77777777" w:rsidR="00695AE2" w:rsidRPr="00503014" w:rsidRDefault="00695AE2" w:rsidP="00980493">
            <w:pPr>
              <w:jc w:val="center"/>
              <w:rPr>
                <w:rFonts w:eastAsia="Calibri" w:cs="Calibri"/>
                <w:sz w:val="14"/>
                <w:szCs w:val="14"/>
              </w:rPr>
            </w:pPr>
          </w:p>
        </w:tc>
        <w:tc>
          <w:tcPr>
            <w:tcW w:w="599" w:type="dxa"/>
          </w:tcPr>
          <w:p w14:paraId="199B6AF5" w14:textId="77777777" w:rsidR="00695AE2" w:rsidRPr="00503014" w:rsidRDefault="00695AE2" w:rsidP="00980493">
            <w:pPr>
              <w:jc w:val="center"/>
              <w:rPr>
                <w:rFonts w:eastAsia="Calibri" w:cs="Calibri"/>
                <w:sz w:val="14"/>
                <w:szCs w:val="14"/>
              </w:rPr>
            </w:pPr>
          </w:p>
        </w:tc>
        <w:tc>
          <w:tcPr>
            <w:tcW w:w="367" w:type="dxa"/>
          </w:tcPr>
          <w:p w14:paraId="7A6303A1" w14:textId="77777777" w:rsidR="00695AE2" w:rsidRPr="00503014" w:rsidRDefault="00695AE2" w:rsidP="00980493">
            <w:pPr>
              <w:jc w:val="center"/>
              <w:rPr>
                <w:rFonts w:eastAsia="Calibri" w:cs="Calibri"/>
                <w:sz w:val="14"/>
                <w:szCs w:val="14"/>
              </w:rPr>
            </w:pPr>
          </w:p>
        </w:tc>
        <w:tc>
          <w:tcPr>
            <w:tcW w:w="452" w:type="dxa"/>
          </w:tcPr>
          <w:p w14:paraId="438F3465" w14:textId="77777777" w:rsidR="00695AE2" w:rsidRPr="00503014" w:rsidRDefault="00695AE2" w:rsidP="00980493">
            <w:pPr>
              <w:jc w:val="center"/>
              <w:rPr>
                <w:rFonts w:eastAsia="Calibri" w:cs="Calibri"/>
                <w:sz w:val="14"/>
                <w:szCs w:val="14"/>
              </w:rPr>
            </w:pPr>
          </w:p>
        </w:tc>
        <w:tc>
          <w:tcPr>
            <w:tcW w:w="416" w:type="dxa"/>
          </w:tcPr>
          <w:p w14:paraId="67D9D8BC" w14:textId="77777777" w:rsidR="00695AE2" w:rsidRPr="00503014" w:rsidRDefault="00695AE2" w:rsidP="00980493">
            <w:pPr>
              <w:jc w:val="center"/>
              <w:rPr>
                <w:rFonts w:eastAsia="Calibri" w:cs="Calibri"/>
                <w:sz w:val="14"/>
                <w:szCs w:val="14"/>
              </w:rPr>
            </w:pPr>
          </w:p>
        </w:tc>
        <w:tc>
          <w:tcPr>
            <w:tcW w:w="416" w:type="dxa"/>
          </w:tcPr>
          <w:p w14:paraId="2B5CA088" w14:textId="77777777" w:rsidR="00695AE2" w:rsidRPr="00503014" w:rsidRDefault="00695AE2" w:rsidP="00980493">
            <w:pPr>
              <w:jc w:val="center"/>
              <w:rPr>
                <w:rFonts w:eastAsia="Calibri" w:cs="Calibri"/>
                <w:sz w:val="14"/>
                <w:szCs w:val="14"/>
              </w:rPr>
            </w:pPr>
            <w:r w:rsidRPr="00503014">
              <w:rPr>
                <w:rFonts w:eastAsia="Calibri" w:cs="Calibri"/>
                <w:sz w:val="14"/>
                <w:szCs w:val="14"/>
              </w:rPr>
              <w:t>1</w:t>
            </w:r>
          </w:p>
        </w:tc>
        <w:tc>
          <w:tcPr>
            <w:tcW w:w="452" w:type="dxa"/>
          </w:tcPr>
          <w:p w14:paraId="1B873B07" w14:textId="77777777" w:rsidR="00695AE2" w:rsidRPr="00503014" w:rsidRDefault="00695AE2" w:rsidP="00980493">
            <w:pPr>
              <w:jc w:val="center"/>
              <w:rPr>
                <w:rFonts w:eastAsia="Calibri" w:cs="Calibri"/>
                <w:sz w:val="14"/>
                <w:szCs w:val="14"/>
              </w:rPr>
            </w:pPr>
          </w:p>
        </w:tc>
        <w:tc>
          <w:tcPr>
            <w:tcW w:w="416" w:type="dxa"/>
          </w:tcPr>
          <w:p w14:paraId="2DF0492C" w14:textId="77777777" w:rsidR="00695AE2" w:rsidRPr="00503014" w:rsidRDefault="00695AE2" w:rsidP="00980493">
            <w:pPr>
              <w:jc w:val="center"/>
              <w:rPr>
                <w:rFonts w:eastAsia="Calibri" w:cs="Calibri"/>
                <w:sz w:val="14"/>
                <w:szCs w:val="14"/>
              </w:rPr>
            </w:pPr>
          </w:p>
        </w:tc>
        <w:tc>
          <w:tcPr>
            <w:tcW w:w="452" w:type="dxa"/>
          </w:tcPr>
          <w:p w14:paraId="7633D75A" w14:textId="77777777" w:rsidR="00695AE2" w:rsidRPr="00503014" w:rsidRDefault="00695AE2" w:rsidP="00980493">
            <w:pPr>
              <w:jc w:val="center"/>
              <w:rPr>
                <w:rFonts w:eastAsia="Calibri" w:cs="Calibri"/>
                <w:sz w:val="14"/>
                <w:szCs w:val="14"/>
              </w:rPr>
            </w:pPr>
          </w:p>
        </w:tc>
        <w:tc>
          <w:tcPr>
            <w:tcW w:w="416" w:type="dxa"/>
          </w:tcPr>
          <w:p w14:paraId="3DD984A4" w14:textId="77777777" w:rsidR="00695AE2" w:rsidRPr="00503014" w:rsidRDefault="00695AE2" w:rsidP="00980493">
            <w:pPr>
              <w:jc w:val="center"/>
              <w:rPr>
                <w:rFonts w:eastAsia="Calibri" w:cs="Calibri"/>
                <w:sz w:val="14"/>
                <w:szCs w:val="14"/>
              </w:rPr>
            </w:pPr>
          </w:p>
        </w:tc>
        <w:tc>
          <w:tcPr>
            <w:tcW w:w="647" w:type="dxa"/>
          </w:tcPr>
          <w:p w14:paraId="5CC2659D" w14:textId="77777777" w:rsidR="00695AE2" w:rsidRPr="00503014" w:rsidRDefault="00695AE2" w:rsidP="00980493">
            <w:pPr>
              <w:jc w:val="center"/>
              <w:rPr>
                <w:rFonts w:eastAsia="Calibri" w:cs="Calibri"/>
                <w:sz w:val="14"/>
                <w:szCs w:val="14"/>
              </w:rPr>
            </w:pPr>
          </w:p>
        </w:tc>
        <w:tc>
          <w:tcPr>
            <w:tcW w:w="328" w:type="dxa"/>
          </w:tcPr>
          <w:p w14:paraId="28C1104D" w14:textId="77777777" w:rsidR="00695AE2" w:rsidRPr="00503014" w:rsidRDefault="00695AE2" w:rsidP="00980493">
            <w:pPr>
              <w:jc w:val="center"/>
              <w:rPr>
                <w:rFonts w:eastAsia="Calibri" w:cs="Calibri"/>
                <w:sz w:val="14"/>
                <w:szCs w:val="14"/>
              </w:rPr>
            </w:pPr>
          </w:p>
        </w:tc>
        <w:tc>
          <w:tcPr>
            <w:tcW w:w="540" w:type="dxa"/>
          </w:tcPr>
          <w:p w14:paraId="119B32C4" w14:textId="77777777" w:rsidR="00695AE2" w:rsidRPr="00503014" w:rsidRDefault="00695AE2" w:rsidP="00980493">
            <w:pPr>
              <w:jc w:val="center"/>
              <w:rPr>
                <w:rFonts w:eastAsia="Calibri" w:cs="Calibri"/>
                <w:sz w:val="14"/>
                <w:szCs w:val="14"/>
              </w:rPr>
            </w:pPr>
          </w:p>
        </w:tc>
      </w:tr>
      <w:tr w:rsidR="00695AE2" w:rsidRPr="00503014" w14:paraId="3FC9778B" w14:textId="77777777" w:rsidTr="00980493">
        <w:trPr>
          <w:trHeight w:val="395"/>
        </w:trPr>
        <w:tc>
          <w:tcPr>
            <w:tcW w:w="1244" w:type="dxa"/>
          </w:tcPr>
          <w:p w14:paraId="6E4700B7" w14:textId="77777777" w:rsidR="00695AE2" w:rsidRPr="00503014" w:rsidRDefault="00695AE2" w:rsidP="00980493">
            <w:pPr>
              <w:rPr>
                <w:rFonts w:eastAsia="Calibri" w:cs="Calibri"/>
                <w:sz w:val="14"/>
                <w:szCs w:val="14"/>
              </w:rPr>
            </w:pPr>
            <w:r w:rsidRPr="00503014">
              <w:rPr>
                <w:rFonts w:eastAsia="Calibri" w:cs="Calibri"/>
                <w:sz w:val="14"/>
                <w:szCs w:val="14"/>
              </w:rPr>
              <w:t>Postopki po ZVVJTO</w:t>
            </w:r>
          </w:p>
        </w:tc>
        <w:tc>
          <w:tcPr>
            <w:tcW w:w="284" w:type="dxa"/>
          </w:tcPr>
          <w:p w14:paraId="34F35BD3" w14:textId="77777777" w:rsidR="00695AE2" w:rsidRPr="00503014" w:rsidRDefault="00695AE2" w:rsidP="00980493">
            <w:pPr>
              <w:jc w:val="center"/>
              <w:rPr>
                <w:rFonts w:eastAsia="Calibri" w:cs="Calibri"/>
                <w:sz w:val="14"/>
                <w:szCs w:val="14"/>
              </w:rPr>
            </w:pPr>
          </w:p>
        </w:tc>
        <w:tc>
          <w:tcPr>
            <w:tcW w:w="567" w:type="dxa"/>
          </w:tcPr>
          <w:p w14:paraId="7716847E" w14:textId="77777777" w:rsidR="00695AE2" w:rsidRPr="00503014" w:rsidRDefault="00695AE2" w:rsidP="00980493">
            <w:pPr>
              <w:jc w:val="center"/>
              <w:rPr>
                <w:rFonts w:eastAsia="Calibri" w:cs="Calibri"/>
                <w:sz w:val="14"/>
                <w:szCs w:val="14"/>
              </w:rPr>
            </w:pPr>
          </w:p>
        </w:tc>
        <w:tc>
          <w:tcPr>
            <w:tcW w:w="567" w:type="dxa"/>
          </w:tcPr>
          <w:p w14:paraId="35E5C39F" w14:textId="77777777" w:rsidR="00695AE2" w:rsidRPr="00503014" w:rsidRDefault="00695AE2" w:rsidP="00980493">
            <w:pPr>
              <w:jc w:val="center"/>
              <w:rPr>
                <w:rFonts w:eastAsia="Calibri" w:cs="Calibri"/>
                <w:sz w:val="14"/>
                <w:szCs w:val="14"/>
              </w:rPr>
            </w:pPr>
          </w:p>
        </w:tc>
        <w:tc>
          <w:tcPr>
            <w:tcW w:w="455" w:type="dxa"/>
          </w:tcPr>
          <w:p w14:paraId="4A8E6954" w14:textId="77777777" w:rsidR="00695AE2" w:rsidRPr="00503014" w:rsidRDefault="00695AE2" w:rsidP="00980493">
            <w:pPr>
              <w:jc w:val="center"/>
              <w:rPr>
                <w:rFonts w:eastAsia="Calibri" w:cs="Calibri"/>
                <w:sz w:val="14"/>
                <w:szCs w:val="14"/>
              </w:rPr>
            </w:pPr>
          </w:p>
        </w:tc>
        <w:tc>
          <w:tcPr>
            <w:tcW w:w="429" w:type="dxa"/>
          </w:tcPr>
          <w:p w14:paraId="546B88B1" w14:textId="77777777" w:rsidR="00695AE2" w:rsidRPr="00503014" w:rsidRDefault="00695AE2" w:rsidP="00980493">
            <w:pPr>
              <w:jc w:val="center"/>
              <w:rPr>
                <w:rFonts w:eastAsia="Calibri" w:cs="Calibri"/>
                <w:sz w:val="14"/>
                <w:szCs w:val="14"/>
              </w:rPr>
            </w:pPr>
          </w:p>
        </w:tc>
        <w:tc>
          <w:tcPr>
            <w:tcW w:w="422" w:type="dxa"/>
          </w:tcPr>
          <w:p w14:paraId="3C67CB96" w14:textId="77777777" w:rsidR="00695AE2" w:rsidRPr="00503014" w:rsidRDefault="00695AE2" w:rsidP="00980493">
            <w:pPr>
              <w:jc w:val="center"/>
              <w:rPr>
                <w:rFonts w:eastAsia="Calibri" w:cs="Calibri"/>
                <w:sz w:val="14"/>
                <w:szCs w:val="14"/>
              </w:rPr>
            </w:pPr>
          </w:p>
        </w:tc>
        <w:tc>
          <w:tcPr>
            <w:tcW w:w="425" w:type="dxa"/>
          </w:tcPr>
          <w:p w14:paraId="74FA18CC" w14:textId="77777777" w:rsidR="00695AE2" w:rsidRPr="00503014" w:rsidRDefault="00695AE2" w:rsidP="00980493">
            <w:pPr>
              <w:jc w:val="center"/>
              <w:rPr>
                <w:rFonts w:eastAsia="Calibri" w:cs="Calibri"/>
                <w:sz w:val="14"/>
                <w:szCs w:val="14"/>
              </w:rPr>
            </w:pPr>
          </w:p>
        </w:tc>
        <w:tc>
          <w:tcPr>
            <w:tcW w:w="566" w:type="dxa"/>
          </w:tcPr>
          <w:p w14:paraId="39964C1C" w14:textId="77777777" w:rsidR="00695AE2" w:rsidRPr="00503014" w:rsidRDefault="00695AE2" w:rsidP="00980493">
            <w:pPr>
              <w:jc w:val="center"/>
              <w:rPr>
                <w:rFonts w:eastAsia="Calibri" w:cs="Calibri"/>
                <w:sz w:val="14"/>
                <w:szCs w:val="14"/>
              </w:rPr>
            </w:pPr>
          </w:p>
        </w:tc>
        <w:tc>
          <w:tcPr>
            <w:tcW w:w="429" w:type="dxa"/>
          </w:tcPr>
          <w:p w14:paraId="55F2ADB4" w14:textId="77777777" w:rsidR="00695AE2" w:rsidRPr="00503014" w:rsidRDefault="00695AE2" w:rsidP="00980493">
            <w:pPr>
              <w:jc w:val="center"/>
              <w:rPr>
                <w:rFonts w:eastAsia="Calibri" w:cs="Calibri"/>
                <w:sz w:val="14"/>
                <w:szCs w:val="14"/>
              </w:rPr>
            </w:pPr>
          </w:p>
        </w:tc>
        <w:tc>
          <w:tcPr>
            <w:tcW w:w="676" w:type="dxa"/>
          </w:tcPr>
          <w:p w14:paraId="59FEC2EF" w14:textId="77777777" w:rsidR="00695AE2" w:rsidRPr="00503014" w:rsidRDefault="00695AE2" w:rsidP="00980493">
            <w:pPr>
              <w:jc w:val="center"/>
              <w:rPr>
                <w:rFonts w:eastAsia="Calibri" w:cs="Calibri"/>
                <w:sz w:val="14"/>
                <w:szCs w:val="14"/>
              </w:rPr>
            </w:pPr>
          </w:p>
        </w:tc>
        <w:tc>
          <w:tcPr>
            <w:tcW w:w="599" w:type="dxa"/>
          </w:tcPr>
          <w:p w14:paraId="1D891DEC" w14:textId="77777777" w:rsidR="00695AE2" w:rsidRPr="00503014" w:rsidRDefault="00695AE2" w:rsidP="00980493">
            <w:pPr>
              <w:jc w:val="center"/>
              <w:rPr>
                <w:rFonts w:eastAsia="Calibri" w:cs="Calibri"/>
                <w:sz w:val="14"/>
                <w:szCs w:val="14"/>
              </w:rPr>
            </w:pPr>
          </w:p>
        </w:tc>
        <w:tc>
          <w:tcPr>
            <w:tcW w:w="367" w:type="dxa"/>
          </w:tcPr>
          <w:p w14:paraId="304DAB12" w14:textId="77777777" w:rsidR="00695AE2" w:rsidRPr="00503014" w:rsidRDefault="00695AE2" w:rsidP="00980493">
            <w:pPr>
              <w:jc w:val="center"/>
              <w:rPr>
                <w:rFonts w:eastAsia="Calibri" w:cs="Calibri"/>
                <w:sz w:val="14"/>
                <w:szCs w:val="14"/>
              </w:rPr>
            </w:pPr>
          </w:p>
        </w:tc>
        <w:tc>
          <w:tcPr>
            <w:tcW w:w="452" w:type="dxa"/>
          </w:tcPr>
          <w:p w14:paraId="2EA89E31" w14:textId="77777777" w:rsidR="00695AE2" w:rsidRPr="00503014" w:rsidRDefault="00695AE2" w:rsidP="00980493">
            <w:pPr>
              <w:jc w:val="center"/>
              <w:rPr>
                <w:rFonts w:eastAsia="Calibri" w:cs="Calibri"/>
                <w:sz w:val="14"/>
                <w:szCs w:val="14"/>
              </w:rPr>
            </w:pPr>
          </w:p>
        </w:tc>
        <w:tc>
          <w:tcPr>
            <w:tcW w:w="416" w:type="dxa"/>
          </w:tcPr>
          <w:p w14:paraId="15C990AD" w14:textId="77777777" w:rsidR="00695AE2" w:rsidRPr="00503014" w:rsidRDefault="00695AE2" w:rsidP="00980493">
            <w:pPr>
              <w:jc w:val="center"/>
              <w:rPr>
                <w:rFonts w:eastAsia="Calibri" w:cs="Calibri"/>
                <w:sz w:val="14"/>
                <w:szCs w:val="14"/>
              </w:rPr>
            </w:pPr>
          </w:p>
        </w:tc>
        <w:tc>
          <w:tcPr>
            <w:tcW w:w="416" w:type="dxa"/>
          </w:tcPr>
          <w:p w14:paraId="70BFEC46" w14:textId="77777777" w:rsidR="00695AE2" w:rsidRPr="00503014" w:rsidRDefault="00695AE2" w:rsidP="00980493">
            <w:pPr>
              <w:jc w:val="center"/>
              <w:rPr>
                <w:rFonts w:eastAsia="Calibri" w:cs="Calibri"/>
                <w:sz w:val="14"/>
                <w:szCs w:val="14"/>
              </w:rPr>
            </w:pPr>
          </w:p>
        </w:tc>
        <w:tc>
          <w:tcPr>
            <w:tcW w:w="452" w:type="dxa"/>
          </w:tcPr>
          <w:p w14:paraId="0DD838D0" w14:textId="77777777" w:rsidR="00695AE2" w:rsidRPr="00503014" w:rsidRDefault="00695AE2" w:rsidP="00980493">
            <w:pPr>
              <w:jc w:val="center"/>
              <w:rPr>
                <w:rFonts w:eastAsia="Calibri" w:cs="Calibri"/>
                <w:sz w:val="14"/>
                <w:szCs w:val="14"/>
              </w:rPr>
            </w:pPr>
          </w:p>
        </w:tc>
        <w:tc>
          <w:tcPr>
            <w:tcW w:w="416" w:type="dxa"/>
          </w:tcPr>
          <w:p w14:paraId="3B082EF2" w14:textId="77777777" w:rsidR="00695AE2" w:rsidRPr="00503014" w:rsidRDefault="00695AE2" w:rsidP="00980493">
            <w:pPr>
              <w:jc w:val="center"/>
              <w:rPr>
                <w:rFonts w:eastAsia="Calibri" w:cs="Calibri"/>
                <w:sz w:val="14"/>
                <w:szCs w:val="14"/>
              </w:rPr>
            </w:pPr>
          </w:p>
        </w:tc>
        <w:tc>
          <w:tcPr>
            <w:tcW w:w="452" w:type="dxa"/>
          </w:tcPr>
          <w:p w14:paraId="43FDDA46" w14:textId="77777777" w:rsidR="00695AE2" w:rsidRPr="00503014" w:rsidRDefault="00695AE2" w:rsidP="00980493">
            <w:pPr>
              <w:jc w:val="center"/>
              <w:rPr>
                <w:rFonts w:eastAsia="Calibri" w:cs="Calibri"/>
                <w:sz w:val="14"/>
                <w:szCs w:val="14"/>
              </w:rPr>
            </w:pPr>
          </w:p>
        </w:tc>
        <w:tc>
          <w:tcPr>
            <w:tcW w:w="416" w:type="dxa"/>
          </w:tcPr>
          <w:p w14:paraId="7CAB7988" w14:textId="77777777" w:rsidR="00695AE2" w:rsidRPr="00503014" w:rsidRDefault="00695AE2" w:rsidP="00980493">
            <w:pPr>
              <w:jc w:val="center"/>
              <w:rPr>
                <w:rFonts w:eastAsia="Calibri" w:cs="Calibri"/>
                <w:sz w:val="14"/>
                <w:szCs w:val="14"/>
              </w:rPr>
            </w:pPr>
          </w:p>
        </w:tc>
        <w:tc>
          <w:tcPr>
            <w:tcW w:w="647" w:type="dxa"/>
          </w:tcPr>
          <w:p w14:paraId="596248E5" w14:textId="77777777" w:rsidR="00695AE2" w:rsidRPr="00503014" w:rsidRDefault="00695AE2" w:rsidP="00980493">
            <w:pPr>
              <w:jc w:val="center"/>
              <w:rPr>
                <w:rFonts w:eastAsia="Calibri" w:cs="Calibri"/>
                <w:sz w:val="14"/>
                <w:szCs w:val="14"/>
              </w:rPr>
            </w:pPr>
          </w:p>
        </w:tc>
        <w:tc>
          <w:tcPr>
            <w:tcW w:w="328" w:type="dxa"/>
          </w:tcPr>
          <w:p w14:paraId="2A936803" w14:textId="77777777" w:rsidR="00695AE2" w:rsidRPr="00503014" w:rsidRDefault="00695AE2" w:rsidP="00980493">
            <w:pPr>
              <w:jc w:val="center"/>
              <w:rPr>
                <w:rFonts w:eastAsia="Calibri" w:cs="Calibri"/>
                <w:sz w:val="14"/>
                <w:szCs w:val="14"/>
              </w:rPr>
            </w:pPr>
          </w:p>
        </w:tc>
        <w:tc>
          <w:tcPr>
            <w:tcW w:w="540" w:type="dxa"/>
          </w:tcPr>
          <w:p w14:paraId="740A075D" w14:textId="77777777" w:rsidR="00695AE2" w:rsidRPr="00503014" w:rsidRDefault="00695AE2" w:rsidP="00980493">
            <w:pPr>
              <w:jc w:val="center"/>
              <w:rPr>
                <w:rFonts w:eastAsia="Calibri" w:cs="Calibri"/>
                <w:sz w:val="14"/>
                <w:szCs w:val="14"/>
              </w:rPr>
            </w:pPr>
          </w:p>
        </w:tc>
      </w:tr>
    </w:tbl>
    <w:p w14:paraId="2EFBD39B" w14:textId="77777777" w:rsidR="00695AE2" w:rsidRPr="00503014" w:rsidRDefault="00695AE2" w:rsidP="00695AE2">
      <w:pPr>
        <w:spacing w:line="240" w:lineRule="auto"/>
        <w:jc w:val="both"/>
        <w:rPr>
          <w:rFonts w:eastAsia="Calibri"/>
          <w:b/>
          <w:bCs/>
          <w:color w:val="007466"/>
          <w:u w:val="single"/>
        </w:rPr>
      </w:pPr>
    </w:p>
    <w:p w14:paraId="0DF1BF6C" w14:textId="77777777" w:rsidR="00695AE2" w:rsidRPr="00503014" w:rsidRDefault="00695AE2" w:rsidP="00695AE2">
      <w:pPr>
        <w:spacing w:line="240" w:lineRule="auto"/>
        <w:jc w:val="both"/>
        <w:rPr>
          <w:rFonts w:eastAsia="Calibri"/>
          <w:b/>
          <w:bCs/>
          <w:color w:val="007466"/>
          <w:u w:val="single"/>
        </w:rPr>
      </w:pPr>
      <w:r w:rsidRPr="00503014">
        <w:rPr>
          <w:rFonts w:eastAsia="Calibri"/>
          <w:b/>
          <w:bCs/>
          <w:color w:val="007466"/>
          <w:u w:val="single"/>
        </w:rPr>
        <w:t xml:space="preserve">Državno odvetništvo RS je po posameznih področjih dela zadeve rešilo na naslednje načine: </w:t>
      </w:r>
    </w:p>
    <w:p w14:paraId="0E494B1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2CD31F7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Civilnopravne in gospodarske zadeve:</w:t>
      </w:r>
    </w:p>
    <w:p w14:paraId="3A6B6EE7" w14:textId="77777777" w:rsidR="00695AE2" w:rsidRPr="00503014" w:rsidRDefault="00695AE2" w:rsidP="00695AE2">
      <w:pPr>
        <w:spacing w:line="240" w:lineRule="auto"/>
        <w:jc w:val="both"/>
        <w:rPr>
          <w:rFonts w:eastAsia="Calibri"/>
          <w:szCs w:val="22"/>
        </w:rPr>
      </w:pPr>
    </w:p>
    <w:p w14:paraId="468A56C1"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bilo na tem področju dela zaključenih </w:t>
      </w:r>
      <w:r w:rsidRPr="00503014">
        <w:rPr>
          <w:rFonts w:eastAsia="Calibri"/>
          <w:b/>
          <w:bCs/>
          <w:color w:val="007466"/>
          <w:szCs w:val="22"/>
        </w:rPr>
        <w:t>906 zadev</w:t>
      </w:r>
      <w:r w:rsidRPr="00503014">
        <w:rPr>
          <w:rFonts w:eastAsia="Calibri"/>
          <w:szCs w:val="22"/>
        </w:rPr>
        <w:t>,</w:t>
      </w:r>
      <w:r w:rsidRPr="00503014">
        <w:rPr>
          <w:rFonts w:eastAsia="Calibri"/>
          <w:b/>
          <w:bCs/>
          <w:szCs w:val="22"/>
        </w:rPr>
        <w:t xml:space="preserve"> </w:t>
      </w:r>
      <w:r w:rsidRPr="00503014">
        <w:rPr>
          <w:rFonts w:eastAsia="Calibri"/>
          <w:szCs w:val="22"/>
        </w:rPr>
        <w:t xml:space="preserve">od tega 486 zadev v predhodnem postopku in 420 zadev v sodnem postopku. </w:t>
      </w:r>
    </w:p>
    <w:p w14:paraId="442F04DA" w14:textId="77777777" w:rsidR="00695AE2" w:rsidRPr="00503014" w:rsidRDefault="00695AE2" w:rsidP="00695AE2">
      <w:pPr>
        <w:spacing w:line="240" w:lineRule="auto"/>
        <w:jc w:val="both"/>
        <w:rPr>
          <w:rFonts w:eastAsia="Calibri"/>
        </w:rPr>
      </w:pPr>
    </w:p>
    <w:p w14:paraId="5AD9F7C2" w14:textId="77777777" w:rsidR="00695AE2" w:rsidRPr="00503014" w:rsidRDefault="00695AE2" w:rsidP="00695AE2">
      <w:pPr>
        <w:spacing w:line="240" w:lineRule="auto"/>
        <w:jc w:val="both"/>
        <w:rPr>
          <w:rFonts w:eastAsia="Calibri"/>
        </w:rPr>
      </w:pPr>
      <w:r w:rsidRPr="00503014">
        <w:rPr>
          <w:rFonts w:eastAsia="Calibri"/>
          <w:szCs w:val="22"/>
        </w:rPr>
        <w:t>Glede na vrste rešitev, ki so se vnašale v IS Feniks, so bile zadeve z</w:t>
      </w:r>
      <w:r w:rsidRPr="00503014">
        <w:rPr>
          <w:rFonts w:eastAsia="Calibri"/>
        </w:rPr>
        <w:t>aključene na naslednje načine:</w:t>
      </w:r>
    </w:p>
    <w:p w14:paraId="7702C223" w14:textId="77777777" w:rsidR="00695AE2" w:rsidRPr="00503014" w:rsidRDefault="00695AE2" w:rsidP="00695AE2">
      <w:pPr>
        <w:spacing w:line="240" w:lineRule="auto"/>
        <w:jc w:val="both"/>
        <w:rPr>
          <w:rFonts w:eastAsia="Calibri"/>
        </w:rPr>
      </w:pPr>
    </w:p>
    <w:p w14:paraId="3FDEB1CD" w14:textId="77777777" w:rsidR="00695AE2" w:rsidRPr="00503014" w:rsidRDefault="00695AE2" w:rsidP="00695AE2">
      <w:pPr>
        <w:spacing w:line="240" w:lineRule="auto"/>
        <w:jc w:val="both"/>
        <w:rPr>
          <w:rFonts w:eastAsia="Calibri"/>
        </w:rPr>
      </w:pPr>
      <w:r w:rsidRPr="00503014">
        <w:rPr>
          <w:rFonts w:eastAsia="Calibri"/>
        </w:rPr>
        <w:t xml:space="preserve">Zadeve, ki so bile zaključene v </w:t>
      </w:r>
      <w:r w:rsidRPr="00503014">
        <w:rPr>
          <w:rFonts w:eastAsia="Calibri"/>
          <w:color w:val="007466"/>
        </w:rPr>
        <w:t>predhodnem postopku</w:t>
      </w:r>
      <w:r w:rsidRPr="00503014">
        <w:rPr>
          <w:rFonts w:eastAsia="Calibri"/>
        </w:rPr>
        <w:t>:</w:t>
      </w:r>
    </w:p>
    <w:p w14:paraId="5D57CD54" w14:textId="77777777" w:rsidR="00695AE2" w:rsidRPr="00503014" w:rsidRDefault="00695AE2" w:rsidP="00695AE2">
      <w:pPr>
        <w:numPr>
          <w:ilvl w:val="0"/>
          <w:numId w:val="112"/>
        </w:numPr>
        <w:spacing w:after="160" w:line="240" w:lineRule="auto"/>
        <w:contextualSpacing/>
        <w:jc w:val="both"/>
        <w:rPr>
          <w:rFonts w:eastAsia="Calibri"/>
          <w:szCs w:val="22"/>
        </w:rPr>
      </w:pPr>
      <w:r w:rsidRPr="00503014">
        <w:rPr>
          <w:rFonts w:eastAsia="Calibri"/>
          <w:szCs w:val="22"/>
        </w:rPr>
        <w:t>v 72 zadevah je bila sklenjena izvensodna poravnava,</w:t>
      </w:r>
    </w:p>
    <w:p w14:paraId="0C6CF0C7" w14:textId="77777777" w:rsidR="00695AE2" w:rsidRPr="00503014" w:rsidRDefault="00695AE2" w:rsidP="00695AE2">
      <w:pPr>
        <w:numPr>
          <w:ilvl w:val="0"/>
          <w:numId w:val="112"/>
        </w:numPr>
        <w:spacing w:after="160" w:line="240" w:lineRule="auto"/>
        <w:contextualSpacing/>
        <w:jc w:val="both"/>
        <w:rPr>
          <w:rFonts w:eastAsia="Calibri"/>
        </w:rPr>
      </w:pPr>
      <w:r w:rsidRPr="00503014">
        <w:rPr>
          <w:rFonts w:eastAsia="Calibri"/>
        </w:rPr>
        <w:t>v 4 zadevah oškodovanec ni sprejel poravnalne ponudbe,</w:t>
      </w:r>
    </w:p>
    <w:p w14:paraId="4A5DACED" w14:textId="77777777" w:rsidR="00695AE2" w:rsidRPr="00503014" w:rsidRDefault="00695AE2" w:rsidP="00695AE2">
      <w:pPr>
        <w:numPr>
          <w:ilvl w:val="0"/>
          <w:numId w:val="112"/>
        </w:numPr>
        <w:spacing w:after="160" w:line="240" w:lineRule="auto"/>
        <w:contextualSpacing/>
        <w:jc w:val="both"/>
        <w:rPr>
          <w:rFonts w:eastAsia="Calibri"/>
          <w:szCs w:val="22"/>
        </w:rPr>
      </w:pPr>
      <w:r w:rsidRPr="00503014">
        <w:rPr>
          <w:rFonts w:eastAsia="Calibri"/>
          <w:szCs w:val="22"/>
        </w:rPr>
        <w:t>v 348 zadevah je Državno odvetništvo RS zahtevek zavrnilo,</w:t>
      </w:r>
    </w:p>
    <w:p w14:paraId="06BFE781" w14:textId="77777777" w:rsidR="00695AE2" w:rsidRPr="00503014" w:rsidRDefault="00695AE2" w:rsidP="00695AE2">
      <w:pPr>
        <w:numPr>
          <w:ilvl w:val="0"/>
          <w:numId w:val="112"/>
        </w:numPr>
        <w:spacing w:after="160" w:line="240" w:lineRule="auto"/>
        <w:contextualSpacing/>
        <w:jc w:val="both"/>
        <w:rPr>
          <w:rFonts w:eastAsia="Calibri"/>
        </w:rPr>
      </w:pPr>
      <w:r w:rsidRPr="00503014">
        <w:rPr>
          <w:rFonts w:eastAsia="Calibri"/>
        </w:rPr>
        <w:t>preostalih 62 zadev se je zaključilo na drug način.</w:t>
      </w:r>
    </w:p>
    <w:p w14:paraId="0B20E674" w14:textId="77777777" w:rsidR="00695AE2" w:rsidRPr="00503014" w:rsidRDefault="00695AE2" w:rsidP="00695AE2">
      <w:pPr>
        <w:spacing w:line="240" w:lineRule="auto"/>
        <w:jc w:val="both"/>
        <w:rPr>
          <w:rFonts w:eastAsia="Calibri"/>
        </w:rPr>
      </w:pPr>
    </w:p>
    <w:p w14:paraId="0835B886"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Deleži posameznih vrst rešitev civilnopravnih in gospodarskih zadev v predhodnem postopku</w:t>
      </w:r>
    </w:p>
    <w:p w14:paraId="0FF4B1FE" w14:textId="77777777" w:rsidR="00695AE2" w:rsidRPr="00503014" w:rsidRDefault="00695AE2" w:rsidP="00695AE2">
      <w:pPr>
        <w:spacing w:line="240" w:lineRule="auto"/>
        <w:jc w:val="both"/>
        <w:rPr>
          <w:rFonts w:eastAsia="Calibri"/>
          <w:sz w:val="20"/>
          <w:szCs w:val="20"/>
        </w:rPr>
      </w:pPr>
    </w:p>
    <w:p w14:paraId="395D116D" w14:textId="77777777" w:rsidR="00695AE2" w:rsidRPr="00503014" w:rsidRDefault="00695AE2" w:rsidP="00695AE2">
      <w:pPr>
        <w:spacing w:line="240" w:lineRule="auto"/>
        <w:jc w:val="center"/>
        <w:rPr>
          <w:rFonts w:eastAsia="Calibri"/>
        </w:rPr>
      </w:pPr>
      <w:r w:rsidRPr="00503014">
        <w:rPr>
          <w:rFonts w:eastAsia="Calibri"/>
          <w:noProof/>
        </w:rPr>
        <w:drawing>
          <wp:inline distT="0" distB="0" distL="0" distR="0" wp14:anchorId="595EF377" wp14:editId="2AAF129E">
            <wp:extent cx="3543300" cy="2347736"/>
            <wp:effectExtent l="0" t="0" r="0" b="0"/>
            <wp:docPr id="891269630" name="Slika 14" descr="Slika, ki vsebuje besede besedilo, posnetek zaslona, pisava,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9630" name="Slika 14" descr="Slika, ki vsebuje besede besedilo, posnetek zaslona, pisava, krog&#10;&#10;Vsebina, ustvarjena z UI, morda ni praviln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8341" cy="2364328"/>
                    </a:xfrm>
                    <a:prstGeom prst="rect">
                      <a:avLst/>
                    </a:prstGeom>
                    <a:noFill/>
                  </pic:spPr>
                </pic:pic>
              </a:graphicData>
            </a:graphic>
          </wp:inline>
        </w:drawing>
      </w:r>
    </w:p>
    <w:p w14:paraId="42724642" w14:textId="77777777" w:rsidR="00695AE2" w:rsidRPr="00503014" w:rsidRDefault="00695AE2" w:rsidP="00695AE2">
      <w:pPr>
        <w:spacing w:line="240" w:lineRule="auto"/>
        <w:jc w:val="center"/>
        <w:rPr>
          <w:rFonts w:eastAsia="Calibri"/>
        </w:rPr>
      </w:pPr>
    </w:p>
    <w:p w14:paraId="34FE2CA4" w14:textId="77777777" w:rsidR="00695AE2" w:rsidRPr="00503014" w:rsidRDefault="00695AE2" w:rsidP="00695AE2">
      <w:pPr>
        <w:spacing w:line="240" w:lineRule="auto"/>
        <w:jc w:val="both"/>
        <w:rPr>
          <w:rFonts w:eastAsia="Calibri"/>
          <w:b/>
          <w:bCs/>
        </w:rPr>
      </w:pPr>
      <w:r w:rsidRPr="00503014">
        <w:rPr>
          <w:rFonts w:eastAsia="Calibri"/>
        </w:rPr>
        <w:t>Zadeve, ki so bile zaključene v</w:t>
      </w:r>
      <w:r w:rsidRPr="00503014">
        <w:rPr>
          <w:rFonts w:eastAsia="Calibri"/>
          <w:b/>
          <w:bCs/>
        </w:rPr>
        <w:t xml:space="preserve"> </w:t>
      </w:r>
      <w:r w:rsidRPr="00503014">
        <w:rPr>
          <w:rFonts w:eastAsia="Calibri"/>
          <w:color w:val="007466"/>
        </w:rPr>
        <w:t>sodnem postopku</w:t>
      </w:r>
      <w:r w:rsidRPr="00503014">
        <w:rPr>
          <w:rFonts w:eastAsia="Calibri"/>
        </w:rPr>
        <w:t>:</w:t>
      </w:r>
    </w:p>
    <w:p w14:paraId="1603612E" w14:textId="77777777" w:rsidR="00695AE2" w:rsidRPr="00503014" w:rsidRDefault="00695AE2" w:rsidP="00695AE2">
      <w:pPr>
        <w:numPr>
          <w:ilvl w:val="0"/>
          <w:numId w:val="97"/>
        </w:numPr>
        <w:spacing w:after="160" w:line="240" w:lineRule="auto"/>
        <w:contextualSpacing/>
        <w:jc w:val="both"/>
        <w:rPr>
          <w:rFonts w:eastAsia="Calibri"/>
          <w:szCs w:val="22"/>
        </w:rPr>
      </w:pPr>
      <w:r w:rsidRPr="00503014">
        <w:rPr>
          <w:rFonts w:eastAsia="Calibri"/>
          <w:szCs w:val="22"/>
        </w:rPr>
        <w:lastRenderedPageBreak/>
        <w:t>v 3 zadevah je bila sklenjena izvensodna poravnava,</w:t>
      </w:r>
    </w:p>
    <w:p w14:paraId="1AB3CDC5" w14:textId="77777777" w:rsidR="00695AE2" w:rsidRPr="00503014" w:rsidRDefault="00695AE2" w:rsidP="00695AE2">
      <w:pPr>
        <w:numPr>
          <w:ilvl w:val="0"/>
          <w:numId w:val="97"/>
        </w:numPr>
        <w:spacing w:after="160" w:line="240" w:lineRule="auto"/>
        <w:contextualSpacing/>
        <w:jc w:val="both"/>
        <w:rPr>
          <w:rFonts w:eastAsia="Calibri"/>
          <w:szCs w:val="22"/>
        </w:rPr>
      </w:pPr>
      <w:r w:rsidRPr="00503014">
        <w:rPr>
          <w:rFonts w:eastAsia="Calibri"/>
          <w:szCs w:val="22"/>
        </w:rPr>
        <w:t>v 46 zadevah je bila sklenjena sodna poravnava,</w:t>
      </w:r>
    </w:p>
    <w:p w14:paraId="7EE9D0E9" w14:textId="77777777" w:rsidR="00695AE2" w:rsidRPr="00503014" w:rsidRDefault="00695AE2" w:rsidP="00695AE2">
      <w:pPr>
        <w:numPr>
          <w:ilvl w:val="0"/>
          <w:numId w:val="97"/>
        </w:numPr>
        <w:spacing w:after="160" w:line="240" w:lineRule="auto"/>
        <w:contextualSpacing/>
        <w:jc w:val="both"/>
        <w:rPr>
          <w:rFonts w:eastAsia="Calibri"/>
          <w:szCs w:val="22"/>
        </w:rPr>
      </w:pPr>
      <w:r w:rsidRPr="00503014">
        <w:rPr>
          <w:rFonts w:eastAsia="Calibri"/>
          <w:szCs w:val="22"/>
        </w:rPr>
        <w:t>198 zadev se je zaključilo z rešitvijo »dobljeno«,</w:t>
      </w:r>
    </w:p>
    <w:p w14:paraId="6B006C62" w14:textId="77777777" w:rsidR="00695AE2" w:rsidRPr="00503014" w:rsidRDefault="00695AE2" w:rsidP="00695AE2">
      <w:pPr>
        <w:numPr>
          <w:ilvl w:val="0"/>
          <w:numId w:val="97"/>
        </w:numPr>
        <w:spacing w:after="160" w:line="240" w:lineRule="auto"/>
        <w:contextualSpacing/>
        <w:jc w:val="both"/>
        <w:rPr>
          <w:rFonts w:eastAsia="Calibri"/>
          <w:szCs w:val="22"/>
        </w:rPr>
      </w:pPr>
      <w:r w:rsidRPr="00503014">
        <w:rPr>
          <w:rFonts w:eastAsia="Calibri"/>
          <w:szCs w:val="22"/>
        </w:rPr>
        <w:t>33 zadev se je zaključilo z rešitvijo »izgubljeno«,</w:t>
      </w:r>
    </w:p>
    <w:p w14:paraId="0A4AE19E" w14:textId="77777777" w:rsidR="00695AE2" w:rsidRPr="00503014" w:rsidRDefault="00695AE2" w:rsidP="00695AE2">
      <w:pPr>
        <w:numPr>
          <w:ilvl w:val="0"/>
          <w:numId w:val="97"/>
        </w:numPr>
        <w:spacing w:after="160" w:line="240" w:lineRule="auto"/>
        <w:contextualSpacing/>
        <w:jc w:val="both"/>
        <w:rPr>
          <w:rFonts w:eastAsia="Calibri"/>
          <w:szCs w:val="22"/>
        </w:rPr>
      </w:pPr>
      <w:r w:rsidRPr="00503014">
        <w:rPr>
          <w:rFonts w:eastAsia="Calibri"/>
          <w:szCs w:val="22"/>
        </w:rPr>
        <w:t>51 zadev se je zaključilo z rešitvijo »umik«,</w:t>
      </w:r>
    </w:p>
    <w:p w14:paraId="75BE212B" w14:textId="77777777" w:rsidR="00695AE2" w:rsidRPr="00503014" w:rsidRDefault="00695AE2" w:rsidP="00695AE2">
      <w:pPr>
        <w:numPr>
          <w:ilvl w:val="0"/>
          <w:numId w:val="97"/>
        </w:numPr>
        <w:spacing w:after="160" w:line="240" w:lineRule="auto"/>
        <w:contextualSpacing/>
        <w:jc w:val="both"/>
        <w:rPr>
          <w:rFonts w:eastAsia="Calibri"/>
        </w:rPr>
      </w:pPr>
      <w:r w:rsidRPr="00503014">
        <w:rPr>
          <w:rFonts w:eastAsia="Calibri"/>
        </w:rPr>
        <w:t>preostalih 89 zadev se je zaključilo na drug način.</w:t>
      </w:r>
    </w:p>
    <w:p w14:paraId="1A0B665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4262951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Pr>
          <w:rFonts w:eastAsia="Calibri"/>
          <w:b/>
          <w:bCs/>
          <w:color w:val="007466"/>
          <w:sz w:val="20"/>
          <w:szCs w:val="20"/>
        </w:rPr>
        <w:t>G</w:t>
      </w:r>
      <w:r w:rsidRPr="00503014">
        <w:rPr>
          <w:rFonts w:eastAsia="Calibri"/>
          <w:b/>
          <w:bCs/>
          <w:color w:val="007466"/>
          <w:sz w:val="20"/>
          <w:szCs w:val="20"/>
        </w:rPr>
        <w:t>rafikon: Deleži posameznih vrst rešitev civilnopravnih in gospodarskih zadev v sodnem postopku</w:t>
      </w:r>
    </w:p>
    <w:p w14:paraId="5AFE59A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6AC1AA96"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b/>
          <w:bCs/>
          <w:color w:val="007466"/>
        </w:rPr>
      </w:pPr>
      <w:r w:rsidRPr="00503014">
        <w:rPr>
          <w:rFonts w:eastAsia="Calibri"/>
          <w:b/>
          <w:bCs/>
          <w:noProof/>
          <w:color w:val="007466"/>
        </w:rPr>
        <w:drawing>
          <wp:inline distT="0" distB="0" distL="0" distR="0" wp14:anchorId="196A10F1" wp14:editId="1518A35A">
            <wp:extent cx="3531235" cy="2339742"/>
            <wp:effectExtent l="0" t="0" r="0" b="3810"/>
            <wp:docPr id="2136113095" name="Slika 15" descr="Slika, ki vsebuje besede besedilo, posnetek zaslona, diagram,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13095" name="Slika 15" descr="Slika, ki vsebuje besede besedilo, posnetek zaslona, diagram, krog&#10;&#10;Vsebina, ustvarjena z UI, morda ni praviln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8503" cy="2344558"/>
                    </a:xfrm>
                    <a:prstGeom prst="rect">
                      <a:avLst/>
                    </a:prstGeom>
                    <a:noFill/>
                  </pic:spPr>
                </pic:pic>
              </a:graphicData>
            </a:graphic>
          </wp:inline>
        </w:drawing>
      </w:r>
    </w:p>
    <w:p w14:paraId="22BA3DAC"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b/>
          <w:bCs/>
          <w:color w:val="007466"/>
        </w:rPr>
      </w:pPr>
    </w:p>
    <w:p w14:paraId="5DDCA8A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bookmarkStart w:id="406" w:name="_Hlk154402805"/>
      <w:r w:rsidRPr="00503014">
        <w:rPr>
          <w:rFonts w:eastAsia="Calibri"/>
          <w:b/>
          <w:bCs/>
          <w:color w:val="007466"/>
        </w:rPr>
        <w:t>Delovnopravne in socialnopravne zadeve:</w:t>
      </w:r>
    </w:p>
    <w:p w14:paraId="753EFF35" w14:textId="77777777" w:rsidR="00695AE2" w:rsidRPr="00503014" w:rsidRDefault="00695AE2" w:rsidP="00695AE2">
      <w:pPr>
        <w:spacing w:line="240" w:lineRule="auto"/>
        <w:jc w:val="both"/>
        <w:rPr>
          <w:rFonts w:eastAsia="Calibri"/>
        </w:rPr>
      </w:pPr>
    </w:p>
    <w:p w14:paraId="0CD18DB7"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bilo na tem področju dela zaključenih </w:t>
      </w:r>
      <w:r w:rsidRPr="00503014">
        <w:rPr>
          <w:rFonts w:eastAsia="Calibri"/>
          <w:b/>
          <w:bCs/>
          <w:color w:val="007466"/>
          <w:szCs w:val="22"/>
        </w:rPr>
        <w:t>1.986 zadev</w:t>
      </w:r>
      <w:r w:rsidRPr="00503014">
        <w:rPr>
          <w:rFonts w:eastAsia="Calibri"/>
          <w:szCs w:val="22"/>
        </w:rPr>
        <w:t xml:space="preserve">, od tega 9 zadev v predhodnem postopku in 1.977 zadev v sodnem postopku. </w:t>
      </w:r>
    </w:p>
    <w:p w14:paraId="5E3669E3" w14:textId="77777777" w:rsidR="00695AE2" w:rsidRPr="00503014" w:rsidRDefault="00695AE2" w:rsidP="00695AE2">
      <w:pPr>
        <w:spacing w:line="240" w:lineRule="auto"/>
        <w:jc w:val="both"/>
        <w:rPr>
          <w:rFonts w:eastAsia="Calibri"/>
          <w:szCs w:val="22"/>
        </w:rPr>
      </w:pPr>
    </w:p>
    <w:p w14:paraId="68892372" w14:textId="77777777" w:rsidR="00695AE2" w:rsidRPr="00503014" w:rsidRDefault="00695AE2" w:rsidP="00695AE2">
      <w:pPr>
        <w:spacing w:line="240" w:lineRule="auto"/>
        <w:jc w:val="both"/>
        <w:rPr>
          <w:rFonts w:eastAsia="Calibri"/>
        </w:rPr>
      </w:pPr>
      <w:r w:rsidRPr="00503014">
        <w:rPr>
          <w:rFonts w:eastAsia="Calibri"/>
          <w:szCs w:val="22"/>
        </w:rPr>
        <w:t>Glede na vrste rešitev, ki so se vnašale v IS Feniks, so bile zadeve z</w:t>
      </w:r>
      <w:r w:rsidRPr="00503014">
        <w:rPr>
          <w:rFonts w:eastAsia="Calibri"/>
        </w:rPr>
        <w:t>aključene na naslednje načine:</w:t>
      </w:r>
    </w:p>
    <w:p w14:paraId="7021C186" w14:textId="77777777" w:rsidR="00695AE2" w:rsidRPr="00503014" w:rsidRDefault="00695AE2" w:rsidP="00695AE2">
      <w:pPr>
        <w:spacing w:line="240" w:lineRule="auto"/>
        <w:jc w:val="both"/>
        <w:rPr>
          <w:rFonts w:eastAsia="Calibri"/>
        </w:rPr>
      </w:pPr>
    </w:p>
    <w:p w14:paraId="5A0A2E36" w14:textId="77777777" w:rsidR="00695AE2" w:rsidRPr="00503014" w:rsidRDefault="00695AE2" w:rsidP="00695AE2">
      <w:pPr>
        <w:spacing w:line="240" w:lineRule="auto"/>
        <w:jc w:val="both"/>
        <w:rPr>
          <w:rFonts w:eastAsia="Calibri"/>
        </w:rPr>
      </w:pPr>
      <w:r w:rsidRPr="00503014">
        <w:rPr>
          <w:rFonts w:eastAsia="Calibri"/>
        </w:rPr>
        <w:t xml:space="preserve">Zaključene zadeve v </w:t>
      </w:r>
      <w:r w:rsidRPr="00503014">
        <w:rPr>
          <w:rFonts w:eastAsia="Calibri"/>
          <w:color w:val="007466"/>
        </w:rPr>
        <w:t>predhodnem postopku</w:t>
      </w:r>
      <w:r w:rsidRPr="00503014">
        <w:rPr>
          <w:rFonts w:eastAsia="Calibri"/>
        </w:rPr>
        <w:t>:</w:t>
      </w:r>
    </w:p>
    <w:p w14:paraId="539BA342" w14:textId="77777777" w:rsidR="00695AE2" w:rsidRPr="00503014" w:rsidRDefault="00695AE2" w:rsidP="00695AE2">
      <w:pPr>
        <w:numPr>
          <w:ilvl w:val="0"/>
          <w:numId w:val="98"/>
        </w:numPr>
        <w:spacing w:after="160" w:line="240" w:lineRule="auto"/>
        <w:contextualSpacing/>
        <w:jc w:val="both"/>
        <w:rPr>
          <w:rFonts w:eastAsia="Calibri"/>
          <w:szCs w:val="22"/>
        </w:rPr>
      </w:pPr>
      <w:r w:rsidRPr="00503014">
        <w:rPr>
          <w:rFonts w:eastAsia="Calibri"/>
          <w:szCs w:val="22"/>
        </w:rPr>
        <w:t>v 2 zadevah je bila sklenjena izvensodna poravnava,</w:t>
      </w:r>
    </w:p>
    <w:p w14:paraId="14D30C6C" w14:textId="77777777" w:rsidR="00695AE2" w:rsidRPr="00503014" w:rsidRDefault="00695AE2" w:rsidP="00695AE2">
      <w:pPr>
        <w:numPr>
          <w:ilvl w:val="0"/>
          <w:numId w:val="98"/>
        </w:numPr>
        <w:spacing w:after="160" w:line="240" w:lineRule="auto"/>
        <w:contextualSpacing/>
        <w:jc w:val="both"/>
        <w:rPr>
          <w:rFonts w:eastAsia="Calibri"/>
          <w:szCs w:val="22"/>
        </w:rPr>
      </w:pPr>
      <w:r w:rsidRPr="00503014">
        <w:rPr>
          <w:rFonts w:eastAsia="Calibri"/>
          <w:szCs w:val="22"/>
        </w:rPr>
        <w:t>v 4 zadevah je Državno odvetništvo RS zahtevek zavrnilo,</w:t>
      </w:r>
    </w:p>
    <w:p w14:paraId="7F903EDB" w14:textId="77777777" w:rsidR="00695AE2" w:rsidRPr="00503014" w:rsidRDefault="00695AE2" w:rsidP="00695AE2">
      <w:pPr>
        <w:numPr>
          <w:ilvl w:val="0"/>
          <w:numId w:val="98"/>
        </w:numPr>
        <w:spacing w:after="160" w:line="240" w:lineRule="auto"/>
        <w:contextualSpacing/>
        <w:jc w:val="both"/>
        <w:rPr>
          <w:rFonts w:eastAsia="Calibri"/>
        </w:rPr>
      </w:pPr>
      <w:r w:rsidRPr="00503014">
        <w:rPr>
          <w:rFonts w:eastAsia="Calibri"/>
        </w:rPr>
        <w:t>preostale 3 zadeve so bile zaključene na drug način.</w:t>
      </w:r>
    </w:p>
    <w:p w14:paraId="5BC85D87" w14:textId="77777777" w:rsidR="00695AE2" w:rsidRPr="00503014" w:rsidRDefault="00695AE2" w:rsidP="00695AE2">
      <w:pPr>
        <w:spacing w:line="240" w:lineRule="auto"/>
        <w:jc w:val="both"/>
        <w:rPr>
          <w:rFonts w:eastAsia="Calibri"/>
        </w:rPr>
      </w:pPr>
    </w:p>
    <w:p w14:paraId="30B8FB8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Deleži posameznih vrst rešitev delovnopravnih in socialnopravnih zadev v predhodnem postopku</w:t>
      </w:r>
    </w:p>
    <w:p w14:paraId="1D546A06" w14:textId="77777777" w:rsidR="00695AE2" w:rsidRPr="00503014" w:rsidRDefault="00695AE2" w:rsidP="00695AE2">
      <w:pPr>
        <w:spacing w:line="240" w:lineRule="auto"/>
        <w:jc w:val="center"/>
        <w:rPr>
          <w:rFonts w:eastAsia="Calibri"/>
        </w:rPr>
      </w:pPr>
      <w:r w:rsidRPr="00503014">
        <w:rPr>
          <w:rFonts w:eastAsia="Calibri"/>
          <w:noProof/>
        </w:rPr>
        <w:lastRenderedPageBreak/>
        <w:drawing>
          <wp:inline distT="0" distB="0" distL="0" distR="0" wp14:anchorId="6D3F7734" wp14:editId="36CCF8FB">
            <wp:extent cx="3702050" cy="2452921"/>
            <wp:effectExtent l="0" t="0" r="0" b="5080"/>
            <wp:docPr id="1172646613" name="Slika 16" descr="Slika, ki vsebuje besede posnetek zaslona, besedilo, diagram,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46613" name="Slika 16" descr="Slika, ki vsebuje besede posnetek zaslona, besedilo, diagram, krog&#10;&#10;Vsebina, ustvarjena z UI, morda ni pravil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3174" cy="2460292"/>
                    </a:xfrm>
                    <a:prstGeom prst="rect">
                      <a:avLst/>
                    </a:prstGeom>
                    <a:noFill/>
                  </pic:spPr>
                </pic:pic>
              </a:graphicData>
            </a:graphic>
          </wp:inline>
        </w:drawing>
      </w:r>
    </w:p>
    <w:p w14:paraId="4A74314F" w14:textId="77777777" w:rsidR="00695AE2" w:rsidRPr="00503014" w:rsidRDefault="00695AE2" w:rsidP="00695AE2">
      <w:pPr>
        <w:spacing w:line="240" w:lineRule="auto"/>
        <w:jc w:val="center"/>
        <w:rPr>
          <w:rFonts w:eastAsia="Calibri"/>
        </w:rPr>
      </w:pPr>
    </w:p>
    <w:p w14:paraId="66948853" w14:textId="77777777" w:rsidR="00695AE2" w:rsidRPr="00503014" w:rsidRDefault="00695AE2" w:rsidP="00695AE2">
      <w:pPr>
        <w:spacing w:line="240" w:lineRule="auto"/>
        <w:jc w:val="both"/>
        <w:rPr>
          <w:rFonts w:eastAsia="Calibri"/>
          <w:b/>
          <w:bCs/>
        </w:rPr>
      </w:pPr>
      <w:r w:rsidRPr="00503014">
        <w:rPr>
          <w:rFonts w:eastAsia="Calibri"/>
        </w:rPr>
        <w:t>Zaključene zadeve v</w:t>
      </w:r>
      <w:r w:rsidRPr="00503014">
        <w:rPr>
          <w:rFonts w:eastAsia="Calibri"/>
          <w:b/>
          <w:bCs/>
        </w:rPr>
        <w:t xml:space="preserve"> </w:t>
      </w:r>
      <w:r w:rsidRPr="00503014">
        <w:rPr>
          <w:rFonts w:eastAsia="Calibri"/>
          <w:color w:val="007466"/>
        </w:rPr>
        <w:t>sodnem postopku</w:t>
      </w:r>
      <w:r w:rsidRPr="00503014">
        <w:rPr>
          <w:rFonts w:eastAsia="Calibri"/>
        </w:rPr>
        <w:t>:</w:t>
      </w:r>
    </w:p>
    <w:p w14:paraId="6B3ED62E" w14:textId="77777777" w:rsidR="00695AE2" w:rsidRPr="00503014" w:rsidRDefault="00695AE2" w:rsidP="00695AE2">
      <w:pPr>
        <w:numPr>
          <w:ilvl w:val="0"/>
          <w:numId w:val="99"/>
        </w:numPr>
        <w:spacing w:after="160" w:line="240" w:lineRule="auto"/>
        <w:contextualSpacing/>
        <w:jc w:val="both"/>
        <w:rPr>
          <w:rFonts w:eastAsia="Calibri"/>
          <w:szCs w:val="22"/>
        </w:rPr>
      </w:pPr>
      <w:r w:rsidRPr="00503014">
        <w:rPr>
          <w:rFonts w:eastAsia="Calibri"/>
          <w:szCs w:val="22"/>
        </w:rPr>
        <w:t>v 1 zadevi je bila sklenjena izvensodna poravnava,</w:t>
      </w:r>
    </w:p>
    <w:p w14:paraId="64AB907B" w14:textId="77777777" w:rsidR="00695AE2" w:rsidRPr="00503014" w:rsidRDefault="00695AE2" w:rsidP="00695AE2">
      <w:pPr>
        <w:numPr>
          <w:ilvl w:val="0"/>
          <w:numId w:val="99"/>
        </w:numPr>
        <w:spacing w:after="160" w:line="240" w:lineRule="auto"/>
        <w:contextualSpacing/>
        <w:jc w:val="both"/>
        <w:rPr>
          <w:rFonts w:eastAsia="Calibri"/>
          <w:szCs w:val="22"/>
        </w:rPr>
      </w:pPr>
      <w:r w:rsidRPr="00503014">
        <w:rPr>
          <w:rFonts w:eastAsia="Calibri"/>
          <w:szCs w:val="22"/>
        </w:rPr>
        <w:t>v 1.241 zadevah je bila sklenjena sodna poravnava,</w:t>
      </w:r>
    </w:p>
    <w:p w14:paraId="24D29C92" w14:textId="77777777" w:rsidR="00695AE2" w:rsidRPr="00503014" w:rsidRDefault="00695AE2" w:rsidP="00695AE2">
      <w:pPr>
        <w:numPr>
          <w:ilvl w:val="0"/>
          <w:numId w:val="99"/>
        </w:numPr>
        <w:spacing w:after="160" w:line="240" w:lineRule="auto"/>
        <w:contextualSpacing/>
        <w:jc w:val="both"/>
        <w:rPr>
          <w:rFonts w:eastAsia="Calibri"/>
          <w:szCs w:val="22"/>
        </w:rPr>
      </w:pPr>
      <w:r w:rsidRPr="00503014">
        <w:rPr>
          <w:rFonts w:eastAsia="Calibri"/>
          <w:szCs w:val="22"/>
        </w:rPr>
        <w:t>260 zadev se je zaključile z rešitvijo »dobljeno«,</w:t>
      </w:r>
    </w:p>
    <w:p w14:paraId="3ECD575E" w14:textId="77777777" w:rsidR="00695AE2" w:rsidRPr="00503014" w:rsidRDefault="00695AE2" w:rsidP="00695AE2">
      <w:pPr>
        <w:numPr>
          <w:ilvl w:val="0"/>
          <w:numId w:val="99"/>
        </w:numPr>
        <w:spacing w:after="160" w:line="240" w:lineRule="auto"/>
        <w:contextualSpacing/>
        <w:jc w:val="both"/>
        <w:rPr>
          <w:rFonts w:eastAsia="Calibri"/>
          <w:szCs w:val="22"/>
        </w:rPr>
      </w:pPr>
      <w:r w:rsidRPr="00503014">
        <w:rPr>
          <w:rFonts w:eastAsia="Calibri"/>
          <w:szCs w:val="22"/>
        </w:rPr>
        <w:t>340 zadev se je zaključilo z rešitvijo »izgubljeno«,</w:t>
      </w:r>
    </w:p>
    <w:p w14:paraId="669D922E" w14:textId="77777777" w:rsidR="00695AE2" w:rsidRPr="00503014" w:rsidRDefault="00695AE2" w:rsidP="00695AE2">
      <w:pPr>
        <w:numPr>
          <w:ilvl w:val="0"/>
          <w:numId w:val="99"/>
        </w:numPr>
        <w:spacing w:after="160" w:line="240" w:lineRule="auto"/>
        <w:contextualSpacing/>
        <w:jc w:val="both"/>
        <w:rPr>
          <w:rFonts w:eastAsia="Calibri"/>
          <w:szCs w:val="22"/>
        </w:rPr>
      </w:pPr>
      <w:r w:rsidRPr="00503014">
        <w:rPr>
          <w:rFonts w:eastAsia="Calibri"/>
          <w:szCs w:val="22"/>
        </w:rPr>
        <w:t>99 zadev se je zaključilo z rešitvijo »umik«,</w:t>
      </w:r>
    </w:p>
    <w:p w14:paraId="45FDD12B" w14:textId="77777777" w:rsidR="00695AE2" w:rsidRPr="00503014" w:rsidRDefault="00695AE2" w:rsidP="00695AE2">
      <w:pPr>
        <w:numPr>
          <w:ilvl w:val="0"/>
          <w:numId w:val="99"/>
        </w:numPr>
        <w:spacing w:after="160" w:line="240" w:lineRule="auto"/>
        <w:contextualSpacing/>
        <w:jc w:val="both"/>
        <w:rPr>
          <w:rFonts w:eastAsia="Calibri"/>
        </w:rPr>
      </w:pPr>
      <w:r w:rsidRPr="00503014">
        <w:rPr>
          <w:rFonts w:eastAsia="Calibri"/>
        </w:rPr>
        <w:t>preostalih 36 zadev se je zaključilo na drug način.</w:t>
      </w:r>
    </w:p>
    <w:p w14:paraId="354E2C06" w14:textId="77777777" w:rsidR="00695AE2" w:rsidRPr="00503014" w:rsidRDefault="00695AE2" w:rsidP="00695AE2">
      <w:pPr>
        <w:spacing w:line="240" w:lineRule="auto"/>
        <w:jc w:val="both"/>
        <w:rPr>
          <w:rFonts w:eastAsia="Calibri"/>
          <w:highlight w:val="green"/>
        </w:rPr>
      </w:pPr>
    </w:p>
    <w:p w14:paraId="12FBAE03"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503014">
        <w:rPr>
          <w:rFonts w:eastAsia="Calibri"/>
          <w:b/>
          <w:bCs/>
          <w:color w:val="007466"/>
          <w:sz w:val="20"/>
          <w:szCs w:val="20"/>
        </w:rPr>
        <w:t>Grafikon: Deleži posameznih vrst rešitev delovnopravnih in socialnopravnih zadev v sodnem postopku</w:t>
      </w:r>
    </w:p>
    <w:p w14:paraId="5C4F55A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p>
    <w:p w14:paraId="6A96843E"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color w:val="007466"/>
        </w:rPr>
      </w:pPr>
      <w:r w:rsidRPr="00503014">
        <w:rPr>
          <w:rFonts w:eastAsia="Calibri"/>
          <w:noProof/>
          <w:color w:val="007466"/>
        </w:rPr>
        <w:drawing>
          <wp:inline distT="0" distB="0" distL="0" distR="0" wp14:anchorId="70788F05" wp14:editId="5C13AADA">
            <wp:extent cx="3803763" cy="2520315"/>
            <wp:effectExtent l="0" t="0" r="6350" b="0"/>
            <wp:docPr id="672941362" name="Slika 17" descr="Slika, ki vsebuje besede besedilo, posnetek zaslona, diagram, krog&#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41362" name="Slika 17" descr="Slika, ki vsebuje besede besedilo, posnetek zaslona, diagram, krog&#10;&#10;Vsebina, ustvarjena z UI, morda ni praviln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4310" cy="2527303"/>
                    </a:xfrm>
                    <a:prstGeom prst="rect">
                      <a:avLst/>
                    </a:prstGeom>
                    <a:noFill/>
                  </pic:spPr>
                </pic:pic>
              </a:graphicData>
            </a:graphic>
          </wp:inline>
        </w:drawing>
      </w:r>
    </w:p>
    <w:bookmarkEnd w:id="406"/>
    <w:p w14:paraId="2B5C39C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0C217FC8"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Predhodni odškodninski postopki po Zakonu o kazenskem postopku (ZKP):</w:t>
      </w:r>
    </w:p>
    <w:p w14:paraId="7C2FD220" w14:textId="77777777" w:rsidR="00695AE2" w:rsidRPr="00503014" w:rsidRDefault="00695AE2" w:rsidP="00695AE2">
      <w:pPr>
        <w:spacing w:line="240" w:lineRule="auto"/>
        <w:jc w:val="both"/>
        <w:rPr>
          <w:rFonts w:eastAsia="Calibri"/>
          <w:szCs w:val="22"/>
        </w:rPr>
      </w:pPr>
    </w:p>
    <w:p w14:paraId="519D17DA"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Državno odvetništvo RS zaključilo </w:t>
      </w:r>
      <w:r w:rsidRPr="00503014">
        <w:rPr>
          <w:rFonts w:eastAsia="Calibri"/>
          <w:b/>
          <w:bCs/>
          <w:color w:val="007466"/>
          <w:szCs w:val="22"/>
        </w:rPr>
        <w:t>50 zadev</w:t>
      </w:r>
      <w:r w:rsidRPr="00503014">
        <w:rPr>
          <w:rFonts w:eastAsia="Calibri"/>
          <w:szCs w:val="22"/>
        </w:rPr>
        <w:t>:</w:t>
      </w:r>
    </w:p>
    <w:p w14:paraId="12A8D459" w14:textId="77777777" w:rsidR="00695AE2" w:rsidRPr="00503014" w:rsidRDefault="00695AE2" w:rsidP="00695AE2">
      <w:pPr>
        <w:numPr>
          <w:ilvl w:val="0"/>
          <w:numId w:val="100"/>
        </w:numPr>
        <w:spacing w:after="160" w:line="240" w:lineRule="auto"/>
        <w:contextualSpacing/>
        <w:jc w:val="both"/>
        <w:rPr>
          <w:rFonts w:eastAsia="Calibri"/>
          <w:szCs w:val="22"/>
        </w:rPr>
      </w:pPr>
      <w:r w:rsidRPr="00503014">
        <w:rPr>
          <w:rFonts w:eastAsia="Calibri"/>
          <w:szCs w:val="22"/>
        </w:rPr>
        <w:t>v 30 zadevah je bila sklenjena izvensodna poravnava,</w:t>
      </w:r>
    </w:p>
    <w:p w14:paraId="71E71F1D" w14:textId="77777777" w:rsidR="00695AE2" w:rsidRPr="00503014" w:rsidRDefault="00695AE2" w:rsidP="00695AE2">
      <w:pPr>
        <w:numPr>
          <w:ilvl w:val="0"/>
          <w:numId w:val="100"/>
        </w:numPr>
        <w:spacing w:after="160" w:line="240" w:lineRule="auto"/>
        <w:contextualSpacing/>
        <w:jc w:val="both"/>
        <w:rPr>
          <w:rFonts w:eastAsia="Calibri"/>
          <w:szCs w:val="22"/>
        </w:rPr>
      </w:pPr>
      <w:r w:rsidRPr="00503014">
        <w:rPr>
          <w:rFonts w:eastAsia="Calibri"/>
          <w:szCs w:val="22"/>
        </w:rPr>
        <w:t>v 3 zadevah oškodovanec ni sprejel poravnalne ponudbe,</w:t>
      </w:r>
    </w:p>
    <w:p w14:paraId="4AA191FF" w14:textId="77777777" w:rsidR="00695AE2" w:rsidRPr="00503014" w:rsidRDefault="00695AE2" w:rsidP="00695AE2">
      <w:pPr>
        <w:numPr>
          <w:ilvl w:val="0"/>
          <w:numId w:val="100"/>
        </w:numPr>
        <w:spacing w:after="160" w:line="240" w:lineRule="auto"/>
        <w:contextualSpacing/>
        <w:jc w:val="both"/>
        <w:rPr>
          <w:rFonts w:eastAsia="Calibri"/>
          <w:szCs w:val="22"/>
        </w:rPr>
      </w:pPr>
      <w:r w:rsidRPr="00503014">
        <w:rPr>
          <w:rFonts w:eastAsia="Calibri"/>
          <w:szCs w:val="22"/>
        </w:rPr>
        <w:t>v 14 zadevah je Državno odvetništvo RS zahtevek zavrnilo,</w:t>
      </w:r>
    </w:p>
    <w:p w14:paraId="336AC438" w14:textId="77777777" w:rsidR="00695AE2" w:rsidRPr="00503014" w:rsidRDefault="00695AE2" w:rsidP="00695AE2">
      <w:pPr>
        <w:numPr>
          <w:ilvl w:val="0"/>
          <w:numId w:val="100"/>
        </w:numPr>
        <w:spacing w:after="160" w:line="240" w:lineRule="auto"/>
        <w:contextualSpacing/>
        <w:jc w:val="both"/>
        <w:rPr>
          <w:rFonts w:eastAsia="Calibri"/>
        </w:rPr>
      </w:pPr>
      <w:r w:rsidRPr="00503014">
        <w:rPr>
          <w:rFonts w:eastAsia="Calibri"/>
        </w:rPr>
        <w:t>preostale 3 zadeve so bile zaključene na drug način.</w:t>
      </w:r>
    </w:p>
    <w:p w14:paraId="21F6775B" w14:textId="77777777" w:rsidR="00695AE2" w:rsidRPr="00503014" w:rsidRDefault="00695AE2" w:rsidP="00695AE2">
      <w:pPr>
        <w:spacing w:line="240" w:lineRule="auto"/>
        <w:ind w:left="720"/>
        <w:contextualSpacing/>
        <w:jc w:val="both"/>
        <w:rPr>
          <w:rFonts w:eastAsia="Calibri"/>
          <w:szCs w:val="22"/>
        </w:rPr>
      </w:pPr>
    </w:p>
    <w:p w14:paraId="074D9DD4" w14:textId="77777777" w:rsidR="00695AE2" w:rsidRPr="00503014" w:rsidRDefault="00695AE2" w:rsidP="00695AE2">
      <w:pPr>
        <w:spacing w:line="240" w:lineRule="auto"/>
        <w:jc w:val="both"/>
        <w:rPr>
          <w:rFonts w:eastAsia="Calibri"/>
        </w:rPr>
      </w:pPr>
      <w:r w:rsidRPr="00503014">
        <w:rPr>
          <w:rFonts w:eastAsia="Calibri"/>
        </w:rPr>
        <w:lastRenderedPageBreak/>
        <w:t xml:space="preserve">Gre za t.i. PK zadeve, glede katerih ima Državo odvetništvo RS sredstva za poravnavo obveznosti po sklenjenih poravnavah zagotovljena v svojem proračunu in tudi ne potrebuje soglasja drugega državnega organa, saj izvaja institucionalno pristojnost. </w:t>
      </w:r>
    </w:p>
    <w:p w14:paraId="47AC713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pacing w:val="1"/>
          <w:lang w:val="sk-SK"/>
        </w:rPr>
      </w:pPr>
    </w:p>
    <w:p w14:paraId="3D80CC8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pacing w:val="1"/>
          <w:lang w:val="sk-SK"/>
        </w:rPr>
      </w:pPr>
      <w:r w:rsidRPr="00503014">
        <w:rPr>
          <w:rFonts w:eastAsia="Calibri"/>
          <w:spacing w:val="1"/>
          <w:lang w:val="sk-SK"/>
        </w:rPr>
        <w:t xml:space="preserve">Skupna sporna vrednost v vseh zaključenih </w:t>
      </w:r>
      <w:r w:rsidRPr="00503014">
        <w:rPr>
          <w:rFonts w:eastAsia="Calibri"/>
        </w:rPr>
        <w:t xml:space="preserve">predhodnih odškodninskih postopkih po Zakonu o kazenskem postopku (ZKP) </w:t>
      </w:r>
      <w:r w:rsidRPr="00503014">
        <w:rPr>
          <w:rFonts w:eastAsia="Calibri"/>
          <w:spacing w:val="1"/>
          <w:lang w:val="sk-SK"/>
        </w:rPr>
        <w:t xml:space="preserve">je bila 7.158.139,26 evra, Republiki Sloveniji pa je bilo v zaključenih zadevah naloženo plačilo zneska v višini 261.155,28 evra. Gre za 30 zaključenih zadev, v katerih so bile sklenjene izvensodne poravnave in v katerih je bila sicer skupna zahtevana vrednost odškodnin 1.271.208,15 evra. Državno odvetništvo RS je torej s sklenitvijo izvensodnih poravnav </w:t>
      </w:r>
      <w:bookmarkStart w:id="407" w:name="_Hlk190684410"/>
      <w:r w:rsidRPr="00503014">
        <w:rPr>
          <w:rFonts w:eastAsia="Calibri"/>
          <w:spacing w:val="1"/>
          <w:lang w:val="sk-SK"/>
        </w:rPr>
        <w:t>ustvarilo prihranek za proračun v višini 1.010</w:t>
      </w:r>
      <w:r w:rsidRPr="00503014">
        <w:rPr>
          <w:rFonts w:eastAsia="Times New Roman"/>
          <w:spacing w:val="1"/>
          <w:lang w:val="sk-SK"/>
        </w:rPr>
        <w:t>.052,87 evra, kar pomeni 79,46 odstotni uspeh.</w:t>
      </w:r>
    </w:p>
    <w:bookmarkEnd w:id="407"/>
    <w:p w14:paraId="11327C88" w14:textId="77777777" w:rsidR="00695AE2" w:rsidRPr="00503014" w:rsidRDefault="00695AE2" w:rsidP="00695AE2">
      <w:pPr>
        <w:spacing w:line="240" w:lineRule="auto"/>
        <w:jc w:val="both"/>
        <w:rPr>
          <w:rFonts w:eastAsia="Times New Roman"/>
        </w:rPr>
      </w:pPr>
    </w:p>
    <w:p w14:paraId="58E0370F" w14:textId="77777777" w:rsidR="00695AE2" w:rsidRPr="00503014" w:rsidRDefault="00695AE2" w:rsidP="00695AE2">
      <w:pPr>
        <w:tabs>
          <w:tab w:val="left" w:pos="1620"/>
        </w:tabs>
        <w:spacing w:line="240" w:lineRule="auto"/>
        <w:jc w:val="both"/>
        <w:rPr>
          <w:rFonts w:eastAsia="Calibri"/>
          <w:b/>
          <w:bCs/>
          <w:color w:val="007466"/>
          <w:sz w:val="20"/>
          <w:szCs w:val="20"/>
        </w:rPr>
      </w:pPr>
      <w:r w:rsidRPr="00503014">
        <w:rPr>
          <w:rFonts w:eastAsia="Calibri"/>
          <w:b/>
          <w:bCs/>
          <w:color w:val="007466"/>
          <w:sz w:val="20"/>
          <w:szCs w:val="20"/>
        </w:rPr>
        <w:t xml:space="preserve">Grafikon: Prikaz uspeha Republike Slovenije kot stranke v zaključenih »PK« zadevah  </w:t>
      </w:r>
    </w:p>
    <w:p w14:paraId="2CAD297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pacing w:val="1"/>
          <w:sz w:val="20"/>
          <w:szCs w:val="20"/>
          <w:lang w:val="sk-SK"/>
        </w:rPr>
      </w:pPr>
    </w:p>
    <w:p w14:paraId="0A1DA7F6" w14:textId="77777777" w:rsidR="00695AE2" w:rsidRPr="00503014" w:rsidRDefault="00695AE2" w:rsidP="00695AE2">
      <w:pPr>
        <w:jc w:val="center"/>
        <w:rPr>
          <w:rFonts w:eastAsia="Times New Roman"/>
        </w:rPr>
      </w:pPr>
      <w:r w:rsidRPr="00503014">
        <w:rPr>
          <w:rFonts w:eastAsia="Times New Roman"/>
          <w:noProof/>
        </w:rPr>
        <w:drawing>
          <wp:inline distT="0" distB="0" distL="0" distR="0" wp14:anchorId="798E46BB" wp14:editId="623C7675">
            <wp:extent cx="3735844" cy="2146300"/>
            <wp:effectExtent l="0" t="0" r="0" b="6350"/>
            <wp:docPr id="1956233451" name="Slika 1" descr="Slika, ki vsebuje besede besedilo, posnetek zaslona, pravokotnik,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33451" name="Slika 1" descr="Slika, ki vsebuje besede besedilo, posnetek zaslona, pravokotnik, oblikovanje&#10;&#10;Vsebina, ustvarjena z UI, morda ni praviln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8858" cy="2159522"/>
                    </a:xfrm>
                    <a:prstGeom prst="rect">
                      <a:avLst/>
                    </a:prstGeom>
                    <a:noFill/>
                  </pic:spPr>
                </pic:pic>
              </a:graphicData>
            </a:graphic>
          </wp:inline>
        </w:drawing>
      </w:r>
    </w:p>
    <w:p w14:paraId="2EC12C09" w14:textId="77777777" w:rsidR="00695AE2" w:rsidRPr="00503014" w:rsidRDefault="00695AE2" w:rsidP="00695AE2">
      <w:pPr>
        <w:spacing w:line="240" w:lineRule="auto"/>
        <w:jc w:val="both"/>
        <w:rPr>
          <w:rFonts w:eastAsia="Calibri"/>
          <w:szCs w:val="22"/>
        </w:rPr>
      </w:pPr>
    </w:p>
    <w:p w14:paraId="43C31A6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Predhodni odškodninski postopki po Zakonu o prekrških (ZP-1):</w:t>
      </w:r>
    </w:p>
    <w:p w14:paraId="2ED9BA8A" w14:textId="77777777" w:rsidR="00695AE2" w:rsidRPr="00503014" w:rsidRDefault="00695AE2" w:rsidP="00695AE2">
      <w:pPr>
        <w:spacing w:line="240" w:lineRule="auto"/>
        <w:jc w:val="both"/>
        <w:rPr>
          <w:rFonts w:eastAsia="Calibri"/>
        </w:rPr>
      </w:pPr>
    </w:p>
    <w:p w14:paraId="71D60C08"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Državno odvetništvo RS zaključilo </w:t>
      </w:r>
      <w:r w:rsidRPr="00503014">
        <w:rPr>
          <w:rFonts w:eastAsia="Calibri"/>
          <w:b/>
          <w:bCs/>
          <w:color w:val="007466"/>
          <w:szCs w:val="22"/>
        </w:rPr>
        <w:t>10 zadev</w:t>
      </w:r>
      <w:r w:rsidRPr="00503014">
        <w:rPr>
          <w:rFonts w:eastAsia="Calibri"/>
          <w:szCs w:val="22"/>
        </w:rPr>
        <w:t>:</w:t>
      </w:r>
    </w:p>
    <w:p w14:paraId="3B988F2F" w14:textId="77777777" w:rsidR="00695AE2" w:rsidRPr="00503014" w:rsidRDefault="00695AE2" w:rsidP="00695AE2">
      <w:pPr>
        <w:numPr>
          <w:ilvl w:val="0"/>
          <w:numId w:val="101"/>
        </w:numPr>
        <w:spacing w:after="160" w:line="240" w:lineRule="auto"/>
        <w:contextualSpacing/>
        <w:jc w:val="both"/>
        <w:rPr>
          <w:rFonts w:eastAsia="Calibri"/>
          <w:szCs w:val="22"/>
        </w:rPr>
      </w:pPr>
      <w:r w:rsidRPr="00503014">
        <w:rPr>
          <w:rFonts w:eastAsia="Calibri"/>
          <w:szCs w:val="22"/>
        </w:rPr>
        <w:t>v 2 zadevah je bila sklenjena izvensodna poravnava,</w:t>
      </w:r>
    </w:p>
    <w:p w14:paraId="66B9D6B6" w14:textId="77777777" w:rsidR="00695AE2" w:rsidRPr="00503014" w:rsidRDefault="00695AE2" w:rsidP="00695AE2">
      <w:pPr>
        <w:numPr>
          <w:ilvl w:val="0"/>
          <w:numId w:val="101"/>
        </w:numPr>
        <w:spacing w:after="160" w:line="240" w:lineRule="auto"/>
        <w:contextualSpacing/>
        <w:jc w:val="both"/>
        <w:rPr>
          <w:rFonts w:eastAsia="Calibri"/>
          <w:szCs w:val="22"/>
        </w:rPr>
      </w:pPr>
      <w:r w:rsidRPr="00503014">
        <w:rPr>
          <w:rFonts w:eastAsia="Calibri"/>
          <w:szCs w:val="22"/>
        </w:rPr>
        <w:t>v 7 zadevah je Državno odvetništvo RS zahtevek zavrnilo,</w:t>
      </w:r>
    </w:p>
    <w:p w14:paraId="026EFFC1" w14:textId="77777777" w:rsidR="00695AE2" w:rsidRPr="00503014" w:rsidRDefault="00695AE2" w:rsidP="00695AE2">
      <w:pPr>
        <w:numPr>
          <w:ilvl w:val="0"/>
          <w:numId w:val="101"/>
        </w:numPr>
        <w:spacing w:after="160" w:line="240" w:lineRule="auto"/>
        <w:contextualSpacing/>
        <w:jc w:val="both"/>
        <w:rPr>
          <w:rFonts w:eastAsia="Calibri"/>
          <w:szCs w:val="22"/>
        </w:rPr>
      </w:pPr>
      <w:r w:rsidRPr="00503014">
        <w:rPr>
          <w:rFonts w:eastAsia="Calibri"/>
          <w:szCs w:val="22"/>
        </w:rPr>
        <w:t>1 zadeva je bila zaključena na drug način.</w:t>
      </w:r>
    </w:p>
    <w:p w14:paraId="7756375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41963FE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Zadeve po Zakonu o varstvu pravice do sojenja v nerazumnem roku (ZVPSBNO):</w:t>
      </w:r>
    </w:p>
    <w:p w14:paraId="3C1F5BE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1A15DA4E" w14:textId="77777777" w:rsidR="00695AE2" w:rsidRPr="00503014" w:rsidRDefault="00695AE2" w:rsidP="00695AE2">
      <w:pPr>
        <w:spacing w:line="240" w:lineRule="auto"/>
        <w:jc w:val="both"/>
        <w:rPr>
          <w:rFonts w:eastAsia="Calibri"/>
        </w:rPr>
      </w:pPr>
      <w:r w:rsidRPr="00503014">
        <w:rPr>
          <w:rFonts w:eastAsia="Calibri"/>
        </w:rPr>
        <w:t xml:space="preserve">Postopke v skladu z ZVPSBNO Državno odvetništvo RS obravnava v predhodnem in sodnem postopku. </w:t>
      </w:r>
    </w:p>
    <w:p w14:paraId="5364A1F3" w14:textId="77777777" w:rsidR="00695AE2" w:rsidRPr="00503014" w:rsidRDefault="00695AE2" w:rsidP="00695AE2">
      <w:pPr>
        <w:spacing w:line="240" w:lineRule="auto"/>
        <w:jc w:val="both"/>
        <w:rPr>
          <w:rFonts w:eastAsia="Calibri"/>
        </w:rPr>
      </w:pPr>
    </w:p>
    <w:p w14:paraId="56A5C948"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na tem področju dela zaključilo </w:t>
      </w:r>
      <w:r w:rsidRPr="00503014">
        <w:rPr>
          <w:rFonts w:eastAsia="Calibri"/>
          <w:b/>
          <w:bCs/>
          <w:color w:val="007466"/>
          <w:szCs w:val="22"/>
        </w:rPr>
        <w:t>62 zadev</w:t>
      </w:r>
      <w:r w:rsidRPr="00503014">
        <w:rPr>
          <w:rFonts w:eastAsia="Calibri"/>
          <w:szCs w:val="22"/>
        </w:rPr>
        <w:t xml:space="preserve">, od tega 57 zadev v predhodnem postopku in 5 zadev v sodnem postopku. </w:t>
      </w:r>
    </w:p>
    <w:p w14:paraId="3127BF7A" w14:textId="77777777" w:rsidR="00695AE2" w:rsidRPr="00503014" w:rsidRDefault="00695AE2" w:rsidP="00695AE2">
      <w:pPr>
        <w:spacing w:line="240" w:lineRule="auto"/>
        <w:jc w:val="both"/>
        <w:rPr>
          <w:rFonts w:eastAsia="Calibri"/>
        </w:rPr>
      </w:pPr>
    </w:p>
    <w:p w14:paraId="5CE96982" w14:textId="77777777" w:rsidR="00695AE2" w:rsidRPr="00503014" w:rsidRDefault="00695AE2" w:rsidP="00695AE2">
      <w:pPr>
        <w:spacing w:line="240" w:lineRule="auto"/>
        <w:jc w:val="both"/>
        <w:rPr>
          <w:rFonts w:eastAsia="Calibri"/>
        </w:rPr>
      </w:pPr>
      <w:r w:rsidRPr="00503014">
        <w:rPr>
          <w:rFonts w:eastAsia="Calibri"/>
        </w:rPr>
        <w:t xml:space="preserve">Zaključene zadeve v </w:t>
      </w:r>
      <w:r w:rsidRPr="00503014">
        <w:rPr>
          <w:rFonts w:eastAsia="Calibri"/>
          <w:color w:val="007466"/>
        </w:rPr>
        <w:t>predhodnem postopku</w:t>
      </w:r>
      <w:r w:rsidRPr="00503014">
        <w:rPr>
          <w:rFonts w:eastAsia="Calibri"/>
        </w:rPr>
        <w:t>:</w:t>
      </w:r>
    </w:p>
    <w:p w14:paraId="0181974B" w14:textId="77777777" w:rsidR="00695AE2" w:rsidRPr="00503014" w:rsidRDefault="00695AE2" w:rsidP="00695AE2">
      <w:pPr>
        <w:numPr>
          <w:ilvl w:val="0"/>
          <w:numId w:val="102"/>
        </w:numPr>
        <w:spacing w:after="160" w:line="240" w:lineRule="auto"/>
        <w:contextualSpacing/>
        <w:jc w:val="both"/>
        <w:rPr>
          <w:rFonts w:eastAsia="Calibri"/>
          <w:szCs w:val="22"/>
        </w:rPr>
      </w:pPr>
      <w:r w:rsidRPr="00503014">
        <w:rPr>
          <w:rFonts w:eastAsia="Calibri"/>
          <w:szCs w:val="22"/>
        </w:rPr>
        <w:t>v 11 zadevah je bila sklenjena izvensodna poravnava,</w:t>
      </w:r>
    </w:p>
    <w:p w14:paraId="6395BD69" w14:textId="77777777" w:rsidR="00695AE2" w:rsidRPr="00503014" w:rsidRDefault="00695AE2" w:rsidP="00695AE2">
      <w:pPr>
        <w:numPr>
          <w:ilvl w:val="0"/>
          <w:numId w:val="102"/>
        </w:numPr>
        <w:spacing w:after="160" w:line="240" w:lineRule="auto"/>
        <w:contextualSpacing/>
        <w:jc w:val="both"/>
        <w:rPr>
          <w:rFonts w:eastAsia="Calibri"/>
          <w:szCs w:val="22"/>
        </w:rPr>
      </w:pPr>
      <w:r w:rsidRPr="00503014">
        <w:rPr>
          <w:rFonts w:eastAsia="Calibri"/>
          <w:szCs w:val="22"/>
        </w:rPr>
        <w:t>v 24 zadevah je Državno odvetništvo RS odškodninski zahtevek bodisi zavrnilo bodisi zavrglo,</w:t>
      </w:r>
    </w:p>
    <w:p w14:paraId="02904296" w14:textId="77777777" w:rsidR="00695AE2" w:rsidRPr="00503014" w:rsidRDefault="00695AE2" w:rsidP="00695AE2">
      <w:pPr>
        <w:numPr>
          <w:ilvl w:val="0"/>
          <w:numId w:val="102"/>
        </w:numPr>
        <w:spacing w:after="160" w:line="240" w:lineRule="auto"/>
        <w:contextualSpacing/>
        <w:jc w:val="both"/>
        <w:rPr>
          <w:rFonts w:eastAsia="Calibri"/>
        </w:rPr>
      </w:pPr>
      <w:r w:rsidRPr="00503014">
        <w:rPr>
          <w:rFonts w:eastAsia="Calibri"/>
        </w:rPr>
        <w:t>preostalih 22 zadev se je zaključilo na drug način.</w:t>
      </w:r>
    </w:p>
    <w:p w14:paraId="73572079" w14:textId="77777777" w:rsidR="00695AE2" w:rsidRPr="00503014" w:rsidRDefault="00695AE2" w:rsidP="00695AE2">
      <w:pPr>
        <w:spacing w:line="240" w:lineRule="auto"/>
        <w:jc w:val="both"/>
        <w:rPr>
          <w:rFonts w:eastAsia="Calibri"/>
        </w:rPr>
      </w:pPr>
    </w:p>
    <w:p w14:paraId="7085B3B3" w14:textId="77777777" w:rsidR="00695AE2" w:rsidRPr="00503014" w:rsidRDefault="00695AE2" w:rsidP="00695AE2">
      <w:pPr>
        <w:spacing w:line="240" w:lineRule="auto"/>
        <w:jc w:val="both"/>
        <w:rPr>
          <w:rFonts w:eastAsia="Calibri"/>
          <w:b/>
          <w:bCs/>
        </w:rPr>
      </w:pPr>
      <w:r w:rsidRPr="00503014">
        <w:rPr>
          <w:rFonts w:eastAsia="Calibri"/>
        </w:rPr>
        <w:lastRenderedPageBreak/>
        <w:t>Zaključene zadeve v</w:t>
      </w:r>
      <w:r w:rsidRPr="00503014">
        <w:rPr>
          <w:rFonts w:eastAsia="Calibri"/>
          <w:b/>
          <w:bCs/>
        </w:rPr>
        <w:t xml:space="preserve"> </w:t>
      </w:r>
      <w:r w:rsidRPr="00503014">
        <w:rPr>
          <w:rFonts w:eastAsia="Calibri"/>
          <w:color w:val="007466"/>
        </w:rPr>
        <w:t>sodnem postopku</w:t>
      </w:r>
      <w:r w:rsidRPr="00503014">
        <w:rPr>
          <w:rFonts w:eastAsia="Calibri"/>
        </w:rPr>
        <w:t>:</w:t>
      </w:r>
    </w:p>
    <w:p w14:paraId="544BC09A" w14:textId="77777777" w:rsidR="00695AE2" w:rsidRPr="00503014" w:rsidRDefault="00695AE2" w:rsidP="00695AE2">
      <w:pPr>
        <w:numPr>
          <w:ilvl w:val="0"/>
          <w:numId w:val="102"/>
        </w:numPr>
        <w:spacing w:after="160" w:line="240" w:lineRule="auto"/>
        <w:contextualSpacing/>
        <w:jc w:val="both"/>
        <w:rPr>
          <w:rFonts w:eastAsia="Calibri"/>
          <w:szCs w:val="22"/>
        </w:rPr>
      </w:pPr>
      <w:r w:rsidRPr="00503014">
        <w:rPr>
          <w:rFonts w:eastAsia="Calibri"/>
          <w:szCs w:val="22"/>
        </w:rPr>
        <w:t>v 1 zadevi je bila sklenjena izvensodna poravnava</w:t>
      </w:r>
    </w:p>
    <w:p w14:paraId="7928C768" w14:textId="77777777" w:rsidR="00695AE2" w:rsidRPr="00503014" w:rsidRDefault="00695AE2" w:rsidP="00695AE2">
      <w:pPr>
        <w:numPr>
          <w:ilvl w:val="0"/>
          <w:numId w:val="102"/>
        </w:numPr>
        <w:spacing w:after="160" w:line="240" w:lineRule="auto"/>
        <w:contextualSpacing/>
        <w:jc w:val="both"/>
        <w:rPr>
          <w:rFonts w:eastAsia="Calibri"/>
          <w:szCs w:val="22"/>
        </w:rPr>
      </w:pPr>
      <w:r w:rsidRPr="00503014">
        <w:rPr>
          <w:rFonts w:eastAsia="Calibri"/>
          <w:szCs w:val="22"/>
        </w:rPr>
        <w:t>3 zadeve so se zaključile z rešitvijo »dobljeno«,</w:t>
      </w:r>
    </w:p>
    <w:p w14:paraId="2C76DD77" w14:textId="77777777" w:rsidR="00695AE2" w:rsidRPr="00503014" w:rsidRDefault="00695AE2" w:rsidP="00695AE2">
      <w:pPr>
        <w:numPr>
          <w:ilvl w:val="0"/>
          <w:numId w:val="102"/>
        </w:numPr>
        <w:spacing w:after="160" w:line="240" w:lineRule="auto"/>
        <w:contextualSpacing/>
        <w:jc w:val="both"/>
        <w:rPr>
          <w:rFonts w:eastAsia="Calibri"/>
          <w:szCs w:val="22"/>
        </w:rPr>
      </w:pPr>
      <w:r w:rsidRPr="00503014">
        <w:rPr>
          <w:rFonts w:eastAsia="Calibri"/>
          <w:szCs w:val="22"/>
        </w:rPr>
        <w:t>1 zadeva je bila zaključena z rešitvijo »izgubljeno«.</w:t>
      </w:r>
    </w:p>
    <w:p w14:paraId="671ADB4C" w14:textId="77777777" w:rsidR="00695AE2" w:rsidRPr="00503014" w:rsidRDefault="00695AE2" w:rsidP="00695AE2">
      <w:pPr>
        <w:spacing w:line="240" w:lineRule="auto"/>
        <w:jc w:val="both"/>
        <w:rPr>
          <w:rFonts w:eastAsia="Calibri"/>
        </w:rPr>
      </w:pPr>
    </w:p>
    <w:p w14:paraId="0C5BCDE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Zadeve po Zakonu o povračilu škode osebam, ki so bile izbrisane iz registra stalnega prebivalstva (ZPŠOIRSP):</w:t>
      </w:r>
    </w:p>
    <w:p w14:paraId="38F5C6FE" w14:textId="77777777" w:rsidR="00695AE2" w:rsidRPr="00503014" w:rsidRDefault="00695AE2" w:rsidP="00695AE2">
      <w:pPr>
        <w:spacing w:line="240" w:lineRule="auto"/>
        <w:jc w:val="both"/>
        <w:rPr>
          <w:rFonts w:eastAsia="Calibri"/>
          <w:color w:val="006666"/>
        </w:rPr>
      </w:pPr>
    </w:p>
    <w:p w14:paraId="47DFD617"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na tem področju dela zaključilo </w:t>
      </w:r>
      <w:r w:rsidRPr="00503014">
        <w:rPr>
          <w:rFonts w:eastAsia="Calibri"/>
          <w:b/>
          <w:bCs/>
          <w:color w:val="007466"/>
          <w:szCs w:val="22"/>
        </w:rPr>
        <w:t>17 zadev</w:t>
      </w:r>
      <w:r w:rsidRPr="00503014">
        <w:rPr>
          <w:rFonts w:eastAsia="Calibri"/>
          <w:szCs w:val="22"/>
        </w:rPr>
        <w:t xml:space="preserve">, in sicer so bile vse zadeve zaključene v sodnem postopku. </w:t>
      </w:r>
    </w:p>
    <w:p w14:paraId="712505B2" w14:textId="77777777" w:rsidR="00695AE2" w:rsidRPr="00503014" w:rsidRDefault="00695AE2" w:rsidP="00695AE2">
      <w:pPr>
        <w:spacing w:line="240" w:lineRule="auto"/>
        <w:jc w:val="both"/>
        <w:rPr>
          <w:rFonts w:eastAsia="Calibri"/>
          <w:szCs w:val="22"/>
        </w:rPr>
      </w:pPr>
    </w:p>
    <w:p w14:paraId="34587999" w14:textId="77777777" w:rsidR="00695AE2" w:rsidRPr="00503014" w:rsidRDefault="00695AE2" w:rsidP="00695AE2">
      <w:pPr>
        <w:spacing w:line="240" w:lineRule="auto"/>
        <w:jc w:val="both"/>
        <w:rPr>
          <w:rFonts w:eastAsia="Calibri"/>
        </w:rPr>
      </w:pPr>
      <w:r w:rsidRPr="00503014">
        <w:rPr>
          <w:rFonts w:eastAsia="Calibri"/>
          <w:szCs w:val="22"/>
        </w:rPr>
        <w:t xml:space="preserve">Zaključene zadeve v </w:t>
      </w:r>
      <w:r w:rsidRPr="00503014">
        <w:rPr>
          <w:rFonts w:eastAsia="Calibri"/>
          <w:color w:val="007466"/>
          <w:szCs w:val="22"/>
        </w:rPr>
        <w:t>sodnem postopku:</w:t>
      </w:r>
    </w:p>
    <w:p w14:paraId="413DA6D8" w14:textId="77777777" w:rsidR="00695AE2" w:rsidRPr="00503014" w:rsidRDefault="00695AE2" w:rsidP="00695AE2">
      <w:pPr>
        <w:numPr>
          <w:ilvl w:val="0"/>
          <w:numId w:val="103"/>
        </w:numPr>
        <w:spacing w:after="160" w:line="240" w:lineRule="auto"/>
        <w:contextualSpacing/>
        <w:jc w:val="both"/>
        <w:rPr>
          <w:rFonts w:eastAsia="Calibri"/>
          <w:szCs w:val="22"/>
        </w:rPr>
      </w:pPr>
      <w:r w:rsidRPr="00503014">
        <w:rPr>
          <w:rFonts w:eastAsia="Calibri"/>
          <w:szCs w:val="22"/>
          <w:lang w:bidi="ar-YE"/>
        </w:rPr>
        <w:t>16 zadev se je</w:t>
      </w:r>
      <w:r w:rsidRPr="00503014">
        <w:rPr>
          <w:rFonts w:eastAsia="Calibri"/>
          <w:szCs w:val="22"/>
        </w:rPr>
        <w:t xml:space="preserve"> zaključilo z rešitvijo »dobljeno«,</w:t>
      </w:r>
    </w:p>
    <w:p w14:paraId="75367226" w14:textId="77777777" w:rsidR="00695AE2" w:rsidRPr="00503014" w:rsidRDefault="00695AE2" w:rsidP="00695AE2">
      <w:pPr>
        <w:numPr>
          <w:ilvl w:val="0"/>
          <w:numId w:val="103"/>
        </w:numPr>
        <w:spacing w:after="160" w:line="240" w:lineRule="auto"/>
        <w:contextualSpacing/>
        <w:jc w:val="both"/>
        <w:rPr>
          <w:rFonts w:eastAsia="Calibri"/>
        </w:rPr>
      </w:pPr>
      <w:r w:rsidRPr="00503014">
        <w:rPr>
          <w:rFonts w:eastAsia="Calibri"/>
        </w:rPr>
        <w:t>1 zadeva se je zaključila z rešitvijo »izgubljeno«.</w:t>
      </w:r>
    </w:p>
    <w:p w14:paraId="44C61929" w14:textId="77777777" w:rsidR="00695AE2" w:rsidRPr="00503014" w:rsidRDefault="00695AE2" w:rsidP="00695AE2">
      <w:pPr>
        <w:spacing w:line="240" w:lineRule="auto"/>
        <w:ind w:left="720"/>
        <w:contextualSpacing/>
        <w:jc w:val="both"/>
        <w:rPr>
          <w:rFonts w:eastAsia="Calibri"/>
        </w:rPr>
      </w:pPr>
    </w:p>
    <w:p w14:paraId="7EC00F6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pacing w:val="1"/>
          <w:lang w:val="sk-SK"/>
        </w:rPr>
      </w:pPr>
      <w:bookmarkStart w:id="408" w:name="_Hlk190692744"/>
      <w:r w:rsidRPr="00503014">
        <w:rPr>
          <w:rFonts w:eastAsia="Calibri"/>
          <w:spacing w:val="1"/>
          <w:lang w:val="sk-SK"/>
        </w:rPr>
        <w:t xml:space="preserve">Skupna sporna vrednost v vseh zaključenih zadevah </w:t>
      </w:r>
      <w:r w:rsidRPr="00503014">
        <w:rPr>
          <w:rFonts w:eastAsia="Calibri"/>
        </w:rPr>
        <w:t xml:space="preserve">po Zakonu o povračilu škode osebam, ki so bile izbrisane iz registra stalnega prebivalstva (ZPŠOIRSP), </w:t>
      </w:r>
      <w:r w:rsidRPr="00503014">
        <w:rPr>
          <w:rFonts w:eastAsia="Calibri"/>
          <w:spacing w:val="1"/>
          <w:lang w:val="sk-SK"/>
        </w:rPr>
        <w:t>je bila 1.429.962,98 evra, Republiki Sloveniji pa je bilo v teh zaključenih zadevah naloženo plačilo zneska v višini 122.789,29 evra, kar je le 8,59 odstotka vtoževane vrednosti. Navedeno pomeni, da je Državno odvetništvo RS predvsem s svojim uspešnim in učinkovitim vodenjem zadev ustvarilo 1.307.173,69 evra prihranka za proračun.</w:t>
      </w:r>
    </w:p>
    <w:bookmarkEnd w:id="408"/>
    <w:p w14:paraId="291B2C7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pacing w:val="1"/>
          <w:lang w:val="sk-SK"/>
        </w:rPr>
      </w:pPr>
    </w:p>
    <w:p w14:paraId="1285D9D4" w14:textId="77777777" w:rsidR="00695AE2" w:rsidRPr="00503014" w:rsidRDefault="00695AE2" w:rsidP="00695AE2">
      <w:pPr>
        <w:tabs>
          <w:tab w:val="left" w:pos="1620"/>
        </w:tabs>
        <w:spacing w:line="240" w:lineRule="auto"/>
        <w:jc w:val="both"/>
        <w:rPr>
          <w:rFonts w:eastAsia="Calibri"/>
          <w:b/>
          <w:bCs/>
          <w:color w:val="007466"/>
          <w:sz w:val="20"/>
          <w:szCs w:val="20"/>
        </w:rPr>
      </w:pPr>
      <w:r w:rsidRPr="00503014">
        <w:rPr>
          <w:rFonts w:eastAsia="Calibri"/>
          <w:b/>
          <w:bCs/>
          <w:color w:val="007466"/>
          <w:sz w:val="20"/>
          <w:szCs w:val="20"/>
        </w:rPr>
        <w:t xml:space="preserve">Grafikon: Prikaz uspeha Republike Slovenije kot stranke v zaključenih zadevah »izbrisani«  </w:t>
      </w:r>
    </w:p>
    <w:p w14:paraId="34025283" w14:textId="77777777" w:rsidR="00695AE2" w:rsidRPr="00503014" w:rsidRDefault="00695AE2" w:rsidP="00695AE2">
      <w:pPr>
        <w:tabs>
          <w:tab w:val="left" w:pos="1620"/>
        </w:tabs>
        <w:spacing w:line="240" w:lineRule="auto"/>
        <w:jc w:val="both"/>
        <w:rPr>
          <w:rFonts w:eastAsia="Calibri"/>
          <w:b/>
          <w:bCs/>
          <w:color w:val="007466"/>
          <w:sz w:val="20"/>
          <w:szCs w:val="20"/>
        </w:rPr>
      </w:pPr>
    </w:p>
    <w:p w14:paraId="582443C7" w14:textId="77777777" w:rsidR="00695AE2" w:rsidRPr="00503014" w:rsidRDefault="00695AE2" w:rsidP="00695AE2">
      <w:pPr>
        <w:tabs>
          <w:tab w:val="left" w:pos="283"/>
        </w:tabs>
        <w:autoSpaceDE w:val="0"/>
        <w:autoSpaceDN w:val="0"/>
        <w:adjustRightInd w:val="0"/>
        <w:spacing w:line="240" w:lineRule="auto"/>
        <w:jc w:val="center"/>
        <w:textAlignment w:val="center"/>
        <w:rPr>
          <w:rFonts w:eastAsia="Calibri"/>
          <w:spacing w:val="1"/>
          <w:lang w:val="sk-SK"/>
        </w:rPr>
      </w:pPr>
      <w:r w:rsidRPr="00503014">
        <w:rPr>
          <w:rFonts w:eastAsia="Calibri"/>
          <w:noProof/>
          <w:spacing w:val="1"/>
          <w:lang w:val="sk-SK"/>
        </w:rPr>
        <w:drawing>
          <wp:inline distT="0" distB="0" distL="0" distR="0" wp14:anchorId="44995087" wp14:editId="48B325B5">
            <wp:extent cx="3783811" cy="2173857"/>
            <wp:effectExtent l="0" t="0" r="7620" b="0"/>
            <wp:docPr id="945302020" name="Slika 2" descr="Slika, ki vsebuje besede besedilo, posnetek zaslon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2020" name="Slika 2" descr="Slika, ki vsebuje besede besedilo, posnetek zaslona, oblikovanje&#10;&#10;Vsebina, ustvarjena z UI, morda ni praviln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853" cy="2189393"/>
                    </a:xfrm>
                    <a:prstGeom prst="rect">
                      <a:avLst/>
                    </a:prstGeom>
                    <a:noFill/>
                  </pic:spPr>
                </pic:pic>
              </a:graphicData>
            </a:graphic>
          </wp:inline>
        </w:drawing>
      </w:r>
    </w:p>
    <w:p w14:paraId="0249217B"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pacing w:val="1"/>
          <w:lang w:val="sk-SK"/>
        </w:rPr>
      </w:pPr>
    </w:p>
    <w:p w14:paraId="4A962CA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Postopki izvršbe in zavarovanja:</w:t>
      </w:r>
    </w:p>
    <w:p w14:paraId="7E3BA249" w14:textId="77777777" w:rsidR="00695AE2" w:rsidRPr="00503014" w:rsidRDefault="00695AE2" w:rsidP="00695AE2">
      <w:pPr>
        <w:spacing w:line="240" w:lineRule="auto"/>
        <w:jc w:val="both"/>
        <w:rPr>
          <w:rFonts w:eastAsia="Calibri"/>
        </w:rPr>
      </w:pPr>
    </w:p>
    <w:p w14:paraId="50CDD463" w14:textId="77777777" w:rsidR="00695AE2" w:rsidRPr="00503014" w:rsidRDefault="00695AE2" w:rsidP="00695AE2">
      <w:pPr>
        <w:spacing w:line="240" w:lineRule="auto"/>
        <w:jc w:val="both"/>
        <w:rPr>
          <w:rFonts w:eastAsia="Calibri"/>
          <w:b/>
          <w:bCs/>
          <w:szCs w:val="22"/>
        </w:rPr>
      </w:pPr>
      <w:r w:rsidRPr="00503014">
        <w:rPr>
          <w:rFonts w:eastAsia="Calibri"/>
          <w:szCs w:val="22"/>
        </w:rPr>
        <w:t xml:space="preserve">V letu 2024 je Državno odvetništvo RS zaključilo </w:t>
      </w:r>
      <w:r w:rsidRPr="00503014">
        <w:rPr>
          <w:rFonts w:eastAsia="Calibri"/>
          <w:b/>
          <w:bCs/>
          <w:color w:val="007466"/>
          <w:szCs w:val="22"/>
        </w:rPr>
        <w:t>5.058 zadev</w:t>
      </w:r>
      <w:r w:rsidRPr="00503014">
        <w:rPr>
          <w:rFonts w:eastAsia="Calibri"/>
          <w:szCs w:val="22"/>
        </w:rPr>
        <w:t>:</w:t>
      </w:r>
    </w:p>
    <w:p w14:paraId="0359BC33" w14:textId="77777777" w:rsidR="00695AE2" w:rsidRPr="00503014" w:rsidRDefault="00695AE2" w:rsidP="00695AE2">
      <w:pPr>
        <w:numPr>
          <w:ilvl w:val="0"/>
          <w:numId w:val="104"/>
        </w:numPr>
        <w:spacing w:after="160" w:line="240" w:lineRule="auto"/>
        <w:contextualSpacing/>
        <w:jc w:val="both"/>
        <w:rPr>
          <w:rFonts w:eastAsia="Calibri"/>
          <w:szCs w:val="22"/>
        </w:rPr>
      </w:pPr>
      <w:r w:rsidRPr="00503014">
        <w:rPr>
          <w:rFonts w:eastAsia="Calibri"/>
          <w:szCs w:val="22"/>
        </w:rPr>
        <w:t>409 zadev se je zaključilo z rešitvijo »plačano po opominu«,</w:t>
      </w:r>
    </w:p>
    <w:p w14:paraId="2495A906" w14:textId="77777777" w:rsidR="00695AE2" w:rsidRPr="00503014" w:rsidRDefault="00695AE2" w:rsidP="00695AE2">
      <w:pPr>
        <w:numPr>
          <w:ilvl w:val="0"/>
          <w:numId w:val="104"/>
        </w:numPr>
        <w:spacing w:after="160" w:line="240" w:lineRule="auto"/>
        <w:contextualSpacing/>
        <w:jc w:val="both"/>
        <w:rPr>
          <w:rFonts w:eastAsia="Calibri"/>
          <w:szCs w:val="22"/>
          <w:rtl/>
          <w:lang w:bidi="ar-YE"/>
        </w:rPr>
      </w:pPr>
      <w:r w:rsidRPr="00503014">
        <w:rPr>
          <w:rFonts w:eastAsia="Calibri"/>
          <w:szCs w:val="22"/>
        </w:rPr>
        <w:t>3.513 zadev se je zaključilo z rešitvijo »ugodeno«,</w:t>
      </w:r>
    </w:p>
    <w:p w14:paraId="1C82235F" w14:textId="77777777" w:rsidR="00695AE2" w:rsidRPr="00503014" w:rsidRDefault="00695AE2" w:rsidP="00695AE2">
      <w:pPr>
        <w:numPr>
          <w:ilvl w:val="0"/>
          <w:numId w:val="104"/>
        </w:numPr>
        <w:spacing w:after="160" w:line="240" w:lineRule="auto"/>
        <w:contextualSpacing/>
        <w:jc w:val="both"/>
        <w:rPr>
          <w:rFonts w:eastAsia="Calibri"/>
          <w:szCs w:val="22"/>
        </w:rPr>
      </w:pPr>
      <w:r w:rsidRPr="00503014">
        <w:rPr>
          <w:rFonts w:eastAsia="Calibri"/>
          <w:szCs w:val="22"/>
          <w:lang w:bidi="ar-YE"/>
        </w:rPr>
        <w:t xml:space="preserve">519 </w:t>
      </w:r>
      <w:r w:rsidRPr="00503014">
        <w:rPr>
          <w:rFonts w:eastAsia="Calibri"/>
          <w:szCs w:val="22"/>
        </w:rPr>
        <w:t>zadev se je zaključilo z rešitvijo »ustavitev«,</w:t>
      </w:r>
    </w:p>
    <w:p w14:paraId="4793C555" w14:textId="77777777" w:rsidR="00695AE2" w:rsidRPr="00503014" w:rsidRDefault="00695AE2" w:rsidP="00695AE2">
      <w:pPr>
        <w:numPr>
          <w:ilvl w:val="0"/>
          <w:numId w:val="104"/>
        </w:numPr>
        <w:spacing w:after="160" w:line="240" w:lineRule="auto"/>
        <w:contextualSpacing/>
        <w:jc w:val="both"/>
        <w:rPr>
          <w:rFonts w:eastAsia="Calibri"/>
          <w:szCs w:val="22"/>
        </w:rPr>
      </w:pPr>
      <w:r w:rsidRPr="00503014">
        <w:rPr>
          <w:rFonts w:eastAsia="Calibri"/>
          <w:szCs w:val="22"/>
        </w:rPr>
        <w:t>12 zadev se je zaključilo z rešitvijo »izgubljeno/zavrnjeno«,</w:t>
      </w:r>
    </w:p>
    <w:p w14:paraId="0B063535" w14:textId="77777777" w:rsidR="00695AE2" w:rsidRPr="00503014" w:rsidRDefault="00695AE2" w:rsidP="00695AE2">
      <w:pPr>
        <w:numPr>
          <w:ilvl w:val="0"/>
          <w:numId w:val="104"/>
        </w:numPr>
        <w:spacing w:after="160" w:line="240" w:lineRule="auto"/>
        <w:contextualSpacing/>
        <w:jc w:val="both"/>
        <w:rPr>
          <w:rFonts w:eastAsia="Calibri"/>
          <w:szCs w:val="22"/>
        </w:rPr>
      </w:pPr>
      <w:r w:rsidRPr="00503014">
        <w:rPr>
          <w:rFonts w:eastAsia="Calibri"/>
          <w:szCs w:val="22"/>
        </w:rPr>
        <w:t>30 zadev se je zaključilo z rešitvijo »izvršba uspešna«,</w:t>
      </w:r>
    </w:p>
    <w:p w14:paraId="0833F83E" w14:textId="77777777" w:rsidR="00695AE2" w:rsidRPr="00503014" w:rsidRDefault="00695AE2" w:rsidP="00695AE2">
      <w:pPr>
        <w:numPr>
          <w:ilvl w:val="0"/>
          <w:numId w:val="104"/>
        </w:numPr>
        <w:spacing w:after="160" w:line="240" w:lineRule="auto"/>
        <w:contextualSpacing/>
        <w:jc w:val="both"/>
        <w:rPr>
          <w:rFonts w:eastAsia="Calibri"/>
        </w:rPr>
      </w:pPr>
      <w:r w:rsidRPr="00503014">
        <w:rPr>
          <w:rFonts w:eastAsia="Calibri"/>
        </w:rPr>
        <w:t>preostalih 575 zadev se je zaključilo na drug način.</w:t>
      </w:r>
    </w:p>
    <w:p w14:paraId="4CC708A9"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0AA426B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Postopki zaradi insolventnosti in postopki prisilnega prenehanja:</w:t>
      </w:r>
    </w:p>
    <w:p w14:paraId="3630E582" w14:textId="77777777" w:rsidR="00695AE2" w:rsidRPr="00503014" w:rsidRDefault="00695AE2" w:rsidP="00695AE2">
      <w:pPr>
        <w:spacing w:line="240" w:lineRule="auto"/>
        <w:jc w:val="both"/>
        <w:rPr>
          <w:rFonts w:eastAsia="Calibri"/>
          <w:szCs w:val="22"/>
        </w:rPr>
      </w:pPr>
      <w:r w:rsidRPr="00503014">
        <w:rPr>
          <w:rFonts w:eastAsia="Calibri"/>
          <w:szCs w:val="22"/>
        </w:rPr>
        <w:lastRenderedPageBreak/>
        <w:t xml:space="preserve">V letu 2025 je Državno odvetništvo RS zaključilo </w:t>
      </w:r>
      <w:r w:rsidRPr="00503014">
        <w:rPr>
          <w:rFonts w:eastAsia="Calibri"/>
          <w:b/>
          <w:bCs/>
          <w:color w:val="007466"/>
          <w:szCs w:val="22"/>
        </w:rPr>
        <w:t>4.907 zadev</w:t>
      </w:r>
      <w:r w:rsidRPr="00503014">
        <w:rPr>
          <w:rFonts w:eastAsia="Calibri"/>
          <w:szCs w:val="22"/>
        </w:rPr>
        <w:t>:</w:t>
      </w:r>
    </w:p>
    <w:p w14:paraId="0CE18505" w14:textId="77777777" w:rsidR="00695AE2" w:rsidRPr="00503014" w:rsidRDefault="00695AE2" w:rsidP="00695AE2">
      <w:pPr>
        <w:numPr>
          <w:ilvl w:val="0"/>
          <w:numId w:val="105"/>
        </w:numPr>
        <w:spacing w:after="160" w:line="240" w:lineRule="auto"/>
        <w:contextualSpacing/>
        <w:jc w:val="both"/>
        <w:rPr>
          <w:rFonts w:eastAsia="Calibri"/>
          <w:szCs w:val="22"/>
        </w:rPr>
      </w:pPr>
      <w:r w:rsidRPr="00503014">
        <w:rPr>
          <w:rFonts w:eastAsia="Calibri"/>
          <w:szCs w:val="22"/>
        </w:rPr>
        <w:t>3.210 zadev se je zaključilo z rešitvijo »dobljeno«,</w:t>
      </w:r>
    </w:p>
    <w:p w14:paraId="42B8CDA9" w14:textId="77777777" w:rsidR="00695AE2" w:rsidRPr="00503014" w:rsidRDefault="00695AE2" w:rsidP="00695AE2">
      <w:pPr>
        <w:numPr>
          <w:ilvl w:val="0"/>
          <w:numId w:val="105"/>
        </w:numPr>
        <w:spacing w:after="160" w:line="240" w:lineRule="auto"/>
        <w:contextualSpacing/>
        <w:jc w:val="both"/>
        <w:rPr>
          <w:rFonts w:eastAsia="Calibri"/>
          <w:szCs w:val="22"/>
        </w:rPr>
      </w:pPr>
      <w:r w:rsidRPr="00503014">
        <w:rPr>
          <w:rFonts w:eastAsia="Calibri"/>
          <w:szCs w:val="22"/>
        </w:rPr>
        <w:t>5 zadev se je zaključilo z rešitvijo »izgubljeno«,</w:t>
      </w:r>
    </w:p>
    <w:p w14:paraId="46B692C1" w14:textId="77777777" w:rsidR="00695AE2" w:rsidRPr="00503014" w:rsidRDefault="00695AE2" w:rsidP="00695AE2">
      <w:pPr>
        <w:numPr>
          <w:ilvl w:val="0"/>
          <w:numId w:val="105"/>
        </w:numPr>
        <w:spacing w:after="160" w:line="240" w:lineRule="auto"/>
        <w:contextualSpacing/>
        <w:jc w:val="both"/>
        <w:rPr>
          <w:rFonts w:eastAsia="Times New Roman"/>
        </w:rPr>
      </w:pPr>
      <w:r w:rsidRPr="00503014">
        <w:rPr>
          <w:rFonts w:eastAsia="Calibri"/>
          <w:szCs w:val="22"/>
        </w:rPr>
        <w:t>37 zadev se je zaključilo z rešitvijo »umik«,</w:t>
      </w:r>
    </w:p>
    <w:p w14:paraId="6528BF17" w14:textId="77777777" w:rsidR="00695AE2" w:rsidRPr="00503014" w:rsidRDefault="00695AE2" w:rsidP="00695AE2">
      <w:pPr>
        <w:numPr>
          <w:ilvl w:val="0"/>
          <w:numId w:val="105"/>
        </w:numPr>
        <w:spacing w:after="160" w:line="240" w:lineRule="auto"/>
        <w:contextualSpacing/>
        <w:jc w:val="both"/>
        <w:rPr>
          <w:rFonts w:eastAsia="Times New Roman"/>
        </w:rPr>
      </w:pPr>
      <w:r w:rsidRPr="00503014">
        <w:rPr>
          <w:rFonts w:eastAsia="Calibri"/>
          <w:szCs w:val="22"/>
        </w:rPr>
        <w:t>1 zadeva je bila rešena s poravnavo,</w:t>
      </w:r>
    </w:p>
    <w:p w14:paraId="6737D269" w14:textId="77777777" w:rsidR="00695AE2" w:rsidRPr="00503014" w:rsidRDefault="00695AE2" w:rsidP="00695AE2">
      <w:pPr>
        <w:numPr>
          <w:ilvl w:val="0"/>
          <w:numId w:val="105"/>
        </w:numPr>
        <w:spacing w:after="160" w:line="240" w:lineRule="auto"/>
        <w:contextualSpacing/>
        <w:jc w:val="both"/>
        <w:rPr>
          <w:rFonts w:eastAsia="Calibri"/>
        </w:rPr>
      </w:pPr>
      <w:r w:rsidRPr="00503014">
        <w:rPr>
          <w:rFonts w:eastAsia="Calibri"/>
        </w:rPr>
        <w:t>preostalih 1654 zadev se je zaključilo na drug način.</w:t>
      </w:r>
    </w:p>
    <w:p w14:paraId="638FE60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22796DB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Nepravdni postopki:</w:t>
      </w:r>
    </w:p>
    <w:p w14:paraId="2773F6E1"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26D2DBF3" w14:textId="77777777" w:rsidR="00695AE2" w:rsidRPr="00503014" w:rsidRDefault="00695AE2" w:rsidP="00695AE2">
      <w:pPr>
        <w:spacing w:line="240" w:lineRule="auto"/>
        <w:jc w:val="both"/>
        <w:rPr>
          <w:rFonts w:eastAsia="Calibri"/>
          <w:b/>
          <w:bCs/>
          <w:szCs w:val="22"/>
        </w:rPr>
      </w:pPr>
      <w:r w:rsidRPr="00503014">
        <w:rPr>
          <w:rFonts w:eastAsia="Calibri"/>
          <w:szCs w:val="22"/>
        </w:rPr>
        <w:t xml:space="preserve">V letu 2025 je Državno odvetništvo RS zaključilo </w:t>
      </w:r>
      <w:r w:rsidRPr="00503014">
        <w:rPr>
          <w:rFonts w:eastAsia="Calibri"/>
          <w:b/>
          <w:bCs/>
          <w:color w:val="007466"/>
          <w:szCs w:val="22"/>
        </w:rPr>
        <w:t>16.390 zadev</w:t>
      </w:r>
      <w:r w:rsidRPr="00503014">
        <w:rPr>
          <w:rFonts w:eastAsia="Calibri"/>
          <w:szCs w:val="22"/>
        </w:rPr>
        <w:t>:</w:t>
      </w:r>
    </w:p>
    <w:p w14:paraId="024CB453"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599 zadev se je zaključilo z rešitvijo »dobljeno«,</w:t>
      </w:r>
    </w:p>
    <w:p w14:paraId="53AE8CB9"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2.067 zadev se je zaključilo z rešitvijo »dovoljeno«,</w:t>
      </w:r>
    </w:p>
    <w:p w14:paraId="6A59745E"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6.596 zadev se je zaključilo z rešitvijo »ugodeno«,</w:t>
      </w:r>
    </w:p>
    <w:p w14:paraId="04D21EDB"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v 33 zadevah je bila sklenjena sodna poravnava,</w:t>
      </w:r>
    </w:p>
    <w:p w14:paraId="0BF66FD5"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v 8 zadevah je bila sklenjena poravnava,</w:t>
      </w:r>
    </w:p>
    <w:p w14:paraId="082D01AB" w14:textId="77777777" w:rsidR="00695AE2" w:rsidRPr="00503014" w:rsidRDefault="00695AE2" w:rsidP="00695AE2">
      <w:pPr>
        <w:numPr>
          <w:ilvl w:val="0"/>
          <w:numId w:val="106"/>
        </w:numPr>
        <w:spacing w:after="160" w:line="240" w:lineRule="auto"/>
        <w:contextualSpacing/>
        <w:jc w:val="both"/>
        <w:rPr>
          <w:rFonts w:eastAsia="Calibri"/>
        </w:rPr>
      </w:pPr>
      <w:r w:rsidRPr="00503014">
        <w:rPr>
          <w:rFonts w:eastAsia="Calibri"/>
        </w:rPr>
        <w:t>290 zadev se je zaključilo z rešitvijo »umik«,</w:t>
      </w:r>
    </w:p>
    <w:p w14:paraId="41A5B4F1"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112 zadev se je zaključilo z rešitvijo »zavrnjeno«,</w:t>
      </w:r>
    </w:p>
    <w:p w14:paraId="0D1B67C2" w14:textId="77777777" w:rsidR="00695AE2" w:rsidRPr="00503014" w:rsidRDefault="00695AE2" w:rsidP="00695AE2">
      <w:pPr>
        <w:numPr>
          <w:ilvl w:val="0"/>
          <w:numId w:val="106"/>
        </w:numPr>
        <w:spacing w:after="160" w:line="240" w:lineRule="auto"/>
        <w:contextualSpacing/>
        <w:jc w:val="both"/>
        <w:rPr>
          <w:rFonts w:eastAsia="Calibri"/>
          <w:szCs w:val="22"/>
        </w:rPr>
      </w:pPr>
      <w:r w:rsidRPr="00503014">
        <w:rPr>
          <w:rFonts w:eastAsia="Calibri"/>
          <w:szCs w:val="22"/>
        </w:rPr>
        <w:t>248 zadev se je zaključilo z rešitvijo »kaduciteta«,</w:t>
      </w:r>
    </w:p>
    <w:p w14:paraId="6F6827A9" w14:textId="77777777" w:rsidR="00695AE2" w:rsidRPr="00503014" w:rsidRDefault="00695AE2" w:rsidP="00695AE2">
      <w:pPr>
        <w:numPr>
          <w:ilvl w:val="0"/>
          <w:numId w:val="106"/>
        </w:numPr>
        <w:spacing w:after="160" w:line="240" w:lineRule="auto"/>
        <w:contextualSpacing/>
        <w:jc w:val="both"/>
        <w:rPr>
          <w:rFonts w:eastAsia="Calibri"/>
        </w:rPr>
      </w:pPr>
      <w:r w:rsidRPr="00503014">
        <w:rPr>
          <w:rFonts w:eastAsia="Calibri"/>
        </w:rPr>
        <w:t>preostalih 6.437 zadev se je zaključilo na drug način.</w:t>
      </w:r>
    </w:p>
    <w:p w14:paraId="09C6625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1AB7D62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Postopki razlastitev:</w:t>
      </w:r>
    </w:p>
    <w:p w14:paraId="199FB6F7" w14:textId="77777777" w:rsidR="00695AE2" w:rsidRPr="00503014" w:rsidRDefault="00695AE2" w:rsidP="00695AE2">
      <w:pPr>
        <w:spacing w:line="240" w:lineRule="auto"/>
        <w:jc w:val="both"/>
        <w:rPr>
          <w:rFonts w:eastAsia="Calibri"/>
        </w:rPr>
      </w:pPr>
    </w:p>
    <w:p w14:paraId="1F3AF3EE"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Državno odvetništvo RS zaključilo </w:t>
      </w:r>
      <w:r w:rsidRPr="00503014">
        <w:rPr>
          <w:rFonts w:eastAsia="Calibri"/>
          <w:b/>
          <w:bCs/>
          <w:color w:val="007466"/>
          <w:szCs w:val="22"/>
        </w:rPr>
        <w:t>749 zadev</w:t>
      </w:r>
      <w:r w:rsidRPr="00503014">
        <w:rPr>
          <w:rFonts w:eastAsia="Calibri"/>
          <w:szCs w:val="22"/>
        </w:rPr>
        <w:t>:</w:t>
      </w:r>
    </w:p>
    <w:p w14:paraId="33ACAEE7" w14:textId="77777777" w:rsidR="00695AE2" w:rsidRPr="00503014" w:rsidRDefault="00695AE2" w:rsidP="00695AE2">
      <w:pPr>
        <w:numPr>
          <w:ilvl w:val="0"/>
          <w:numId w:val="107"/>
        </w:numPr>
        <w:spacing w:after="160" w:line="240" w:lineRule="auto"/>
        <w:contextualSpacing/>
        <w:jc w:val="both"/>
        <w:rPr>
          <w:rFonts w:eastAsia="Calibri"/>
          <w:szCs w:val="22"/>
        </w:rPr>
      </w:pPr>
      <w:r w:rsidRPr="00503014">
        <w:rPr>
          <w:rFonts w:eastAsia="Calibri"/>
          <w:szCs w:val="22"/>
        </w:rPr>
        <w:t>662 zadev se je zaključilo z rešitvijo »zahtevi ugodeno«,</w:t>
      </w:r>
    </w:p>
    <w:p w14:paraId="02BEABAA" w14:textId="77777777" w:rsidR="00695AE2" w:rsidRPr="00503014" w:rsidRDefault="00695AE2" w:rsidP="00695AE2">
      <w:pPr>
        <w:numPr>
          <w:ilvl w:val="0"/>
          <w:numId w:val="107"/>
        </w:numPr>
        <w:spacing w:after="160" w:line="240" w:lineRule="auto"/>
        <w:contextualSpacing/>
        <w:jc w:val="both"/>
        <w:rPr>
          <w:rFonts w:eastAsia="Calibri"/>
        </w:rPr>
      </w:pPr>
      <w:r w:rsidRPr="00503014">
        <w:rPr>
          <w:rFonts w:eastAsia="Calibri"/>
        </w:rPr>
        <w:t>58 zadev se je zaključilo z rešitvijo »umik zahteve«,</w:t>
      </w:r>
    </w:p>
    <w:p w14:paraId="67CC40C4" w14:textId="77777777" w:rsidR="00695AE2" w:rsidRPr="00503014" w:rsidRDefault="00695AE2" w:rsidP="00695AE2">
      <w:pPr>
        <w:numPr>
          <w:ilvl w:val="0"/>
          <w:numId w:val="107"/>
        </w:numPr>
        <w:spacing w:after="160" w:line="240" w:lineRule="auto"/>
        <w:contextualSpacing/>
        <w:jc w:val="both"/>
        <w:rPr>
          <w:rFonts w:eastAsia="Calibri"/>
        </w:rPr>
      </w:pPr>
      <w:r w:rsidRPr="00503014">
        <w:rPr>
          <w:rFonts w:eastAsia="Calibri"/>
        </w:rPr>
        <w:t>8 zadev se je zaključilo z rešitvijo »zavrnjeno/zavrženo«,</w:t>
      </w:r>
    </w:p>
    <w:p w14:paraId="21DD9F43" w14:textId="77777777" w:rsidR="00695AE2" w:rsidRPr="00503014" w:rsidRDefault="00695AE2" w:rsidP="00695AE2">
      <w:pPr>
        <w:numPr>
          <w:ilvl w:val="0"/>
          <w:numId w:val="107"/>
        </w:numPr>
        <w:spacing w:after="160" w:line="240" w:lineRule="auto"/>
        <w:contextualSpacing/>
        <w:jc w:val="both"/>
        <w:rPr>
          <w:rFonts w:eastAsia="Calibri"/>
        </w:rPr>
      </w:pPr>
      <w:r w:rsidRPr="00503014">
        <w:rPr>
          <w:rFonts w:eastAsia="Calibri"/>
        </w:rPr>
        <w:t>preostalih 21 zadev se je zaključilo na drug način.</w:t>
      </w:r>
    </w:p>
    <w:p w14:paraId="4E3381B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2904220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Upravne zadeve:</w:t>
      </w:r>
    </w:p>
    <w:p w14:paraId="1E9AF4A9" w14:textId="77777777" w:rsidR="00695AE2" w:rsidRPr="00503014" w:rsidRDefault="00695AE2" w:rsidP="00695AE2">
      <w:pPr>
        <w:spacing w:line="240" w:lineRule="auto"/>
        <w:jc w:val="both"/>
        <w:rPr>
          <w:rFonts w:eastAsia="Calibri"/>
        </w:rPr>
      </w:pPr>
    </w:p>
    <w:p w14:paraId="39A8CA1E"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Državno odvetništvo RS zaključilo </w:t>
      </w:r>
      <w:r w:rsidRPr="00503014">
        <w:rPr>
          <w:rFonts w:eastAsia="Calibri"/>
          <w:b/>
          <w:bCs/>
          <w:color w:val="007466"/>
          <w:szCs w:val="22"/>
        </w:rPr>
        <w:t>18.403 zadev</w:t>
      </w:r>
      <w:r w:rsidRPr="00503014">
        <w:rPr>
          <w:rFonts w:eastAsia="Calibri"/>
          <w:szCs w:val="22"/>
        </w:rPr>
        <w:t xml:space="preserve"> v upravnih postopkih in upravnih sporih:</w:t>
      </w:r>
    </w:p>
    <w:p w14:paraId="1B5EA8C2" w14:textId="77777777" w:rsidR="00695AE2" w:rsidRPr="00503014" w:rsidRDefault="00695AE2" w:rsidP="00695AE2">
      <w:pPr>
        <w:numPr>
          <w:ilvl w:val="0"/>
          <w:numId w:val="108"/>
        </w:numPr>
        <w:spacing w:after="160" w:line="240" w:lineRule="auto"/>
        <w:contextualSpacing/>
        <w:jc w:val="both"/>
        <w:rPr>
          <w:rFonts w:eastAsia="Calibri"/>
          <w:szCs w:val="22"/>
        </w:rPr>
      </w:pPr>
      <w:r w:rsidRPr="00503014">
        <w:rPr>
          <w:rFonts w:eastAsia="Calibri"/>
          <w:szCs w:val="22"/>
        </w:rPr>
        <w:t>859 zadev se je zaključilo z rešitvijo »dobljeno«,</w:t>
      </w:r>
    </w:p>
    <w:p w14:paraId="197CD55F" w14:textId="77777777" w:rsidR="00695AE2" w:rsidRPr="00503014" w:rsidRDefault="00695AE2" w:rsidP="00695AE2">
      <w:pPr>
        <w:numPr>
          <w:ilvl w:val="0"/>
          <w:numId w:val="108"/>
        </w:numPr>
        <w:spacing w:after="160" w:line="240" w:lineRule="auto"/>
        <w:contextualSpacing/>
        <w:jc w:val="both"/>
        <w:rPr>
          <w:rFonts w:eastAsia="Calibri"/>
          <w:szCs w:val="22"/>
        </w:rPr>
      </w:pPr>
      <w:r w:rsidRPr="00503014">
        <w:rPr>
          <w:rFonts w:eastAsia="Calibri"/>
          <w:szCs w:val="22"/>
        </w:rPr>
        <w:t>36 zadev se je zaključilo z rešitvijo »izgubljeno«,</w:t>
      </w:r>
    </w:p>
    <w:p w14:paraId="65126E82" w14:textId="77777777" w:rsidR="00695AE2" w:rsidRPr="00503014" w:rsidRDefault="00695AE2" w:rsidP="00695AE2">
      <w:pPr>
        <w:numPr>
          <w:ilvl w:val="0"/>
          <w:numId w:val="111"/>
        </w:numPr>
        <w:spacing w:after="160" w:line="240" w:lineRule="auto"/>
        <w:contextualSpacing/>
        <w:jc w:val="both"/>
        <w:rPr>
          <w:rFonts w:eastAsia="Calibri"/>
          <w:szCs w:val="22"/>
        </w:rPr>
      </w:pPr>
      <w:r w:rsidRPr="00503014">
        <w:rPr>
          <w:rFonts w:eastAsia="Calibri"/>
          <w:szCs w:val="22"/>
        </w:rPr>
        <w:t>17.003 zadev se je zaključilo z rešitvijo »nevložena tožba (BPP)«,</w:t>
      </w:r>
    </w:p>
    <w:p w14:paraId="0F2658A2" w14:textId="77777777" w:rsidR="00695AE2" w:rsidRPr="00503014" w:rsidRDefault="00695AE2" w:rsidP="00695AE2">
      <w:pPr>
        <w:numPr>
          <w:ilvl w:val="0"/>
          <w:numId w:val="111"/>
        </w:numPr>
        <w:spacing w:after="160" w:line="240" w:lineRule="auto"/>
        <w:contextualSpacing/>
        <w:jc w:val="both"/>
        <w:rPr>
          <w:rFonts w:eastAsia="Calibri"/>
          <w:szCs w:val="22"/>
        </w:rPr>
      </w:pPr>
      <w:r w:rsidRPr="00503014">
        <w:rPr>
          <w:rFonts w:eastAsia="Calibri"/>
          <w:szCs w:val="22"/>
        </w:rPr>
        <w:t>15 zadev se je zaključilo z rešitvijo »vložena tožba (BPP)«,</w:t>
      </w:r>
    </w:p>
    <w:p w14:paraId="4D22E570" w14:textId="77777777" w:rsidR="00695AE2" w:rsidRPr="00503014" w:rsidRDefault="00695AE2" w:rsidP="00695AE2">
      <w:pPr>
        <w:numPr>
          <w:ilvl w:val="0"/>
          <w:numId w:val="111"/>
        </w:numPr>
        <w:spacing w:after="160" w:line="240" w:lineRule="auto"/>
        <w:contextualSpacing/>
        <w:jc w:val="both"/>
        <w:rPr>
          <w:rFonts w:eastAsia="Calibri"/>
          <w:szCs w:val="22"/>
        </w:rPr>
      </w:pPr>
      <w:r w:rsidRPr="00503014">
        <w:rPr>
          <w:rFonts w:eastAsia="Calibri"/>
          <w:szCs w:val="22"/>
        </w:rPr>
        <w:t>1.014 zadev se je zaključilo z rešitvijo »nevložena tožba (vzajemnost)«,</w:t>
      </w:r>
    </w:p>
    <w:p w14:paraId="4EC8E86E" w14:textId="77777777" w:rsidR="00695AE2" w:rsidRPr="00503014" w:rsidRDefault="00695AE2" w:rsidP="00695AE2">
      <w:pPr>
        <w:numPr>
          <w:ilvl w:val="0"/>
          <w:numId w:val="111"/>
        </w:numPr>
        <w:spacing w:after="160" w:line="240" w:lineRule="auto"/>
        <w:contextualSpacing/>
        <w:jc w:val="both"/>
        <w:rPr>
          <w:rFonts w:eastAsia="Calibri"/>
          <w:szCs w:val="22"/>
        </w:rPr>
      </w:pPr>
      <w:r w:rsidRPr="00503014">
        <w:rPr>
          <w:rFonts w:eastAsia="Calibri"/>
          <w:szCs w:val="22"/>
        </w:rPr>
        <w:t>6 zadev se je zaključilo z rešitvijo »umik«,</w:t>
      </w:r>
    </w:p>
    <w:p w14:paraId="0C89AFA3" w14:textId="77777777" w:rsidR="00695AE2" w:rsidRPr="00503014" w:rsidRDefault="00695AE2" w:rsidP="00695AE2">
      <w:pPr>
        <w:numPr>
          <w:ilvl w:val="0"/>
          <w:numId w:val="111"/>
        </w:numPr>
        <w:spacing w:after="160" w:line="240" w:lineRule="auto"/>
        <w:contextualSpacing/>
        <w:jc w:val="both"/>
        <w:rPr>
          <w:rFonts w:eastAsia="Calibri"/>
        </w:rPr>
      </w:pPr>
      <w:r w:rsidRPr="00503014">
        <w:rPr>
          <w:rFonts w:eastAsia="Calibri"/>
        </w:rPr>
        <w:t>preostalih 530 zadev se je zaključilo na drug način.</w:t>
      </w:r>
    </w:p>
    <w:p w14:paraId="1923B45E"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p>
    <w:p w14:paraId="09CB3DD0"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t>Postopki po Zakonu o denacionalizaciji (ZDen):</w:t>
      </w:r>
    </w:p>
    <w:p w14:paraId="550F08DD" w14:textId="77777777" w:rsidR="00695AE2" w:rsidRPr="00503014" w:rsidRDefault="00695AE2" w:rsidP="00695AE2">
      <w:pPr>
        <w:spacing w:line="240" w:lineRule="auto"/>
        <w:jc w:val="both"/>
        <w:rPr>
          <w:rFonts w:eastAsia="Calibri"/>
        </w:rPr>
      </w:pPr>
    </w:p>
    <w:p w14:paraId="3CD3D7E2"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Državno odvetništvo RS zaključilo </w:t>
      </w:r>
      <w:r w:rsidRPr="00503014">
        <w:rPr>
          <w:rFonts w:eastAsia="Calibri"/>
          <w:b/>
          <w:bCs/>
          <w:color w:val="007466"/>
          <w:szCs w:val="22"/>
        </w:rPr>
        <w:t>8 zadev</w:t>
      </w:r>
      <w:r w:rsidRPr="00503014">
        <w:rPr>
          <w:rFonts w:eastAsia="Calibri"/>
          <w:szCs w:val="22"/>
        </w:rPr>
        <w:t>:</w:t>
      </w:r>
    </w:p>
    <w:p w14:paraId="260DCB86" w14:textId="77777777" w:rsidR="00695AE2" w:rsidRPr="00503014" w:rsidRDefault="00695AE2" w:rsidP="00695AE2">
      <w:pPr>
        <w:numPr>
          <w:ilvl w:val="0"/>
          <w:numId w:val="109"/>
        </w:numPr>
        <w:spacing w:after="160" w:line="240" w:lineRule="auto"/>
        <w:contextualSpacing/>
        <w:jc w:val="both"/>
        <w:rPr>
          <w:rFonts w:eastAsia="Times New Roman"/>
        </w:rPr>
      </w:pPr>
      <w:r w:rsidRPr="00503014">
        <w:rPr>
          <w:rFonts w:eastAsia="Calibri"/>
          <w:szCs w:val="22"/>
        </w:rPr>
        <w:t>4 zadeve so se zaključile z rešitvijo »dobljeno«,</w:t>
      </w:r>
    </w:p>
    <w:p w14:paraId="7A45A606" w14:textId="77777777" w:rsidR="00695AE2" w:rsidRPr="00503014" w:rsidRDefault="00695AE2" w:rsidP="00695AE2">
      <w:pPr>
        <w:numPr>
          <w:ilvl w:val="0"/>
          <w:numId w:val="109"/>
        </w:numPr>
        <w:spacing w:after="160" w:line="240" w:lineRule="auto"/>
        <w:contextualSpacing/>
        <w:jc w:val="both"/>
        <w:rPr>
          <w:rFonts w:eastAsia="Times New Roman"/>
        </w:rPr>
      </w:pPr>
      <w:r w:rsidRPr="00503014">
        <w:rPr>
          <w:rFonts w:eastAsia="Calibri"/>
          <w:szCs w:val="22"/>
        </w:rPr>
        <w:t>1 zadeva se je zaključila z rešitvijo »izgubljeno«,</w:t>
      </w:r>
    </w:p>
    <w:p w14:paraId="5CFF25EB" w14:textId="77777777" w:rsidR="00695AE2" w:rsidRPr="00503014" w:rsidRDefault="00695AE2" w:rsidP="00695AE2">
      <w:pPr>
        <w:numPr>
          <w:ilvl w:val="0"/>
          <w:numId w:val="109"/>
        </w:numPr>
        <w:spacing w:after="160" w:line="240" w:lineRule="auto"/>
        <w:contextualSpacing/>
        <w:jc w:val="both"/>
        <w:rPr>
          <w:rFonts w:eastAsia="Times New Roman"/>
        </w:rPr>
      </w:pPr>
      <w:r w:rsidRPr="00503014">
        <w:rPr>
          <w:rFonts w:eastAsia="Calibri"/>
          <w:szCs w:val="22"/>
        </w:rPr>
        <w:t>3 zadeve so se zaključile na drug način.</w:t>
      </w:r>
    </w:p>
    <w:p w14:paraId="435E9E62" w14:textId="77777777" w:rsidR="00695AE2" w:rsidRPr="00503014" w:rsidRDefault="00695AE2" w:rsidP="00695AE2">
      <w:pPr>
        <w:spacing w:line="240" w:lineRule="auto"/>
        <w:jc w:val="both"/>
        <w:rPr>
          <w:rFonts w:eastAsia="Calibri"/>
        </w:rPr>
      </w:pPr>
    </w:p>
    <w:p w14:paraId="1FEEF2A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rPr>
      </w:pPr>
      <w:r w:rsidRPr="00503014">
        <w:rPr>
          <w:rFonts w:eastAsia="Calibri"/>
          <w:b/>
          <w:bCs/>
          <w:color w:val="007466"/>
        </w:rPr>
        <w:lastRenderedPageBreak/>
        <w:t>Postopki po Zakonu o izvrševanju kazenskih sankcij (ZIKS):</w:t>
      </w:r>
    </w:p>
    <w:p w14:paraId="2CE02E2A" w14:textId="77777777" w:rsidR="00695AE2" w:rsidRPr="00503014" w:rsidRDefault="00695AE2" w:rsidP="00695AE2">
      <w:pPr>
        <w:spacing w:line="240" w:lineRule="auto"/>
        <w:jc w:val="both"/>
        <w:rPr>
          <w:rFonts w:eastAsia="Calibri"/>
        </w:rPr>
      </w:pPr>
    </w:p>
    <w:p w14:paraId="2F57C2E5"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letu 2025 je Državno odvetništvo RS zaključilo </w:t>
      </w:r>
      <w:r w:rsidRPr="00503014">
        <w:rPr>
          <w:rFonts w:eastAsia="Calibri"/>
          <w:b/>
          <w:bCs/>
          <w:color w:val="007466"/>
          <w:szCs w:val="22"/>
        </w:rPr>
        <w:t>2 zadevi</w:t>
      </w:r>
      <w:r w:rsidRPr="00503014">
        <w:rPr>
          <w:rFonts w:eastAsia="Calibri"/>
          <w:szCs w:val="22"/>
        </w:rPr>
        <w:t>:</w:t>
      </w:r>
    </w:p>
    <w:p w14:paraId="54DCA986" w14:textId="77777777" w:rsidR="00695AE2" w:rsidRPr="00503014" w:rsidRDefault="00695AE2" w:rsidP="00695AE2">
      <w:pPr>
        <w:numPr>
          <w:ilvl w:val="0"/>
          <w:numId w:val="110"/>
        </w:numPr>
        <w:spacing w:after="160" w:line="240" w:lineRule="auto"/>
        <w:contextualSpacing/>
        <w:jc w:val="both"/>
        <w:rPr>
          <w:rFonts w:eastAsia="Calibri"/>
          <w:szCs w:val="22"/>
        </w:rPr>
      </w:pPr>
      <w:r w:rsidRPr="00503014">
        <w:rPr>
          <w:rFonts w:eastAsia="Calibri"/>
          <w:szCs w:val="22"/>
          <w:lang w:bidi="ar-YE"/>
        </w:rPr>
        <w:t xml:space="preserve">1 zadeva se je </w:t>
      </w:r>
      <w:r w:rsidRPr="00503014">
        <w:rPr>
          <w:rFonts w:eastAsia="Calibri"/>
          <w:szCs w:val="22"/>
        </w:rPr>
        <w:t>zaključila z rešitvijo »dobljeno«,</w:t>
      </w:r>
    </w:p>
    <w:p w14:paraId="30606DD2" w14:textId="77777777" w:rsidR="00695AE2" w:rsidRPr="00503014" w:rsidRDefault="00695AE2" w:rsidP="00695AE2">
      <w:pPr>
        <w:numPr>
          <w:ilvl w:val="0"/>
          <w:numId w:val="110"/>
        </w:numPr>
        <w:autoSpaceDE w:val="0"/>
        <w:autoSpaceDN w:val="0"/>
        <w:adjustRightInd w:val="0"/>
        <w:spacing w:after="160" w:line="240" w:lineRule="auto"/>
        <w:contextualSpacing/>
        <w:jc w:val="both"/>
        <w:textAlignment w:val="center"/>
        <w:rPr>
          <w:rFonts w:eastAsia="Calibri"/>
          <w:szCs w:val="22"/>
        </w:rPr>
      </w:pPr>
      <w:r w:rsidRPr="00503014">
        <w:rPr>
          <w:rFonts w:eastAsia="Calibri"/>
          <w:szCs w:val="22"/>
        </w:rPr>
        <w:t>1 zadeva se je zaključila na drug način.</w:t>
      </w:r>
    </w:p>
    <w:p w14:paraId="7E61D997"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pacing w:val="1"/>
          <w:szCs w:val="14"/>
        </w:rPr>
      </w:pPr>
    </w:p>
    <w:p w14:paraId="0AE580E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b/>
          <w:bCs/>
          <w:color w:val="007466"/>
          <w:spacing w:val="1"/>
          <w:szCs w:val="14"/>
        </w:rPr>
      </w:pPr>
      <w:r w:rsidRPr="00503014">
        <w:rPr>
          <w:rFonts w:eastAsia="Calibri"/>
          <w:b/>
          <w:bCs/>
          <w:color w:val="007466"/>
          <w:spacing w:val="1"/>
          <w:szCs w:val="14"/>
        </w:rPr>
        <w:t>Postopki s področja Zakonu o vračilu vlaganj v javno telekomunikacijsko omrežje (ZVVJTO):</w:t>
      </w:r>
    </w:p>
    <w:p w14:paraId="218FBC5F" w14:textId="77777777" w:rsidR="00695AE2" w:rsidRPr="00503014" w:rsidRDefault="00695AE2" w:rsidP="00695AE2">
      <w:pPr>
        <w:spacing w:line="240" w:lineRule="auto"/>
        <w:jc w:val="both"/>
        <w:rPr>
          <w:rFonts w:eastAsia="Calibri"/>
          <w:szCs w:val="22"/>
        </w:rPr>
      </w:pPr>
    </w:p>
    <w:p w14:paraId="223A4BCD" w14:textId="77777777" w:rsidR="00695AE2" w:rsidRPr="00503014" w:rsidRDefault="00695AE2" w:rsidP="00695AE2">
      <w:pPr>
        <w:spacing w:line="240" w:lineRule="auto"/>
        <w:jc w:val="both"/>
        <w:rPr>
          <w:rFonts w:eastAsia="Calibri"/>
          <w:sz w:val="36"/>
          <w:szCs w:val="36"/>
        </w:rPr>
      </w:pPr>
      <w:r w:rsidRPr="00503014">
        <w:rPr>
          <w:rFonts w:eastAsia="Calibri"/>
          <w:szCs w:val="22"/>
        </w:rPr>
        <w:t xml:space="preserve">Državno odvetništvo RS ni imelo v letu 2025 več nobene odprte zadeve na navedenem področju in je torej tudi zaključiti ni moglo. </w:t>
      </w:r>
    </w:p>
    <w:p w14:paraId="317AAF4C" w14:textId="77777777" w:rsidR="00695AE2" w:rsidRPr="00052E26" w:rsidRDefault="00695AE2" w:rsidP="00695AE2">
      <w:pPr>
        <w:pStyle w:val="Jasna"/>
        <w:rPr>
          <w:sz w:val="36"/>
          <w:szCs w:val="36"/>
        </w:rPr>
      </w:pPr>
    </w:p>
    <w:p w14:paraId="4AA3B673" w14:textId="77777777" w:rsidR="00695AE2" w:rsidRPr="00503014" w:rsidRDefault="00695AE2" w:rsidP="00695AE2">
      <w:pPr>
        <w:pStyle w:val="Naslov1"/>
        <w:rPr>
          <w:rFonts w:eastAsia="Times New Roman"/>
        </w:rPr>
      </w:pPr>
      <w:bookmarkStart w:id="409" w:name="_Toc168844881"/>
      <w:bookmarkStart w:id="410" w:name="_Toc191561871"/>
      <w:bookmarkStart w:id="411" w:name="_Toc223093869"/>
      <w:r w:rsidRPr="00503014">
        <w:rPr>
          <w:rFonts w:eastAsia="Times New Roman"/>
        </w:rPr>
        <w:t xml:space="preserve">UDELEŽBA NA </w:t>
      </w:r>
      <w:r w:rsidRPr="00EF6933">
        <w:t>NAROKIH</w:t>
      </w:r>
      <w:bookmarkEnd w:id="409"/>
      <w:bookmarkEnd w:id="410"/>
      <w:bookmarkEnd w:id="411"/>
    </w:p>
    <w:p w14:paraId="059B2A54" w14:textId="77777777" w:rsidR="00695AE2" w:rsidRPr="00503014" w:rsidRDefault="00695AE2" w:rsidP="00695AE2">
      <w:pPr>
        <w:spacing w:line="240" w:lineRule="auto"/>
        <w:rPr>
          <w:rFonts w:eastAsia="Calibri"/>
          <w:sz w:val="36"/>
          <w:szCs w:val="36"/>
        </w:rPr>
      </w:pPr>
    </w:p>
    <w:p w14:paraId="2CB3961C"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Tabela 7: Udeležba na narokih</w:t>
      </w:r>
    </w:p>
    <w:p w14:paraId="00926F7E" w14:textId="77777777" w:rsidR="00695AE2" w:rsidRPr="00503014" w:rsidRDefault="00695AE2" w:rsidP="00695AE2">
      <w:pPr>
        <w:spacing w:line="240" w:lineRule="auto"/>
        <w:jc w:val="both"/>
        <w:rPr>
          <w:rFonts w:eastAsia="Calibri"/>
          <w:b/>
          <w:color w:val="007466"/>
          <w:sz w:val="20"/>
          <w:szCs w:val="20"/>
        </w:rPr>
      </w:pPr>
    </w:p>
    <w:tbl>
      <w:tblPr>
        <w:tblStyle w:val="Tabelamrea2"/>
        <w:tblW w:w="10346" w:type="dxa"/>
        <w:tblInd w:w="-641" w:type="dxa"/>
        <w:tblLook w:val="04A0" w:firstRow="1" w:lastRow="0" w:firstColumn="1" w:lastColumn="0" w:noHBand="0" w:noVBand="1"/>
      </w:tblPr>
      <w:tblGrid>
        <w:gridCol w:w="1723"/>
        <w:gridCol w:w="884"/>
        <w:gridCol w:w="1094"/>
        <w:gridCol w:w="851"/>
        <w:gridCol w:w="914"/>
        <w:gridCol w:w="1038"/>
        <w:gridCol w:w="895"/>
        <w:gridCol w:w="929"/>
        <w:gridCol w:w="1038"/>
        <w:gridCol w:w="980"/>
      </w:tblGrid>
      <w:tr w:rsidR="00695AE2" w:rsidRPr="00503014" w14:paraId="1539FE20" w14:textId="77777777" w:rsidTr="00980493">
        <w:trPr>
          <w:trHeight w:val="570"/>
        </w:trPr>
        <w:tc>
          <w:tcPr>
            <w:tcW w:w="1731" w:type="dxa"/>
          </w:tcPr>
          <w:p w14:paraId="0CCBD48C" w14:textId="77777777" w:rsidR="00695AE2" w:rsidRPr="00503014" w:rsidRDefault="00695AE2" w:rsidP="00980493">
            <w:pPr>
              <w:jc w:val="center"/>
              <w:rPr>
                <w:rFonts w:eastAsia="Calibri" w:cs="Calibri"/>
                <w:sz w:val="20"/>
                <w:szCs w:val="20"/>
              </w:rPr>
            </w:pPr>
            <w:r w:rsidRPr="00503014">
              <w:rPr>
                <w:rFonts w:eastAsia="Calibri" w:cs="Calibri"/>
                <w:sz w:val="20"/>
                <w:szCs w:val="20"/>
              </w:rPr>
              <w:t>državno odvetništvo</w:t>
            </w:r>
          </w:p>
        </w:tc>
        <w:tc>
          <w:tcPr>
            <w:tcW w:w="2833" w:type="dxa"/>
            <w:gridSpan w:val="3"/>
          </w:tcPr>
          <w:p w14:paraId="02A5B2F1" w14:textId="77777777" w:rsidR="00695AE2" w:rsidRPr="00503014" w:rsidRDefault="00695AE2" w:rsidP="00980493">
            <w:pPr>
              <w:jc w:val="center"/>
              <w:rPr>
                <w:rFonts w:eastAsia="Calibri" w:cs="Calibri"/>
                <w:sz w:val="20"/>
                <w:szCs w:val="20"/>
              </w:rPr>
            </w:pPr>
            <w:r w:rsidRPr="00503014">
              <w:rPr>
                <w:rFonts w:eastAsia="Calibri" w:cs="Calibri"/>
                <w:sz w:val="20"/>
                <w:szCs w:val="20"/>
              </w:rPr>
              <w:t>skupna udeležba višjih državnih odvetnikov</w:t>
            </w:r>
          </w:p>
        </w:tc>
        <w:tc>
          <w:tcPr>
            <w:tcW w:w="2833" w:type="dxa"/>
            <w:gridSpan w:val="3"/>
          </w:tcPr>
          <w:p w14:paraId="29CE6962" w14:textId="77777777" w:rsidR="00695AE2" w:rsidRPr="00503014" w:rsidRDefault="00695AE2" w:rsidP="00980493">
            <w:pPr>
              <w:jc w:val="center"/>
              <w:rPr>
                <w:rFonts w:eastAsia="Calibri" w:cs="Calibri"/>
                <w:sz w:val="20"/>
                <w:szCs w:val="20"/>
              </w:rPr>
            </w:pPr>
            <w:r w:rsidRPr="00503014">
              <w:rPr>
                <w:rFonts w:eastAsia="Calibri" w:cs="Calibri"/>
                <w:sz w:val="20"/>
                <w:szCs w:val="20"/>
              </w:rPr>
              <w:t>skupna udeležba državnih odvetnikov</w:t>
            </w:r>
          </w:p>
        </w:tc>
        <w:tc>
          <w:tcPr>
            <w:tcW w:w="2949" w:type="dxa"/>
            <w:gridSpan w:val="3"/>
          </w:tcPr>
          <w:p w14:paraId="6EAD9BAC" w14:textId="77777777" w:rsidR="00695AE2" w:rsidRPr="00503014" w:rsidRDefault="00695AE2" w:rsidP="00980493">
            <w:pPr>
              <w:jc w:val="center"/>
              <w:rPr>
                <w:rFonts w:eastAsia="Calibri" w:cs="Calibri"/>
                <w:sz w:val="20"/>
                <w:szCs w:val="20"/>
              </w:rPr>
            </w:pPr>
            <w:r w:rsidRPr="00503014">
              <w:rPr>
                <w:rFonts w:eastAsia="Calibri" w:cs="Calibri"/>
                <w:sz w:val="20"/>
                <w:szCs w:val="20"/>
              </w:rPr>
              <w:t>skupna udeležba kandidatov za državnega odvetnika</w:t>
            </w:r>
          </w:p>
        </w:tc>
      </w:tr>
      <w:tr w:rsidR="00695AE2" w:rsidRPr="00503014" w14:paraId="7AC51A30" w14:textId="77777777" w:rsidTr="00980493">
        <w:trPr>
          <w:trHeight w:val="285"/>
        </w:trPr>
        <w:tc>
          <w:tcPr>
            <w:tcW w:w="1731" w:type="dxa"/>
          </w:tcPr>
          <w:p w14:paraId="6CD6CB64" w14:textId="77777777" w:rsidR="00695AE2" w:rsidRPr="00503014" w:rsidRDefault="00695AE2" w:rsidP="00980493">
            <w:pPr>
              <w:rPr>
                <w:rFonts w:eastAsia="Calibri" w:cs="Calibri"/>
                <w:sz w:val="20"/>
                <w:szCs w:val="20"/>
              </w:rPr>
            </w:pPr>
          </w:p>
        </w:tc>
        <w:tc>
          <w:tcPr>
            <w:tcW w:w="1980" w:type="dxa"/>
            <w:gridSpan w:val="2"/>
          </w:tcPr>
          <w:p w14:paraId="0745BD42" w14:textId="77777777" w:rsidR="00695AE2" w:rsidRPr="00503014" w:rsidRDefault="00695AE2" w:rsidP="00980493">
            <w:pPr>
              <w:jc w:val="center"/>
              <w:rPr>
                <w:rFonts w:eastAsia="Calibri" w:cs="Calibri"/>
                <w:sz w:val="20"/>
                <w:szCs w:val="20"/>
              </w:rPr>
            </w:pPr>
            <w:r w:rsidRPr="00503014">
              <w:rPr>
                <w:rFonts w:eastAsia="Calibri" w:cs="Calibri"/>
                <w:sz w:val="20"/>
                <w:szCs w:val="20"/>
              </w:rPr>
              <w:t>poravnalni narok</w:t>
            </w:r>
          </w:p>
        </w:tc>
        <w:tc>
          <w:tcPr>
            <w:tcW w:w="853" w:type="dxa"/>
          </w:tcPr>
          <w:p w14:paraId="197A3F42" w14:textId="77777777" w:rsidR="00695AE2" w:rsidRPr="00503014" w:rsidRDefault="00695AE2" w:rsidP="00980493">
            <w:pPr>
              <w:jc w:val="center"/>
              <w:rPr>
                <w:rFonts w:eastAsia="Calibri" w:cs="Calibri"/>
                <w:sz w:val="20"/>
                <w:szCs w:val="20"/>
              </w:rPr>
            </w:pPr>
            <w:r w:rsidRPr="00503014">
              <w:rPr>
                <w:rFonts w:eastAsia="Calibri" w:cs="Calibri"/>
                <w:sz w:val="20"/>
                <w:szCs w:val="20"/>
              </w:rPr>
              <w:t>ostali naroki</w:t>
            </w:r>
          </w:p>
        </w:tc>
        <w:tc>
          <w:tcPr>
            <w:tcW w:w="1935" w:type="dxa"/>
            <w:gridSpan w:val="2"/>
          </w:tcPr>
          <w:p w14:paraId="01D975E3" w14:textId="77777777" w:rsidR="00695AE2" w:rsidRPr="00503014" w:rsidRDefault="00695AE2" w:rsidP="00980493">
            <w:pPr>
              <w:jc w:val="center"/>
              <w:rPr>
                <w:rFonts w:eastAsia="Calibri" w:cs="Calibri"/>
                <w:sz w:val="20"/>
                <w:szCs w:val="20"/>
              </w:rPr>
            </w:pPr>
            <w:r w:rsidRPr="00503014">
              <w:rPr>
                <w:rFonts w:eastAsia="Calibri" w:cs="Calibri"/>
                <w:sz w:val="20"/>
                <w:szCs w:val="20"/>
              </w:rPr>
              <w:t>poravnalni narok</w:t>
            </w:r>
          </w:p>
        </w:tc>
        <w:tc>
          <w:tcPr>
            <w:tcW w:w="898" w:type="dxa"/>
          </w:tcPr>
          <w:p w14:paraId="0E8C2DB4" w14:textId="77777777" w:rsidR="00695AE2" w:rsidRPr="00503014" w:rsidRDefault="00695AE2" w:rsidP="00980493">
            <w:pPr>
              <w:jc w:val="center"/>
              <w:rPr>
                <w:rFonts w:eastAsia="Calibri" w:cs="Calibri"/>
                <w:sz w:val="20"/>
                <w:szCs w:val="20"/>
              </w:rPr>
            </w:pPr>
            <w:r w:rsidRPr="00503014">
              <w:rPr>
                <w:rFonts w:eastAsia="Calibri" w:cs="Calibri"/>
                <w:sz w:val="20"/>
                <w:szCs w:val="20"/>
              </w:rPr>
              <w:t>ostali naroki</w:t>
            </w:r>
          </w:p>
        </w:tc>
        <w:tc>
          <w:tcPr>
            <w:tcW w:w="1965" w:type="dxa"/>
            <w:gridSpan w:val="2"/>
          </w:tcPr>
          <w:p w14:paraId="32C21AA0" w14:textId="77777777" w:rsidR="00695AE2" w:rsidRPr="00503014" w:rsidRDefault="00695AE2" w:rsidP="00980493">
            <w:pPr>
              <w:jc w:val="center"/>
              <w:rPr>
                <w:rFonts w:eastAsia="Calibri" w:cs="Calibri"/>
                <w:sz w:val="20"/>
                <w:szCs w:val="20"/>
              </w:rPr>
            </w:pPr>
            <w:r w:rsidRPr="00503014">
              <w:rPr>
                <w:rFonts w:eastAsia="Calibri" w:cs="Calibri"/>
                <w:sz w:val="20"/>
                <w:szCs w:val="20"/>
              </w:rPr>
              <w:t>poravnalni narok</w:t>
            </w:r>
          </w:p>
        </w:tc>
        <w:tc>
          <w:tcPr>
            <w:tcW w:w="984" w:type="dxa"/>
          </w:tcPr>
          <w:p w14:paraId="5B843A80" w14:textId="77777777" w:rsidR="00695AE2" w:rsidRPr="00503014" w:rsidRDefault="00695AE2" w:rsidP="00980493">
            <w:pPr>
              <w:jc w:val="center"/>
              <w:rPr>
                <w:rFonts w:eastAsia="Calibri" w:cs="Calibri"/>
                <w:sz w:val="20"/>
                <w:szCs w:val="20"/>
              </w:rPr>
            </w:pPr>
            <w:r w:rsidRPr="00503014">
              <w:rPr>
                <w:rFonts w:eastAsia="Calibri" w:cs="Calibri"/>
                <w:sz w:val="20"/>
                <w:szCs w:val="20"/>
              </w:rPr>
              <w:t>ostali naroki</w:t>
            </w:r>
          </w:p>
        </w:tc>
      </w:tr>
      <w:tr w:rsidR="00695AE2" w:rsidRPr="00503014" w14:paraId="5C8FEA65" w14:textId="77777777" w:rsidTr="00980493">
        <w:trPr>
          <w:trHeight w:val="285"/>
        </w:trPr>
        <w:tc>
          <w:tcPr>
            <w:tcW w:w="1731" w:type="dxa"/>
          </w:tcPr>
          <w:p w14:paraId="768A8D88" w14:textId="77777777" w:rsidR="00695AE2" w:rsidRPr="00503014" w:rsidRDefault="00695AE2" w:rsidP="00980493">
            <w:pPr>
              <w:rPr>
                <w:rFonts w:eastAsia="Calibri" w:cs="Calibri"/>
                <w:sz w:val="20"/>
                <w:szCs w:val="20"/>
              </w:rPr>
            </w:pPr>
          </w:p>
        </w:tc>
        <w:tc>
          <w:tcPr>
            <w:tcW w:w="885" w:type="dxa"/>
          </w:tcPr>
          <w:p w14:paraId="3C64A267" w14:textId="77777777" w:rsidR="00695AE2" w:rsidRPr="00503014" w:rsidRDefault="00695AE2" w:rsidP="00980493">
            <w:pPr>
              <w:jc w:val="center"/>
              <w:rPr>
                <w:rFonts w:eastAsia="Calibri" w:cs="Calibri"/>
                <w:sz w:val="20"/>
                <w:szCs w:val="20"/>
              </w:rPr>
            </w:pPr>
            <w:r w:rsidRPr="00503014">
              <w:rPr>
                <w:rFonts w:eastAsia="Calibri" w:cs="Calibri"/>
                <w:sz w:val="20"/>
                <w:szCs w:val="20"/>
              </w:rPr>
              <w:t>uspešni</w:t>
            </w:r>
          </w:p>
        </w:tc>
        <w:tc>
          <w:tcPr>
            <w:tcW w:w="1095" w:type="dxa"/>
          </w:tcPr>
          <w:p w14:paraId="7BB716F7" w14:textId="77777777" w:rsidR="00695AE2" w:rsidRPr="00503014" w:rsidRDefault="00695AE2" w:rsidP="00980493">
            <w:pPr>
              <w:jc w:val="center"/>
              <w:rPr>
                <w:rFonts w:eastAsia="Calibri" w:cs="Calibri"/>
                <w:sz w:val="20"/>
                <w:szCs w:val="20"/>
              </w:rPr>
            </w:pPr>
            <w:r w:rsidRPr="00503014">
              <w:rPr>
                <w:rFonts w:eastAsia="Calibri" w:cs="Calibri"/>
                <w:sz w:val="20"/>
                <w:szCs w:val="20"/>
              </w:rPr>
              <w:t>neuspešni</w:t>
            </w:r>
          </w:p>
        </w:tc>
        <w:tc>
          <w:tcPr>
            <w:tcW w:w="853" w:type="dxa"/>
          </w:tcPr>
          <w:p w14:paraId="39F901DC" w14:textId="77777777" w:rsidR="00695AE2" w:rsidRPr="00503014" w:rsidRDefault="00695AE2" w:rsidP="00980493">
            <w:pPr>
              <w:jc w:val="center"/>
              <w:rPr>
                <w:rFonts w:eastAsia="Calibri" w:cs="Calibri"/>
                <w:sz w:val="20"/>
                <w:szCs w:val="20"/>
              </w:rPr>
            </w:pPr>
          </w:p>
        </w:tc>
        <w:tc>
          <w:tcPr>
            <w:tcW w:w="915" w:type="dxa"/>
          </w:tcPr>
          <w:p w14:paraId="20C91FC7" w14:textId="77777777" w:rsidR="00695AE2" w:rsidRPr="00503014" w:rsidRDefault="00695AE2" w:rsidP="00980493">
            <w:pPr>
              <w:jc w:val="center"/>
              <w:rPr>
                <w:rFonts w:eastAsia="Calibri" w:cs="Calibri"/>
                <w:sz w:val="20"/>
                <w:szCs w:val="20"/>
              </w:rPr>
            </w:pPr>
            <w:r w:rsidRPr="00503014">
              <w:rPr>
                <w:rFonts w:eastAsia="Calibri" w:cs="Calibri"/>
                <w:sz w:val="20"/>
                <w:szCs w:val="20"/>
              </w:rPr>
              <w:t>uspešni</w:t>
            </w:r>
          </w:p>
        </w:tc>
        <w:tc>
          <w:tcPr>
            <w:tcW w:w="1020" w:type="dxa"/>
          </w:tcPr>
          <w:p w14:paraId="5ED4DA60" w14:textId="77777777" w:rsidR="00695AE2" w:rsidRPr="00503014" w:rsidRDefault="00695AE2" w:rsidP="00980493">
            <w:pPr>
              <w:jc w:val="center"/>
              <w:rPr>
                <w:rFonts w:eastAsia="Calibri" w:cs="Calibri"/>
                <w:sz w:val="20"/>
                <w:szCs w:val="20"/>
              </w:rPr>
            </w:pPr>
            <w:r w:rsidRPr="00503014">
              <w:rPr>
                <w:rFonts w:eastAsia="Calibri" w:cs="Calibri"/>
                <w:sz w:val="20"/>
                <w:szCs w:val="20"/>
              </w:rPr>
              <w:t>neuspešni</w:t>
            </w:r>
          </w:p>
        </w:tc>
        <w:tc>
          <w:tcPr>
            <w:tcW w:w="898" w:type="dxa"/>
          </w:tcPr>
          <w:p w14:paraId="26CA80D9" w14:textId="77777777" w:rsidR="00695AE2" w:rsidRPr="00503014" w:rsidRDefault="00695AE2" w:rsidP="00980493">
            <w:pPr>
              <w:jc w:val="center"/>
              <w:rPr>
                <w:rFonts w:eastAsia="Calibri" w:cs="Calibri"/>
                <w:sz w:val="20"/>
                <w:szCs w:val="20"/>
              </w:rPr>
            </w:pPr>
          </w:p>
        </w:tc>
        <w:tc>
          <w:tcPr>
            <w:tcW w:w="930" w:type="dxa"/>
          </w:tcPr>
          <w:p w14:paraId="41BDD4DB" w14:textId="77777777" w:rsidR="00695AE2" w:rsidRPr="00503014" w:rsidRDefault="00695AE2" w:rsidP="00980493">
            <w:pPr>
              <w:jc w:val="center"/>
              <w:rPr>
                <w:rFonts w:eastAsia="Calibri" w:cs="Calibri"/>
                <w:sz w:val="20"/>
                <w:szCs w:val="20"/>
              </w:rPr>
            </w:pPr>
            <w:r w:rsidRPr="00503014">
              <w:rPr>
                <w:rFonts w:eastAsia="Calibri" w:cs="Calibri"/>
                <w:sz w:val="20"/>
                <w:szCs w:val="20"/>
              </w:rPr>
              <w:t>uspešni</w:t>
            </w:r>
          </w:p>
        </w:tc>
        <w:tc>
          <w:tcPr>
            <w:tcW w:w="1035" w:type="dxa"/>
          </w:tcPr>
          <w:p w14:paraId="2A9BAF19" w14:textId="77777777" w:rsidR="00695AE2" w:rsidRPr="00503014" w:rsidRDefault="00695AE2" w:rsidP="00980493">
            <w:pPr>
              <w:jc w:val="center"/>
              <w:rPr>
                <w:rFonts w:eastAsia="Calibri" w:cs="Calibri"/>
                <w:sz w:val="20"/>
                <w:szCs w:val="20"/>
              </w:rPr>
            </w:pPr>
            <w:r w:rsidRPr="00503014">
              <w:rPr>
                <w:rFonts w:eastAsia="Calibri" w:cs="Calibri"/>
                <w:sz w:val="20"/>
                <w:szCs w:val="20"/>
              </w:rPr>
              <w:t>neuspešni</w:t>
            </w:r>
          </w:p>
        </w:tc>
        <w:tc>
          <w:tcPr>
            <w:tcW w:w="984" w:type="dxa"/>
          </w:tcPr>
          <w:p w14:paraId="31992E3F" w14:textId="77777777" w:rsidR="00695AE2" w:rsidRPr="00503014" w:rsidRDefault="00695AE2" w:rsidP="00980493">
            <w:pPr>
              <w:jc w:val="center"/>
              <w:rPr>
                <w:rFonts w:eastAsia="Calibri" w:cs="Calibri"/>
                <w:sz w:val="20"/>
                <w:szCs w:val="20"/>
              </w:rPr>
            </w:pPr>
          </w:p>
        </w:tc>
      </w:tr>
      <w:tr w:rsidR="00695AE2" w:rsidRPr="00503014" w14:paraId="13B5F3B1" w14:textId="77777777" w:rsidTr="00980493">
        <w:trPr>
          <w:trHeight w:val="285"/>
        </w:trPr>
        <w:tc>
          <w:tcPr>
            <w:tcW w:w="1731" w:type="dxa"/>
          </w:tcPr>
          <w:p w14:paraId="182017C9" w14:textId="77777777" w:rsidR="00695AE2" w:rsidRPr="00503014" w:rsidRDefault="00695AE2" w:rsidP="00980493">
            <w:pPr>
              <w:rPr>
                <w:rFonts w:eastAsia="Calibri" w:cs="Calibri"/>
                <w:sz w:val="20"/>
                <w:szCs w:val="20"/>
              </w:rPr>
            </w:pPr>
            <w:r w:rsidRPr="00503014">
              <w:rPr>
                <w:rFonts w:eastAsia="Calibri" w:cs="Calibri"/>
                <w:sz w:val="20"/>
                <w:szCs w:val="20"/>
              </w:rPr>
              <w:t>sedež v Ljubljani</w:t>
            </w:r>
          </w:p>
        </w:tc>
        <w:tc>
          <w:tcPr>
            <w:tcW w:w="885" w:type="dxa"/>
          </w:tcPr>
          <w:p w14:paraId="223D2D7F"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095" w:type="dxa"/>
          </w:tcPr>
          <w:p w14:paraId="200732D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4F350897" w14:textId="77777777" w:rsidR="00695AE2" w:rsidRPr="00503014" w:rsidRDefault="00695AE2" w:rsidP="00980493">
            <w:pPr>
              <w:jc w:val="center"/>
              <w:rPr>
                <w:rFonts w:eastAsia="Calibri" w:cs="Calibri"/>
                <w:sz w:val="20"/>
                <w:szCs w:val="20"/>
              </w:rPr>
            </w:pPr>
            <w:r w:rsidRPr="00503014">
              <w:rPr>
                <w:rFonts w:eastAsia="Calibri" w:cs="Calibri"/>
                <w:sz w:val="20"/>
                <w:szCs w:val="20"/>
              </w:rPr>
              <w:t>859</w:t>
            </w:r>
          </w:p>
        </w:tc>
        <w:tc>
          <w:tcPr>
            <w:tcW w:w="915" w:type="dxa"/>
          </w:tcPr>
          <w:p w14:paraId="4097571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08F48C63"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28BA5795" w14:textId="77777777" w:rsidR="00695AE2" w:rsidRPr="00503014" w:rsidRDefault="00695AE2" w:rsidP="00980493">
            <w:pPr>
              <w:jc w:val="center"/>
              <w:rPr>
                <w:rFonts w:eastAsia="Calibri" w:cs="Calibri"/>
                <w:sz w:val="20"/>
                <w:szCs w:val="20"/>
              </w:rPr>
            </w:pPr>
            <w:r w:rsidRPr="00503014">
              <w:rPr>
                <w:rFonts w:eastAsia="Calibri" w:cs="Calibri"/>
                <w:sz w:val="20"/>
                <w:szCs w:val="20"/>
              </w:rPr>
              <w:t>596</w:t>
            </w:r>
          </w:p>
        </w:tc>
        <w:tc>
          <w:tcPr>
            <w:tcW w:w="930" w:type="dxa"/>
          </w:tcPr>
          <w:p w14:paraId="0FBEA9A7"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207F19D3"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470E894C" w14:textId="77777777" w:rsidR="00695AE2" w:rsidRPr="00503014" w:rsidRDefault="00695AE2" w:rsidP="00980493">
            <w:pPr>
              <w:jc w:val="center"/>
              <w:rPr>
                <w:rFonts w:eastAsia="Calibri" w:cs="Calibri"/>
                <w:sz w:val="20"/>
                <w:szCs w:val="20"/>
              </w:rPr>
            </w:pPr>
            <w:r w:rsidRPr="00503014">
              <w:rPr>
                <w:rFonts w:eastAsia="Calibri" w:cs="Calibri"/>
                <w:sz w:val="20"/>
                <w:szCs w:val="20"/>
              </w:rPr>
              <w:t>43</w:t>
            </w:r>
          </w:p>
        </w:tc>
      </w:tr>
      <w:tr w:rsidR="00695AE2" w:rsidRPr="00503014" w14:paraId="0A489358" w14:textId="77777777" w:rsidTr="00980493">
        <w:trPr>
          <w:trHeight w:val="307"/>
        </w:trPr>
        <w:tc>
          <w:tcPr>
            <w:tcW w:w="1731" w:type="dxa"/>
          </w:tcPr>
          <w:p w14:paraId="465280ED" w14:textId="77777777" w:rsidR="00695AE2" w:rsidRPr="00503014" w:rsidRDefault="00695AE2" w:rsidP="00980493">
            <w:pPr>
              <w:rPr>
                <w:rFonts w:eastAsia="Calibri" w:cs="Calibri"/>
                <w:sz w:val="20"/>
                <w:szCs w:val="20"/>
              </w:rPr>
            </w:pPr>
            <w:r w:rsidRPr="00503014">
              <w:rPr>
                <w:rFonts w:eastAsia="Calibri" w:cs="Calibri"/>
                <w:sz w:val="20"/>
                <w:szCs w:val="20"/>
              </w:rPr>
              <w:t>Zunanji oddelek v Mariboru</w:t>
            </w:r>
          </w:p>
        </w:tc>
        <w:tc>
          <w:tcPr>
            <w:tcW w:w="885" w:type="dxa"/>
          </w:tcPr>
          <w:p w14:paraId="6628E3B4"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49B467E7"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2902D7E5" w14:textId="77777777" w:rsidR="00695AE2" w:rsidRPr="00503014" w:rsidRDefault="00695AE2" w:rsidP="00980493">
            <w:pPr>
              <w:jc w:val="center"/>
              <w:rPr>
                <w:rFonts w:eastAsia="Calibri" w:cs="Calibri"/>
                <w:sz w:val="20"/>
                <w:szCs w:val="20"/>
              </w:rPr>
            </w:pPr>
            <w:r w:rsidRPr="00503014">
              <w:rPr>
                <w:rFonts w:eastAsia="Calibri" w:cs="Calibri"/>
                <w:sz w:val="20"/>
                <w:szCs w:val="20"/>
              </w:rPr>
              <w:t>143</w:t>
            </w:r>
          </w:p>
        </w:tc>
        <w:tc>
          <w:tcPr>
            <w:tcW w:w="915" w:type="dxa"/>
          </w:tcPr>
          <w:p w14:paraId="6D2130E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2D5DD70D"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040FCBFE" w14:textId="77777777" w:rsidR="00695AE2" w:rsidRPr="00503014" w:rsidRDefault="00695AE2" w:rsidP="00980493">
            <w:pPr>
              <w:jc w:val="center"/>
              <w:rPr>
                <w:rFonts w:eastAsia="Calibri" w:cs="Calibri"/>
                <w:sz w:val="20"/>
                <w:szCs w:val="20"/>
              </w:rPr>
            </w:pPr>
            <w:r w:rsidRPr="00503014">
              <w:rPr>
                <w:rFonts w:eastAsia="Calibri" w:cs="Calibri"/>
                <w:sz w:val="20"/>
                <w:szCs w:val="20"/>
              </w:rPr>
              <w:t>182</w:t>
            </w:r>
          </w:p>
        </w:tc>
        <w:tc>
          <w:tcPr>
            <w:tcW w:w="930" w:type="dxa"/>
          </w:tcPr>
          <w:p w14:paraId="6D118093"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537E752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3561F6DF" w14:textId="77777777" w:rsidR="00695AE2" w:rsidRPr="00503014" w:rsidRDefault="00695AE2" w:rsidP="00980493">
            <w:pPr>
              <w:jc w:val="center"/>
              <w:rPr>
                <w:rFonts w:eastAsia="Calibri" w:cs="Calibri"/>
                <w:sz w:val="20"/>
                <w:szCs w:val="20"/>
              </w:rPr>
            </w:pPr>
            <w:r w:rsidRPr="00503014">
              <w:rPr>
                <w:rFonts w:eastAsia="Calibri" w:cs="Calibri"/>
                <w:sz w:val="20"/>
                <w:szCs w:val="20"/>
              </w:rPr>
              <w:t>233</w:t>
            </w:r>
          </w:p>
        </w:tc>
      </w:tr>
      <w:tr w:rsidR="00695AE2" w:rsidRPr="00503014" w14:paraId="599ABA63" w14:textId="77777777" w:rsidTr="00980493">
        <w:trPr>
          <w:trHeight w:val="285"/>
        </w:trPr>
        <w:tc>
          <w:tcPr>
            <w:tcW w:w="1731" w:type="dxa"/>
          </w:tcPr>
          <w:p w14:paraId="1D4951A4" w14:textId="77777777" w:rsidR="00695AE2" w:rsidRPr="00503014" w:rsidRDefault="00695AE2" w:rsidP="00980493">
            <w:pPr>
              <w:rPr>
                <w:rFonts w:eastAsia="Calibri" w:cs="Calibri"/>
                <w:sz w:val="20"/>
                <w:szCs w:val="20"/>
              </w:rPr>
            </w:pPr>
            <w:r w:rsidRPr="00503014">
              <w:rPr>
                <w:rFonts w:eastAsia="Calibri" w:cs="Calibri"/>
                <w:sz w:val="20"/>
                <w:szCs w:val="20"/>
              </w:rPr>
              <w:t>Zunanji oddelek v Celju</w:t>
            </w:r>
          </w:p>
        </w:tc>
        <w:tc>
          <w:tcPr>
            <w:tcW w:w="885" w:type="dxa"/>
          </w:tcPr>
          <w:p w14:paraId="20CDBCA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0FCBDFE3"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1B58D34B" w14:textId="77777777" w:rsidR="00695AE2" w:rsidRPr="00503014" w:rsidRDefault="00695AE2" w:rsidP="00980493">
            <w:pPr>
              <w:jc w:val="center"/>
              <w:rPr>
                <w:rFonts w:eastAsia="Calibri" w:cs="Calibri"/>
                <w:sz w:val="20"/>
                <w:szCs w:val="20"/>
              </w:rPr>
            </w:pPr>
            <w:r w:rsidRPr="00503014">
              <w:rPr>
                <w:rFonts w:eastAsia="Calibri" w:cs="Calibri"/>
                <w:sz w:val="20"/>
                <w:szCs w:val="20"/>
              </w:rPr>
              <w:t>209</w:t>
            </w:r>
          </w:p>
        </w:tc>
        <w:tc>
          <w:tcPr>
            <w:tcW w:w="915" w:type="dxa"/>
          </w:tcPr>
          <w:p w14:paraId="39AEB731"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7EB6AF8F"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4179FC35" w14:textId="77777777" w:rsidR="00695AE2" w:rsidRPr="00503014" w:rsidRDefault="00695AE2" w:rsidP="00980493">
            <w:pPr>
              <w:jc w:val="center"/>
              <w:rPr>
                <w:rFonts w:eastAsia="Calibri" w:cs="Calibri"/>
                <w:sz w:val="20"/>
                <w:szCs w:val="20"/>
              </w:rPr>
            </w:pPr>
            <w:r w:rsidRPr="00503014">
              <w:rPr>
                <w:rFonts w:eastAsia="Calibri" w:cs="Calibri"/>
                <w:sz w:val="20"/>
                <w:szCs w:val="20"/>
              </w:rPr>
              <w:t>23</w:t>
            </w:r>
          </w:p>
        </w:tc>
        <w:tc>
          <w:tcPr>
            <w:tcW w:w="930" w:type="dxa"/>
          </w:tcPr>
          <w:p w14:paraId="7FCD4F72"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026DD29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4A3475DF" w14:textId="77777777" w:rsidR="00695AE2" w:rsidRPr="00503014" w:rsidRDefault="00695AE2" w:rsidP="00980493">
            <w:pPr>
              <w:jc w:val="center"/>
              <w:rPr>
                <w:rFonts w:eastAsia="Calibri" w:cs="Calibri"/>
                <w:sz w:val="20"/>
                <w:szCs w:val="20"/>
              </w:rPr>
            </w:pPr>
            <w:r w:rsidRPr="00503014">
              <w:rPr>
                <w:rFonts w:eastAsia="Calibri" w:cs="Calibri"/>
                <w:sz w:val="20"/>
                <w:szCs w:val="20"/>
              </w:rPr>
              <w:t>58</w:t>
            </w:r>
          </w:p>
        </w:tc>
      </w:tr>
      <w:tr w:rsidR="00695AE2" w:rsidRPr="00503014" w14:paraId="4FA70E6B" w14:textId="77777777" w:rsidTr="00980493">
        <w:trPr>
          <w:trHeight w:val="307"/>
        </w:trPr>
        <w:tc>
          <w:tcPr>
            <w:tcW w:w="1731" w:type="dxa"/>
          </w:tcPr>
          <w:p w14:paraId="1FED58A9" w14:textId="77777777" w:rsidR="00695AE2" w:rsidRPr="00503014" w:rsidRDefault="00695AE2" w:rsidP="00980493">
            <w:pPr>
              <w:rPr>
                <w:rFonts w:eastAsia="Calibri" w:cs="Calibri"/>
                <w:sz w:val="20"/>
                <w:szCs w:val="20"/>
              </w:rPr>
            </w:pPr>
            <w:r w:rsidRPr="00503014">
              <w:rPr>
                <w:rFonts w:eastAsia="Calibri" w:cs="Calibri"/>
                <w:sz w:val="20"/>
                <w:szCs w:val="20"/>
              </w:rPr>
              <w:t>Zunanji oddelek v Kopru</w:t>
            </w:r>
          </w:p>
        </w:tc>
        <w:tc>
          <w:tcPr>
            <w:tcW w:w="885" w:type="dxa"/>
          </w:tcPr>
          <w:p w14:paraId="6F6F061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1148764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23EE029F" w14:textId="77777777" w:rsidR="00695AE2" w:rsidRPr="00503014" w:rsidRDefault="00695AE2" w:rsidP="00980493">
            <w:pPr>
              <w:jc w:val="center"/>
              <w:rPr>
                <w:rFonts w:eastAsia="Calibri" w:cs="Calibri"/>
                <w:sz w:val="20"/>
                <w:szCs w:val="20"/>
              </w:rPr>
            </w:pPr>
            <w:r w:rsidRPr="00503014">
              <w:rPr>
                <w:rFonts w:eastAsia="Calibri" w:cs="Calibri"/>
                <w:sz w:val="20"/>
                <w:szCs w:val="20"/>
              </w:rPr>
              <w:t>194</w:t>
            </w:r>
          </w:p>
        </w:tc>
        <w:tc>
          <w:tcPr>
            <w:tcW w:w="915" w:type="dxa"/>
          </w:tcPr>
          <w:p w14:paraId="7CE74129"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020" w:type="dxa"/>
          </w:tcPr>
          <w:p w14:paraId="4EBBB2F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11CD64F5" w14:textId="77777777" w:rsidR="00695AE2" w:rsidRPr="00503014" w:rsidRDefault="00695AE2" w:rsidP="00980493">
            <w:pPr>
              <w:jc w:val="center"/>
              <w:rPr>
                <w:rFonts w:eastAsia="Calibri" w:cs="Calibri"/>
                <w:sz w:val="20"/>
                <w:szCs w:val="20"/>
              </w:rPr>
            </w:pPr>
            <w:r w:rsidRPr="00503014">
              <w:rPr>
                <w:rFonts w:eastAsia="Calibri" w:cs="Calibri"/>
                <w:sz w:val="20"/>
                <w:szCs w:val="20"/>
              </w:rPr>
              <w:t>157</w:t>
            </w:r>
          </w:p>
        </w:tc>
        <w:tc>
          <w:tcPr>
            <w:tcW w:w="930" w:type="dxa"/>
          </w:tcPr>
          <w:p w14:paraId="0FA6B97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0A25AF0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62B833C6" w14:textId="77777777" w:rsidR="00695AE2" w:rsidRPr="00503014" w:rsidRDefault="00695AE2" w:rsidP="00980493">
            <w:pPr>
              <w:jc w:val="center"/>
              <w:rPr>
                <w:rFonts w:eastAsia="Calibri" w:cs="Calibri"/>
                <w:sz w:val="20"/>
                <w:szCs w:val="20"/>
              </w:rPr>
            </w:pPr>
            <w:r w:rsidRPr="00503014">
              <w:rPr>
                <w:rFonts w:eastAsia="Calibri" w:cs="Calibri"/>
                <w:sz w:val="20"/>
                <w:szCs w:val="20"/>
              </w:rPr>
              <w:t>46</w:t>
            </w:r>
          </w:p>
        </w:tc>
      </w:tr>
      <w:tr w:rsidR="00695AE2" w:rsidRPr="00503014" w14:paraId="4CDF37F5" w14:textId="77777777" w:rsidTr="00980493">
        <w:trPr>
          <w:trHeight w:val="285"/>
        </w:trPr>
        <w:tc>
          <w:tcPr>
            <w:tcW w:w="1731" w:type="dxa"/>
          </w:tcPr>
          <w:p w14:paraId="56E0F064" w14:textId="77777777" w:rsidR="00695AE2" w:rsidRPr="00503014" w:rsidRDefault="00695AE2" w:rsidP="00980493">
            <w:pPr>
              <w:rPr>
                <w:rFonts w:eastAsia="Calibri" w:cs="Calibri"/>
                <w:sz w:val="20"/>
                <w:szCs w:val="20"/>
              </w:rPr>
            </w:pPr>
            <w:r w:rsidRPr="00503014">
              <w:rPr>
                <w:rFonts w:eastAsia="Calibri" w:cs="Calibri"/>
                <w:sz w:val="20"/>
                <w:szCs w:val="20"/>
              </w:rPr>
              <w:t>Zunanji oddelek v Kranju</w:t>
            </w:r>
          </w:p>
        </w:tc>
        <w:tc>
          <w:tcPr>
            <w:tcW w:w="885" w:type="dxa"/>
          </w:tcPr>
          <w:p w14:paraId="0E731E2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715847E8"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62CB80A5" w14:textId="77777777" w:rsidR="00695AE2" w:rsidRPr="00503014" w:rsidRDefault="00695AE2" w:rsidP="00980493">
            <w:pPr>
              <w:jc w:val="center"/>
              <w:rPr>
                <w:rFonts w:eastAsia="Calibri" w:cs="Calibri"/>
                <w:sz w:val="20"/>
                <w:szCs w:val="20"/>
              </w:rPr>
            </w:pPr>
            <w:r w:rsidRPr="00503014">
              <w:rPr>
                <w:rFonts w:eastAsia="Calibri" w:cs="Calibri"/>
                <w:sz w:val="20"/>
                <w:szCs w:val="20"/>
              </w:rPr>
              <w:t>87</w:t>
            </w:r>
          </w:p>
        </w:tc>
        <w:tc>
          <w:tcPr>
            <w:tcW w:w="915" w:type="dxa"/>
          </w:tcPr>
          <w:p w14:paraId="34133367"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5FA7BAC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40B44AC4" w14:textId="77777777" w:rsidR="00695AE2" w:rsidRPr="00503014" w:rsidRDefault="00695AE2" w:rsidP="00980493">
            <w:pPr>
              <w:jc w:val="center"/>
              <w:rPr>
                <w:rFonts w:eastAsia="Calibri" w:cs="Calibri"/>
                <w:sz w:val="20"/>
                <w:szCs w:val="20"/>
              </w:rPr>
            </w:pPr>
            <w:r w:rsidRPr="00503014">
              <w:rPr>
                <w:rFonts w:eastAsia="Calibri" w:cs="Calibri"/>
                <w:sz w:val="20"/>
                <w:szCs w:val="20"/>
              </w:rPr>
              <w:t>23</w:t>
            </w:r>
          </w:p>
        </w:tc>
        <w:tc>
          <w:tcPr>
            <w:tcW w:w="930" w:type="dxa"/>
          </w:tcPr>
          <w:p w14:paraId="5FA51412"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5AFFF2B2"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280E6FAE" w14:textId="77777777" w:rsidR="00695AE2" w:rsidRPr="00503014" w:rsidRDefault="00695AE2" w:rsidP="00980493">
            <w:pPr>
              <w:jc w:val="center"/>
              <w:rPr>
                <w:rFonts w:eastAsia="Calibri" w:cs="Calibri"/>
                <w:sz w:val="20"/>
                <w:szCs w:val="20"/>
              </w:rPr>
            </w:pPr>
            <w:r w:rsidRPr="00503014">
              <w:rPr>
                <w:rFonts w:eastAsia="Calibri" w:cs="Calibri"/>
                <w:sz w:val="20"/>
                <w:szCs w:val="20"/>
              </w:rPr>
              <w:t>41</w:t>
            </w:r>
          </w:p>
        </w:tc>
      </w:tr>
      <w:tr w:rsidR="00695AE2" w:rsidRPr="00503014" w14:paraId="315657DB" w14:textId="77777777" w:rsidTr="00980493">
        <w:trPr>
          <w:trHeight w:val="307"/>
        </w:trPr>
        <w:tc>
          <w:tcPr>
            <w:tcW w:w="1731" w:type="dxa"/>
          </w:tcPr>
          <w:p w14:paraId="2A72925D" w14:textId="77777777" w:rsidR="00695AE2" w:rsidRPr="00503014" w:rsidRDefault="00695AE2" w:rsidP="00980493">
            <w:pPr>
              <w:rPr>
                <w:rFonts w:eastAsia="Calibri" w:cs="Calibri"/>
                <w:sz w:val="20"/>
                <w:szCs w:val="20"/>
              </w:rPr>
            </w:pPr>
            <w:r w:rsidRPr="00503014">
              <w:rPr>
                <w:rFonts w:eastAsia="Calibri" w:cs="Calibri"/>
                <w:sz w:val="20"/>
                <w:szCs w:val="20"/>
              </w:rPr>
              <w:t>Zunanji oddelek v Murski Soboti</w:t>
            </w:r>
          </w:p>
        </w:tc>
        <w:tc>
          <w:tcPr>
            <w:tcW w:w="885" w:type="dxa"/>
          </w:tcPr>
          <w:p w14:paraId="0865C3E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4318CDF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29A1F876" w14:textId="77777777" w:rsidR="00695AE2" w:rsidRPr="00503014" w:rsidRDefault="00695AE2" w:rsidP="00980493">
            <w:pPr>
              <w:jc w:val="center"/>
              <w:rPr>
                <w:rFonts w:eastAsia="Calibri" w:cs="Calibri"/>
                <w:sz w:val="20"/>
                <w:szCs w:val="20"/>
              </w:rPr>
            </w:pPr>
            <w:r w:rsidRPr="00503014">
              <w:rPr>
                <w:rFonts w:eastAsia="Calibri" w:cs="Calibri"/>
                <w:sz w:val="20"/>
                <w:szCs w:val="20"/>
              </w:rPr>
              <w:t>97</w:t>
            </w:r>
          </w:p>
        </w:tc>
        <w:tc>
          <w:tcPr>
            <w:tcW w:w="915" w:type="dxa"/>
          </w:tcPr>
          <w:p w14:paraId="45C5932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47AAC8D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7DE77DC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30" w:type="dxa"/>
          </w:tcPr>
          <w:p w14:paraId="34D1127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53BD0FC1"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17123A61" w14:textId="77777777" w:rsidR="00695AE2" w:rsidRPr="00503014" w:rsidRDefault="00695AE2" w:rsidP="00980493">
            <w:pPr>
              <w:jc w:val="center"/>
              <w:rPr>
                <w:rFonts w:eastAsia="Calibri" w:cs="Calibri"/>
                <w:sz w:val="20"/>
                <w:szCs w:val="20"/>
              </w:rPr>
            </w:pPr>
            <w:r w:rsidRPr="00503014">
              <w:rPr>
                <w:rFonts w:eastAsia="Calibri" w:cs="Calibri"/>
                <w:sz w:val="20"/>
                <w:szCs w:val="20"/>
              </w:rPr>
              <w:t>75</w:t>
            </w:r>
          </w:p>
        </w:tc>
      </w:tr>
      <w:tr w:rsidR="00695AE2" w:rsidRPr="00503014" w14:paraId="7F94A3CD" w14:textId="77777777" w:rsidTr="00980493">
        <w:trPr>
          <w:trHeight w:val="285"/>
        </w:trPr>
        <w:tc>
          <w:tcPr>
            <w:tcW w:w="1731" w:type="dxa"/>
          </w:tcPr>
          <w:p w14:paraId="58754460" w14:textId="77777777" w:rsidR="00695AE2" w:rsidRPr="00503014" w:rsidRDefault="00695AE2" w:rsidP="00980493">
            <w:pPr>
              <w:rPr>
                <w:rFonts w:eastAsia="Calibri" w:cs="Calibri"/>
                <w:sz w:val="20"/>
                <w:szCs w:val="20"/>
              </w:rPr>
            </w:pPr>
            <w:r w:rsidRPr="00503014">
              <w:rPr>
                <w:rFonts w:eastAsia="Calibri" w:cs="Calibri"/>
                <w:sz w:val="20"/>
                <w:szCs w:val="20"/>
              </w:rPr>
              <w:t>Zunanji oddelek v Novi Gorici</w:t>
            </w:r>
          </w:p>
        </w:tc>
        <w:tc>
          <w:tcPr>
            <w:tcW w:w="885" w:type="dxa"/>
          </w:tcPr>
          <w:p w14:paraId="25CCEC38"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418EF5E9"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247CD61F" w14:textId="77777777" w:rsidR="00695AE2" w:rsidRPr="00503014" w:rsidRDefault="00695AE2" w:rsidP="00980493">
            <w:pPr>
              <w:jc w:val="center"/>
              <w:rPr>
                <w:rFonts w:eastAsia="Calibri" w:cs="Calibri"/>
                <w:sz w:val="20"/>
                <w:szCs w:val="20"/>
              </w:rPr>
            </w:pPr>
            <w:r w:rsidRPr="00503014">
              <w:rPr>
                <w:rFonts w:eastAsia="Calibri" w:cs="Calibri"/>
                <w:sz w:val="20"/>
                <w:szCs w:val="20"/>
              </w:rPr>
              <w:t>165</w:t>
            </w:r>
          </w:p>
        </w:tc>
        <w:tc>
          <w:tcPr>
            <w:tcW w:w="915" w:type="dxa"/>
          </w:tcPr>
          <w:p w14:paraId="642F1B02"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7E2BFAF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78478408" w14:textId="77777777" w:rsidR="00695AE2" w:rsidRPr="00503014" w:rsidRDefault="00695AE2" w:rsidP="00980493">
            <w:pPr>
              <w:jc w:val="center"/>
              <w:rPr>
                <w:rFonts w:eastAsia="Calibri" w:cs="Calibri"/>
                <w:sz w:val="20"/>
                <w:szCs w:val="20"/>
              </w:rPr>
            </w:pPr>
            <w:r w:rsidRPr="00503014">
              <w:rPr>
                <w:rFonts w:eastAsia="Calibri" w:cs="Calibri"/>
                <w:sz w:val="20"/>
                <w:szCs w:val="20"/>
              </w:rPr>
              <w:t>34</w:t>
            </w:r>
          </w:p>
        </w:tc>
        <w:tc>
          <w:tcPr>
            <w:tcW w:w="930" w:type="dxa"/>
          </w:tcPr>
          <w:p w14:paraId="6AA130FF"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44E19DD9"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1E71674C" w14:textId="77777777" w:rsidR="00695AE2" w:rsidRPr="00503014" w:rsidRDefault="00695AE2" w:rsidP="00980493">
            <w:pPr>
              <w:jc w:val="center"/>
              <w:rPr>
                <w:rFonts w:eastAsia="Calibri" w:cs="Calibri"/>
                <w:sz w:val="20"/>
                <w:szCs w:val="20"/>
              </w:rPr>
            </w:pPr>
            <w:r w:rsidRPr="00503014">
              <w:rPr>
                <w:rFonts w:eastAsia="Calibri" w:cs="Calibri"/>
                <w:sz w:val="20"/>
                <w:szCs w:val="20"/>
              </w:rPr>
              <w:t>14</w:t>
            </w:r>
          </w:p>
        </w:tc>
      </w:tr>
      <w:tr w:rsidR="00695AE2" w:rsidRPr="00503014" w14:paraId="385CAD26" w14:textId="77777777" w:rsidTr="00980493">
        <w:trPr>
          <w:trHeight w:val="285"/>
        </w:trPr>
        <w:tc>
          <w:tcPr>
            <w:tcW w:w="1731" w:type="dxa"/>
          </w:tcPr>
          <w:p w14:paraId="045CDD79" w14:textId="77777777" w:rsidR="00695AE2" w:rsidRPr="00503014" w:rsidRDefault="00695AE2" w:rsidP="00980493">
            <w:pPr>
              <w:rPr>
                <w:rFonts w:eastAsia="Calibri" w:cs="Calibri"/>
                <w:sz w:val="20"/>
                <w:szCs w:val="20"/>
              </w:rPr>
            </w:pPr>
            <w:r w:rsidRPr="00503014">
              <w:rPr>
                <w:rFonts w:eastAsia="Calibri" w:cs="Calibri"/>
                <w:sz w:val="20"/>
                <w:szCs w:val="20"/>
              </w:rPr>
              <w:t>Zunanji oddelek v Novem mestu</w:t>
            </w:r>
          </w:p>
        </w:tc>
        <w:tc>
          <w:tcPr>
            <w:tcW w:w="885" w:type="dxa"/>
          </w:tcPr>
          <w:p w14:paraId="79A910F1"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095" w:type="dxa"/>
          </w:tcPr>
          <w:p w14:paraId="65FBF14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0D63F0DC" w14:textId="77777777" w:rsidR="00695AE2" w:rsidRPr="00503014" w:rsidRDefault="00695AE2" w:rsidP="00980493">
            <w:pPr>
              <w:jc w:val="center"/>
              <w:rPr>
                <w:rFonts w:eastAsia="Calibri" w:cs="Calibri"/>
                <w:sz w:val="20"/>
                <w:szCs w:val="20"/>
              </w:rPr>
            </w:pPr>
            <w:r w:rsidRPr="00503014">
              <w:rPr>
                <w:rFonts w:eastAsia="Calibri" w:cs="Calibri"/>
                <w:sz w:val="20"/>
                <w:szCs w:val="20"/>
              </w:rPr>
              <w:t>162</w:t>
            </w:r>
          </w:p>
        </w:tc>
        <w:tc>
          <w:tcPr>
            <w:tcW w:w="915" w:type="dxa"/>
          </w:tcPr>
          <w:p w14:paraId="4E1BE703"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1F7A35AF"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2E6A3B04" w14:textId="77777777" w:rsidR="00695AE2" w:rsidRPr="00503014" w:rsidRDefault="00695AE2" w:rsidP="00980493">
            <w:pPr>
              <w:jc w:val="center"/>
              <w:rPr>
                <w:rFonts w:eastAsia="Calibri" w:cs="Calibri"/>
                <w:sz w:val="20"/>
                <w:szCs w:val="20"/>
              </w:rPr>
            </w:pPr>
            <w:r w:rsidRPr="00503014">
              <w:rPr>
                <w:rFonts w:eastAsia="Calibri" w:cs="Calibri"/>
                <w:sz w:val="20"/>
                <w:szCs w:val="20"/>
              </w:rPr>
              <w:t>130</w:t>
            </w:r>
          </w:p>
        </w:tc>
        <w:tc>
          <w:tcPr>
            <w:tcW w:w="930" w:type="dxa"/>
          </w:tcPr>
          <w:p w14:paraId="3C66C40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4D7ADD2A"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7D837CE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20A43772" w14:textId="77777777" w:rsidTr="00980493">
        <w:trPr>
          <w:trHeight w:val="285"/>
        </w:trPr>
        <w:tc>
          <w:tcPr>
            <w:tcW w:w="1731" w:type="dxa"/>
          </w:tcPr>
          <w:p w14:paraId="566B59DA" w14:textId="77777777" w:rsidR="00695AE2" w:rsidRPr="00503014" w:rsidRDefault="00695AE2" w:rsidP="00980493">
            <w:pPr>
              <w:rPr>
                <w:rFonts w:eastAsia="Calibri" w:cs="Calibri"/>
                <w:sz w:val="20"/>
                <w:szCs w:val="20"/>
              </w:rPr>
            </w:pPr>
            <w:r w:rsidRPr="00503014">
              <w:rPr>
                <w:rFonts w:eastAsia="Calibri" w:cs="Calibri"/>
                <w:sz w:val="20"/>
                <w:szCs w:val="20"/>
              </w:rPr>
              <w:t>Zunanji oddelek na Ptuju</w:t>
            </w:r>
          </w:p>
        </w:tc>
        <w:tc>
          <w:tcPr>
            <w:tcW w:w="885" w:type="dxa"/>
          </w:tcPr>
          <w:p w14:paraId="6F62F23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95" w:type="dxa"/>
          </w:tcPr>
          <w:p w14:paraId="41F3D32B"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53" w:type="dxa"/>
          </w:tcPr>
          <w:p w14:paraId="41F8FDB3" w14:textId="77777777" w:rsidR="00695AE2" w:rsidRPr="00503014" w:rsidRDefault="00695AE2" w:rsidP="00980493">
            <w:pPr>
              <w:jc w:val="center"/>
              <w:rPr>
                <w:rFonts w:eastAsia="Calibri" w:cs="Calibri"/>
                <w:sz w:val="20"/>
                <w:szCs w:val="20"/>
              </w:rPr>
            </w:pPr>
            <w:r w:rsidRPr="00503014">
              <w:rPr>
                <w:rFonts w:eastAsia="Calibri" w:cs="Calibri"/>
                <w:sz w:val="20"/>
                <w:szCs w:val="20"/>
              </w:rPr>
              <w:t>135</w:t>
            </w:r>
          </w:p>
        </w:tc>
        <w:tc>
          <w:tcPr>
            <w:tcW w:w="915" w:type="dxa"/>
          </w:tcPr>
          <w:p w14:paraId="0829972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20" w:type="dxa"/>
          </w:tcPr>
          <w:p w14:paraId="3E98151F"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898" w:type="dxa"/>
          </w:tcPr>
          <w:p w14:paraId="6B6F2651"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30" w:type="dxa"/>
          </w:tcPr>
          <w:p w14:paraId="221DEC63"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035" w:type="dxa"/>
          </w:tcPr>
          <w:p w14:paraId="71024849"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84" w:type="dxa"/>
          </w:tcPr>
          <w:p w14:paraId="7F9C0CCE" w14:textId="77777777" w:rsidR="00695AE2" w:rsidRPr="00503014" w:rsidRDefault="00695AE2" w:rsidP="00980493">
            <w:pPr>
              <w:jc w:val="center"/>
              <w:rPr>
                <w:rFonts w:eastAsia="Calibri" w:cs="Calibri"/>
                <w:sz w:val="20"/>
                <w:szCs w:val="20"/>
              </w:rPr>
            </w:pPr>
            <w:r w:rsidRPr="00503014">
              <w:rPr>
                <w:rFonts w:eastAsia="Calibri" w:cs="Calibri"/>
                <w:sz w:val="20"/>
                <w:szCs w:val="20"/>
              </w:rPr>
              <w:t>12</w:t>
            </w:r>
          </w:p>
        </w:tc>
      </w:tr>
    </w:tbl>
    <w:p w14:paraId="56EFC696" w14:textId="77777777" w:rsidR="00695AE2" w:rsidRPr="00503014" w:rsidRDefault="00695AE2" w:rsidP="00695AE2">
      <w:pPr>
        <w:spacing w:line="240" w:lineRule="auto"/>
        <w:jc w:val="both"/>
        <w:rPr>
          <w:rFonts w:eastAsia="Calibri"/>
          <w:szCs w:val="22"/>
        </w:rPr>
      </w:pPr>
    </w:p>
    <w:p w14:paraId="47A24ED8" w14:textId="77777777" w:rsidR="00695AE2" w:rsidRPr="00503014" w:rsidRDefault="00695AE2" w:rsidP="00695AE2">
      <w:pPr>
        <w:spacing w:line="240" w:lineRule="auto"/>
        <w:jc w:val="both"/>
        <w:rPr>
          <w:rFonts w:eastAsia="Calibri"/>
          <w:szCs w:val="22"/>
        </w:rPr>
      </w:pPr>
      <w:r w:rsidRPr="00503014">
        <w:rPr>
          <w:rFonts w:eastAsia="Calibri"/>
          <w:szCs w:val="22"/>
        </w:rPr>
        <w:t xml:space="preserve">Višji državni odvetniki, državni odvetniki in kandidati za državnega odvetnika so imeli v letu 2025 </w:t>
      </w:r>
      <w:r w:rsidRPr="00503014">
        <w:rPr>
          <w:rFonts w:eastAsia="Calibri"/>
          <w:b/>
          <w:bCs/>
          <w:color w:val="007466"/>
          <w:szCs w:val="22"/>
        </w:rPr>
        <w:t>na vseh področjih svojega dela</w:t>
      </w:r>
      <w:r w:rsidRPr="00503014">
        <w:rPr>
          <w:rFonts w:eastAsia="Calibri"/>
          <w:color w:val="007466"/>
          <w:szCs w:val="22"/>
        </w:rPr>
        <w:t xml:space="preserve"> </w:t>
      </w:r>
      <w:r w:rsidRPr="00503014">
        <w:rPr>
          <w:rFonts w:eastAsia="Calibri"/>
          <w:b/>
          <w:bCs/>
          <w:color w:val="007466"/>
          <w:szCs w:val="22"/>
        </w:rPr>
        <w:t>razpisanih</w:t>
      </w:r>
      <w:r w:rsidRPr="00503014">
        <w:rPr>
          <w:rFonts w:eastAsia="Calibri"/>
          <w:color w:val="007466"/>
          <w:szCs w:val="22"/>
        </w:rPr>
        <w:t xml:space="preserve"> </w:t>
      </w:r>
      <w:r w:rsidRPr="00503014">
        <w:rPr>
          <w:rFonts w:eastAsia="Calibri"/>
          <w:b/>
          <w:bCs/>
          <w:color w:val="007466"/>
          <w:szCs w:val="22"/>
        </w:rPr>
        <w:t>3.721 narokov</w:t>
      </w:r>
      <w:r w:rsidRPr="00503014">
        <w:rPr>
          <w:rFonts w:eastAsia="Calibri"/>
          <w:szCs w:val="22"/>
        </w:rPr>
        <w:t>, kar je več kot v letu 2024, ko je bilo razpisanih 2.707 narokov.</w:t>
      </w:r>
      <w:r w:rsidRPr="00503014">
        <w:rPr>
          <w:rFonts w:eastAsia="Calibri"/>
          <w:b/>
          <w:bCs/>
          <w:szCs w:val="22"/>
        </w:rPr>
        <w:t xml:space="preserve"> </w:t>
      </w:r>
      <w:r w:rsidRPr="00503014">
        <w:rPr>
          <w:rFonts w:eastAsia="Calibri"/>
          <w:szCs w:val="22"/>
        </w:rPr>
        <w:t xml:space="preserve">Pri tem so mišljeni naroki v najširšem smislu besede, ki jih Državno odvetništvo RS za potrebe predmetnega poročila obravnava kot </w:t>
      </w:r>
      <w:r w:rsidRPr="00503014">
        <w:rPr>
          <w:rFonts w:eastAsia="Calibri"/>
          <w:b/>
          <w:bCs/>
          <w:color w:val="007466"/>
          <w:szCs w:val="22"/>
        </w:rPr>
        <w:t>število vseh udeležb na slovenskih sodiščih</w:t>
      </w:r>
      <w:r w:rsidRPr="00503014">
        <w:rPr>
          <w:rFonts w:eastAsia="Calibri"/>
          <w:szCs w:val="22"/>
        </w:rPr>
        <w:t>, odvisno od področja dela posameznega nosilca zadeve. Naroki so namreč glede na področje dela različni in tako so se v letu 2025 višji državni odvetniki, državni odvetniki in kandidati za državne odvetnike udeleževali pripravljalnih narokov, narokov za glavno obravnavo, narokov za vrnitev v prejšnje stanje, narokov za obnovo postopka, deložacij, rubežev, dražb, mediacij, ogledov, razdelitvenih narokov, narokov za začetek stečajnega postopka in drugo.</w:t>
      </w:r>
    </w:p>
    <w:p w14:paraId="38B792F4" w14:textId="77777777" w:rsidR="00695AE2" w:rsidRPr="00503014" w:rsidRDefault="00695AE2" w:rsidP="00695AE2">
      <w:pPr>
        <w:spacing w:line="240" w:lineRule="auto"/>
        <w:jc w:val="both"/>
        <w:rPr>
          <w:rFonts w:eastAsia="Calibri"/>
        </w:rPr>
      </w:pPr>
    </w:p>
    <w:p w14:paraId="758D765A" w14:textId="77777777" w:rsidR="00695AE2" w:rsidRPr="00503014" w:rsidRDefault="00695AE2" w:rsidP="00695AE2">
      <w:pPr>
        <w:spacing w:line="240" w:lineRule="auto"/>
        <w:jc w:val="both"/>
        <w:rPr>
          <w:rFonts w:eastAsia="Calibri"/>
        </w:rPr>
      </w:pPr>
      <w:r w:rsidRPr="00503014">
        <w:rPr>
          <w:rFonts w:eastAsia="Calibri"/>
        </w:rPr>
        <w:lastRenderedPageBreak/>
        <w:t>Državno odvetništvo RS sicer ne razpolaga s podatkom, koliko od skupnega števila narokov je bilo poravnalnih narokov, glede na navedeno pa tudi nima podatka, ali so bili ti poravnalni naroki uspešni ali ne.</w:t>
      </w:r>
    </w:p>
    <w:p w14:paraId="4F02411F" w14:textId="77777777" w:rsidR="00695AE2" w:rsidRPr="00503014" w:rsidRDefault="00695AE2" w:rsidP="00695AE2">
      <w:pPr>
        <w:spacing w:line="240" w:lineRule="auto"/>
        <w:jc w:val="both"/>
        <w:rPr>
          <w:rFonts w:eastAsia="Calibri"/>
          <w:sz w:val="36"/>
          <w:szCs w:val="36"/>
        </w:rPr>
      </w:pPr>
    </w:p>
    <w:p w14:paraId="248927CB" w14:textId="77777777" w:rsidR="00695AE2" w:rsidRPr="00503014" w:rsidRDefault="00695AE2" w:rsidP="00695AE2">
      <w:pPr>
        <w:pStyle w:val="Naslov1"/>
        <w:rPr>
          <w:rFonts w:eastAsia="Times New Roman"/>
        </w:rPr>
      </w:pPr>
      <w:bookmarkStart w:id="412" w:name="_Toc168844882"/>
      <w:bookmarkStart w:id="413" w:name="_Toc191561872"/>
      <w:bookmarkStart w:id="414" w:name="_Toc223093870"/>
      <w:r w:rsidRPr="00503014">
        <w:rPr>
          <w:rFonts w:eastAsia="Times New Roman"/>
        </w:rPr>
        <w:t>PROCESNA DEJANJA</w:t>
      </w:r>
      <w:bookmarkEnd w:id="412"/>
      <w:bookmarkEnd w:id="413"/>
      <w:bookmarkEnd w:id="414"/>
    </w:p>
    <w:p w14:paraId="3CC84EF1" w14:textId="77777777" w:rsidR="00695AE2" w:rsidRPr="00503014" w:rsidRDefault="00695AE2" w:rsidP="00695AE2">
      <w:pPr>
        <w:autoSpaceDE w:val="0"/>
        <w:autoSpaceDN w:val="0"/>
        <w:adjustRightInd w:val="0"/>
        <w:spacing w:line="240" w:lineRule="auto"/>
        <w:jc w:val="both"/>
        <w:textAlignment w:val="center"/>
        <w:rPr>
          <w:rFonts w:eastAsia="Calibri"/>
          <w:sz w:val="36"/>
          <w:szCs w:val="36"/>
        </w:rPr>
      </w:pPr>
    </w:p>
    <w:p w14:paraId="6B89563B" w14:textId="77777777" w:rsidR="00695AE2" w:rsidRPr="00503014" w:rsidRDefault="00695AE2" w:rsidP="00695AE2">
      <w:pPr>
        <w:autoSpaceDE w:val="0"/>
        <w:autoSpaceDN w:val="0"/>
        <w:adjustRightInd w:val="0"/>
        <w:spacing w:line="240" w:lineRule="auto"/>
        <w:jc w:val="both"/>
        <w:textAlignment w:val="center"/>
        <w:rPr>
          <w:rFonts w:eastAsia="Calibri"/>
          <w:color w:val="007466"/>
          <w:sz w:val="20"/>
          <w:szCs w:val="20"/>
        </w:rPr>
      </w:pPr>
      <w:r w:rsidRPr="00503014">
        <w:rPr>
          <w:rFonts w:eastAsia="Calibri"/>
          <w:color w:val="007466"/>
          <w:sz w:val="20"/>
          <w:szCs w:val="20"/>
        </w:rPr>
        <w:t>Pojasnilo glede tabele 8 in tabele 9:</w:t>
      </w:r>
    </w:p>
    <w:p w14:paraId="0EBDF7BE" w14:textId="77777777" w:rsidR="00695AE2" w:rsidRPr="00503014" w:rsidRDefault="00695AE2" w:rsidP="00695AE2">
      <w:pPr>
        <w:autoSpaceDE w:val="0"/>
        <w:autoSpaceDN w:val="0"/>
        <w:adjustRightInd w:val="0"/>
        <w:spacing w:line="240" w:lineRule="auto"/>
        <w:jc w:val="both"/>
        <w:textAlignment w:val="center"/>
        <w:rPr>
          <w:rFonts w:eastAsia="Calibri"/>
          <w:sz w:val="20"/>
          <w:szCs w:val="20"/>
        </w:rPr>
      </w:pPr>
    </w:p>
    <w:p w14:paraId="28D5F37D" w14:textId="77777777" w:rsidR="00695AE2" w:rsidRPr="00503014" w:rsidRDefault="00695AE2" w:rsidP="00695AE2">
      <w:pPr>
        <w:autoSpaceDE w:val="0"/>
        <w:autoSpaceDN w:val="0"/>
        <w:adjustRightInd w:val="0"/>
        <w:spacing w:line="240" w:lineRule="auto"/>
        <w:jc w:val="both"/>
        <w:textAlignment w:val="center"/>
        <w:rPr>
          <w:rFonts w:eastAsia="Calibri"/>
          <w:sz w:val="20"/>
          <w:szCs w:val="20"/>
        </w:rPr>
      </w:pPr>
      <w:r w:rsidRPr="00503014">
        <w:rPr>
          <w:rFonts w:eastAsia="Calibri"/>
          <w:sz w:val="20"/>
          <w:szCs w:val="20"/>
        </w:rPr>
        <w:t xml:space="preserve">Državno odvetništvo RS pojasnjuje, da glede na metodologijo spremljanja zadev procesnih dejanj, ki jih predvidevata tabela 8 in tabela 9, v svojem informacijskem sistemu nima evidentiranja na način, ki bi omogočal enotno, pravilno in reprezentativno posredovanje in nadaljnjo analizo podatkov, ki jih predvidevata tabeli 8 in 9. Zato predmetno poročilo ne vsebuje zbirne tabele 8 in tabele 9, ki se nanaša na sedež in zunanje oddelke Državnega odvetništva RS. </w:t>
      </w:r>
    </w:p>
    <w:p w14:paraId="32EAD67B" w14:textId="77777777" w:rsidR="00695AE2" w:rsidRPr="00052E26" w:rsidRDefault="00695AE2" w:rsidP="00695AE2">
      <w:pPr>
        <w:pStyle w:val="Jasna"/>
        <w:rPr>
          <w:sz w:val="36"/>
          <w:szCs w:val="36"/>
        </w:rPr>
      </w:pPr>
    </w:p>
    <w:p w14:paraId="7632FEE0" w14:textId="77777777" w:rsidR="00695AE2" w:rsidRPr="00503014" w:rsidRDefault="00695AE2" w:rsidP="00695AE2">
      <w:pPr>
        <w:pStyle w:val="Naslov1"/>
        <w:rPr>
          <w:rFonts w:eastAsia="Times New Roman"/>
        </w:rPr>
      </w:pPr>
      <w:bookmarkStart w:id="415" w:name="_Toc168844883"/>
      <w:bookmarkStart w:id="416" w:name="_Toc191561873"/>
      <w:bookmarkStart w:id="417" w:name="_Toc223093871"/>
      <w:r w:rsidRPr="00503014">
        <w:rPr>
          <w:rFonts w:eastAsia="Times New Roman"/>
        </w:rPr>
        <w:t>PREDHODNI POSTOPKI</w:t>
      </w:r>
      <w:bookmarkEnd w:id="415"/>
      <w:bookmarkEnd w:id="416"/>
      <w:bookmarkEnd w:id="417"/>
    </w:p>
    <w:p w14:paraId="1D68E18C" w14:textId="77777777" w:rsidR="00695AE2" w:rsidRPr="00503014" w:rsidRDefault="00695AE2" w:rsidP="00695AE2">
      <w:pPr>
        <w:spacing w:line="240" w:lineRule="auto"/>
        <w:jc w:val="both"/>
        <w:rPr>
          <w:rFonts w:eastAsia="Calibri"/>
          <w:sz w:val="36"/>
          <w:szCs w:val="36"/>
        </w:rPr>
      </w:pPr>
    </w:p>
    <w:p w14:paraId="5BA1693C" w14:textId="77777777" w:rsidR="00695AE2" w:rsidRPr="00503014" w:rsidRDefault="00695AE2" w:rsidP="00695AE2">
      <w:pPr>
        <w:autoSpaceDE w:val="0"/>
        <w:autoSpaceDN w:val="0"/>
        <w:adjustRightInd w:val="0"/>
        <w:spacing w:line="240" w:lineRule="auto"/>
        <w:jc w:val="both"/>
        <w:textAlignment w:val="center"/>
        <w:rPr>
          <w:rFonts w:eastAsia="Calibri"/>
          <w:color w:val="000000"/>
          <w:szCs w:val="22"/>
        </w:rPr>
      </w:pPr>
      <w:r w:rsidRPr="00503014">
        <w:rPr>
          <w:rFonts w:eastAsia="Calibri"/>
          <w:color w:val="000000"/>
          <w:szCs w:val="22"/>
        </w:rPr>
        <w:t>Državno odvetništvo RS je v letu 2025 v predhodnem postopku prejelo:</w:t>
      </w:r>
    </w:p>
    <w:p w14:paraId="5A4F1789" w14:textId="77777777" w:rsidR="00695AE2" w:rsidRPr="00503014" w:rsidRDefault="00695AE2" w:rsidP="00695AE2">
      <w:pPr>
        <w:numPr>
          <w:ilvl w:val="0"/>
          <w:numId w:val="135"/>
        </w:numPr>
        <w:autoSpaceDE w:val="0"/>
        <w:autoSpaceDN w:val="0"/>
        <w:adjustRightInd w:val="0"/>
        <w:spacing w:after="160" w:line="240" w:lineRule="auto"/>
        <w:contextualSpacing/>
        <w:jc w:val="both"/>
        <w:textAlignment w:val="center"/>
        <w:rPr>
          <w:rFonts w:eastAsia="Calibri"/>
          <w:color w:val="000000"/>
          <w:szCs w:val="22"/>
        </w:rPr>
      </w:pPr>
      <w:r w:rsidRPr="00503014">
        <w:rPr>
          <w:rFonts w:eastAsia="Calibri"/>
          <w:color w:val="000000"/>
          <w:szCs w:val="22"/>
        </w:rPr>
        <w:t>484 zadev na podlagi 27. člena ZDOdv,</w:t>
      </w:r>
    </w:p>
    <w:p w14:paraId="2746BC76" w14:textId="77777777" w:rsidR="00695AE2" w:rsidRPr="00503014" w:rsidRDefault="00695AE2" w:rsidP="00695AE2">
      <w:pPr>
        <w:numPr>
          <w:ilvl w:val="0"/>
          <w:numId w:val="135"/>
        </w:numPr>
        <w:autoSpaceDE w:val="0"/>
        <w:autoSpaceDN w:val="0"/>
        <w:adjustRightInd w:val="0"/>
        <w:spacing w:after="160" w:line="240" w:lineRule="auto"/>
        <w:contextualSpacing/>
        <w:jc w:val="both"/>
        <w:textAlignment w:val="center"/>
        <w:rPr>
          <w:rFonts w:eastAsia="Calibri"/>
          <w:color w:val="000000"/>
          <w:szCs w:val="22"/>
        </w:rPr>
      </w:pPr>
      <w:r w:rsidRPr="00503014">
        <w:rPr>
          <w:rFonts w:eastAsia="Calibri"/>
          <w:color w:val="000000"/>
          <w:szCs w:val="22"/>
        </w:rPr>
        <w:t>0 zadev v predhodnem postopku na podlagi ZPŠOIRSP,</w:t>
      </w:r>
    </w:p>
    <w:p w14:paraId="5FB8BE9A" w14:textId="77777777" w:rsidR="00695AE2" w:rsidRPr="00503014" w:rsidRDefault="00695AE2" w:rsidP="00695AE2">
      <w:pPr>
        <w:numPr>
          <w:ilvl w:val="0"/>
          <w:numId w:val="135"/>
        </w:numPr>
        <w:autoSpaceDE w:val="0"/>
        <w:autoSpaceDN w:val="0"/>
        <w:adjustRightInd w:val="0"/>
        <w:spacing w:after="160" w:line="240" w:lineRule="auto"/>
        <w:contextualSpacing/>
        <w:jc w:val="both"/>
        <w:textAlignment w:val="center"/>
        <w:rPr>
          <w:rFonts w:eastAsia="Calibri"/>
          <w:color w:val="000000"/>
          <w:szCs w:val="22"/>
        </w:rPr>
      </w:pPr>
      <w:r w:rsidRPr="00503014">
        <w:rPr>
          <w:rFonts w:eastAsia="Calibri"/>
          <w:color w:val="000000"/>
          <w:szCs w:val="22"/>
        </w:rPr>
        <w:t xml:space="preserve">51 zadev v predhodnem postopku na podlagi ZVPSBNO, </w:t>
      </w:r>
    </w:p>
    <w:p w14:paraId="4D74FB94" w14:textId="77777777" w:rsidR="00695AE2" w:rsidRPr="00503014" w:rsidRDefault="00695AE2" w:rsidP="00695AE2">
      <w:pPr>
        <w:numPr>
          <w:ilvl w:val="0"/>
          <w:numId w:val="135"/>
        </w:numPr>
        <w:autoSpaceDE w:val="0"/>
        <w:autoSpaceDN w:val="0"/>
        <w:adjustRightInd w:val="0"/>
        <w:spacing w:after="160" w:line="240" w:lineRule="auto"/>
        <w:contextualSpacing/>
        <w:jc w:val="both"/>
        <w:textAlignment w:val="center"/>
        <w:rPr>
          <w:rFonts w:eastAsia="Calibri"/>
          <w:color w:val="000000"/>
          <w:szCs w:val="22"/>
        </w:rPr>
      </w:pPr>
      <w:r w:rsidRPr="00503014">
        <w:rPr>
          <w:rFonts w:eastAsia="Calibri"/>
          <w:color w:val="000000"/>
          <w:szCs w:val="22"/>
        </w:rPr>
        <w:t>40 zadev v predhodnem postopku na podlagi ZKP,</w:t>
      </w:r>
    </w:p>
    <w:p w14:paraId="1BE42A3E" w14:textId="77777777" w:rsidR="00695AE2" w:rsidRPr="00503014" w:rsidRDefault="00695AE2" w:rsidP="00695AE2">
      <w:pPr>
        <w:numPr>
          <w:ilvl w:val="0"/>
          <w:numId w:val="135"/>
        </w:numPr>
        <w:autoSpaceDE w:val="0"/>
        <w:autoSpaceDN w:val="0"/>
        <w:adjustRightInd w:val="0"/>
        <w:spacing w:after="160" w:line="240" w:lineRule="auto"/>
        <w:contextualSpacing/>
        <w:jc w:val="both"/>
        <w:textAlignment w:val="center"/>
        <w:rPr>
          <w:rFonts w:eastAsia="Calibri"/>
          <w:szCs w:val="22"/>
        </w:rPr>
      </w:pPr>
      <w:r w:rsidRPr="00503014">
        <w:rPr>
          <w:rFonts w:eastAsia="Calibri"/>
          <w:szCs w:val="22"/>
        </w:rPr>
        <w:t>12 zadev v predhodnem postopku na podlagi ZP-1.</w:t>
      </w:r>
    </w:p>
    <w:p w14:paraId="1B355F5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69969B9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7466"/>
          <w:sz w:val="20"/>
          <w:szCs w:val="20"/>
        </w:rPr>
      </w:pPr>
      <w:r w:rsidRPr="00503014">
        <w:rPr>
          <w:rFonts w:eastAsia="Calibri"/>
          <w:color w:val="007466"/>
          <w:sz w:val="20"/>
          <w:szCs w:val="20"/>
        </w:rPr>
        <w:t>Pojasnilo k tabelam 10 in 11:</w:t>
      </w:r>
    </w:p>
    <w:p w14:paraId="51DCB32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rPr>
      </w:pPr>
    </w:p>
    <w:p w14:paraId="1AD2705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sz w:val="20"/>
          <w:szCs w:val="20"/>
          <w:vertAlign w:val="superscript"/>
        </w:rPr>
      </w:pPr>
      <w:r w:rsidRPr="00503014">
        <w:rPr>
          <w:rFonts w:eastAsia="Calibri"/>
          <w:sz w:val="20"/>
          <w:szCs w:val="20"/>
        </w:rPr>
        <w:t>V skladu z določili Pravilnika o obliki letnega poročila državnega odvetništva so v tabeli 10 predstavljeni podatki na ravni celotnega organa, v tabeli 11 pa podatki za sedež v Ljubljani in za vse zunanje oddelke Državnega odvetništva RS posebej. Zaradi večje preglednosti in lažje obravnave so vsi ti statistični podatki predstavljeni in analizirani v analitičnem delu poročila v poglavju »Predhodni postopki«.</w:t>
      </w:r>
    </w:p>
    <w:p w14:paraId="162D36F1" w14:textId="77777777" w:rsidR="00695AE2" w:rsidRPr="00503014" w:rsidRDefault="00695AE2" w:rsidP="00695AE2">
      <w:pPr>
        <w:spacing w:line="240" w:lineRule="auto"/>
        <w:jc w:val="both"/>
        <w:rPr>
          <w:rFonts w:eastAsia="Times New Roman"/>
          <w:b/>
          <w:bCs/>
          <w:color w:val="007466"/>
        </w:rPr>
      </w:pPr>
    </w:p>
    <w:p w14:paraId="5FA173E5"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Tabela 10: Predhodni postopki ZBIRNO</w:t>
      </w:r>
    </w:p>
    <w:p w14:paraId="4FE808CF"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2FB4685B" w14:textId="77777777" w:rsidTr="00980493">
        <w:tc>
          <w:tcPr>
            <w:tcW w:w="3020" w:type="dxa"/>
          </w:tcPr>
          <w:p w14:paraId="13A6C744"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predhodni postopek</w:t>
            </w:r>
          </w:p>
          <w:p w14:paraId="00373BEC"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(vrsta postopka)</w:t>
            </w:r>
          </w:p>
        </w:tc>
        <w:tc>
          <w:tcPr>
            <w:tcW w:w="3021" w:type="dxa"/>
          </w:tcPr>
          <w:p w14:paraId="62027365"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prejetih zadev</w:t>
            </w:r>
          </w:p>
        </w:tc>
        <w:tc>
          <w:tcPr>
            <w:tcW w:w="3021" w:type="dxa"/>
          </w:tcPr>
          <w:p w14:paraId="1311DF69"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sklenjenih poravnav</w:t>
            </w:r>
          </w:p>
        </w:tc>
      </w:tr>
      <w:tr w:rsidR="00695AE2" w:rsidRPr="00503014" w14:paraId="2C1099F5" w14:textId="77777777" w:rsidTr="00980493">
        <w:tc>
          <w:tcPr>
            <w:tcW w:w="3020" w:type="dxa"/>
          </w:tcPr>
          <w:p w14:paraId="37144127"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 (pravdne zadeve)</w:t>
            </w:r>
          </w:p>
        </w:tc>
        <w:tc>
          <w:tcPr>
            <w:tcW w:w="3021" w:type="dxa"/>
          </w:tcPr>
          <w:p w14:paraId="1F1443B2"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458</w:t>
            </w:r>
          </w:p>
        </w:tc>
        <w:tc>
          <w:tcPr>
            <w:tcW w:w="3021" w:type="dxa"/>
          </w:tcPr>
          <w:p w14:paraId="6775C4ED"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74</w:t>
            </w:r>
          </w:p>
        </w:tc>
      </w:tr>
      <w:tr w:rsidR="00695AE2" w:rsidRPr="00503014" w14:paraId="3FCD081E" w14:textId="77777777" w:rsidTr="00980493">
        <w:tc>
          <w:tcPr>
            <w:tcW w:w="3020" w:type="dxa"/>
          </w:tcPr>
          <w:p w14:paraId="13EF0806"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PIZ (zadeve po ZPŠOIRSP)</w:t>
            </w:r>
          </w:p>
        </w:tc>
        <w:tc>
          <w:tcPr>
            <w:tcW w:w="3021" w:type="dxa"/>
          </w:tcPr>
          <w:p w14:paraId="5413949D"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0</w:t>
            </w:r>
          </w:p>
        </w:tc>
        <w:tc>
          <w:tcPr>
            <w:tcW w:w="3021" w:type="dxa"/>
          </w:tcPr>
          <w:p w14:paraId="0E391AFD"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0</w:t>
            </w:r>
          </w:p>
        </w:tc>
      </w:tr>
      <w:tr w:rsidR="00695AE2" w:rsidRPr="00503014" w14:paraId="1ADD18CF" w14:textId="77777777" w:rsidTr="00980493">
        <w:tc>
          <w:tcPr>
            <w:tcW w:w="3020" w:type="dxa"/>
          </w:tcPr>
          <w:p w14:paraId="37BD472F"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I (izvršilne zadeve)</w:t>
            </w:r>
          </w:p>
        </w:tc>
        <w:tc>
          <w:tcPr>
            <w:tcW w:w="3021" w:type="dxa"/>
          </w:tcPr>
          <w:p w14:paraId="73609935"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5</w:t>
            </w:r>
          </w:p>
        </w:tc>
        <w:tc>
          <w:tcPr>
            <w:tcW w:w="3021" w:type="dxa"/>
          </w:tcPr>
          <w:p w14:paraId="5BE27CDD"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0</w:t>
            </w:r>
          </w:p>
        </w:tc>
      </w:tr>
      <w:tr w:rsidR="00695AE2" w:rsidRPr="00503014" w14:paraId="34D5BEAB" w14:textId="77777777" w:rsidTr="00980493">
        <w:tc>
          <w:tcPr>
            <w:tcW w:w="3020" w:type="dxa"/>
          </w:tcPr>
          <w:p w14:paraId="2F0D6D9B"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N (nepravdne zadeve)</w:t>
            </w:r>
          </w:p>
        </w:tc>
        <w:tc>
          <w:tcPr>
            <w:tcW w:w="3021" w:type="dxa"/>
          </w:tcPr>
          <w:p w14:paraId="313293D3"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21</w:t>
            </w:r>
          </w:p>
        </w:tc>
        <w:tc>
          <w:tcPr>
            <w:tcW w:w="3021" w:type="dxa"/>
          </w:tcPr>
          <w:p w14:paraId="7C5DC82F"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1</w:t>
            </w:r>
          </w:p>
        </w:tc>
      </w:tr>
      <w:tr w:rsidR="00695AE2" w:rsidRPr="00503014" w14:paraId="65196CF3" w14:textId="77777777" w:rsidTr="00980493">
        <w:tc>
          <w:tcPr>
            <w:tcW w:w="3020" w:type="dxa"/>
          </w:tcPr>
          <w:p w14:paraId="070068E3"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PRR (zadeve po ZVPSBNO)</w:t>
            </w:r>
          </w:p>
        </w:tc>
        <w:tc>
          <w:tcPr>
            <w:tcW w:w="3021" w:type="dxa"/>
          </w:tcPr>
          <w:p w14:paraId="35C479DF"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51</w:t>
            </w:r>
          </w:p>
        </w:tc>
        <w:tc>
          <w:tcPr>
            <w:tcW w:w="3021" w:type="dxa"/>
          </w:tcPr>
          <w:p w14:paraId="4D843CB3"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11</w:t>
            </w:r>
          </w:p>
        </w:tc>
      </w:tr>
      <w:tr w:rsidR="00695AE2" w:rsidRPr="00503014" w14:paraId="269B8A46" w14:textId="77777777" w:rsidTr="00980493">
        <w:tc>
          <w:tcPr>
            <w:tcW w:w="3020" w:type="dxa"/>
          </w:tcPr>
          <w:p w14:paraId="1B75A2E3"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PK (zadeve po ZKP)</w:t>
            </w:r>
          </w:p>
        </w:tc>
        <w:tc>
          <w:tcPr>
            <w:tcW w:w="3021" w:type="dxa"/>
          </w:tcPr>
          <w:p w14:paraId="0AF69491"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40</w:t>
            </w:r>
          </w:p>
        </w:tc>
        <w:tc>
          <w:tcPr>
            <w:tcW w:w="3021" w:type="dxa"/>
          </w:tcPr>
          <w:p w14:paraId="30AE37B3"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30</w:t>
            </w:r>
          </w:p>
        </w:tc>
      </w:tr>
      <w:tr w:rsidR="00695AE2" w:rsidRPr="00503014" w14:paraId="46865E43" w14:textId="77777777" w:rsidTr="00980493">
        <w:tc>
          <w:tcPr>
            <w:tcW w:w="3020" w:type="dxa"/>
          </w:tcPr>
          <w:p w14:paraId="38145468"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PP (zadeve po ZP-1)</w:t>
            </w:r>
          </w:p>
        </w:tc>
        <w:tc>
          <w:tcPr>
            <w:tcW w:w="3021" w:type="dxa"/>
          </w:tcPr>
          <w:p w14:paraId="7EF6DD5D"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12</w:t>
            </w:r>
          </w:p>
        </w:tc>
        <w:tc>
          <w:tcPr>
            <w:tcW w:w="3021" w:type="dxa"/>
          </w:tcPr>
          <w:p w14:paraId="5F9732D7"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2</w:t>
            </w:r>
          </w:p>
        </w:tc>
      </w:tr>
    </w:tbl>
    <w:p w14:paraId="2BDB095B" w14:textId="77777777" w:rsidR="00695AE2" w:rsidRPr="00503014" w:rsidRDefault="00695AE2" w:rsidP="00695AE2">
      <w:pPr>
        <w:spacing w:line="240" w:lineRule="auto"/>
        <w:jc w:val="both"/>
        <w:rPr>
          <w:rFonts w:eastAsia="Times New Roman"/>
          <w:b/>
          <w:bCs/>
          <w:color w:val="007466"/>
          <w:sz w:val="20"/>
          <w:szCs w:val="20"/>
        </w:rPr>
      </w:pPr>
    </w:p>
    <w:p w14:paraId="0D02B9CF"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Tabela 11: Predhodni postopki na sedežu in posameznem zunanjem oddelku</w:t>
      </w:r>
    </w:p>
    <w:p w14:paraId="3C9EF432" w14:textId="77777777" w:rsidR="00695AE2" w:rsidRPr="00503014" w:rsidRDefault="00695AE2" w:rsidP="00695AE2">
      <w:pPr>
        <w:spacing w:line="240" w:lineRule="auto"/>
        <w:jc w:val="both"/>
        <w:rPr>
          <w:rFonts w:eastAsia="Times New Roman"/>
          <w:b/>
          <w:bCs/>
          <w:color w:val="007466"/>
          <w:sz w:val="20"/>
          <w:szCs w:val="20"/>
        </w:rPr>
      </w:pPr>
    </w:p>
    <w:p w14:paraId="390AEC45"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Sedež Državnega odvetništva RS v Ljubljani</w:t>
      </w:r>
    </w:p>
    <w:p w14:paraId="7316DF31"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6F72241C" w14:textId="77777777" w:rsidTr="00980493">
        <w:tc>
          <w:tcPr>
            <w:tcW w:w="3020" w:type="dxa"/>
          </w:tcPr>
          <w:p w14:paraId="4F7D499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147E251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4662A6E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51A9857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1828ADC6" w14:textId="77777777" w:rsidTr="00980493">
        <w:tc>
          <w:tcPr>
            <w:tcW w:w="3020" w:type="dxa"/>
          </w:tcPr>
          <w:p w14:paraId="08E0260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1A1EDA7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325</w:t>
            </w:r>
          </w:p>
        </w:tc>
        <w:tc>
          <w:tcPr>
            <w:tcW w:w="3021" w:type="dxa"/>
          </w:tcPr>
          <w:p w14:paraId="2CB0DD5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53</w:t>
            </w:r>
          </w:p>
        </w:tc>
      </w:tr>
      <w:tr w:rsidR="00695AE2" w:rsidRPr="00503014" w14:paraId="2AB16487" w14:textId="77777777" w:rsidTr="00980493">
        <w:tc>
          <w:tcPr>
            <w:tcW w:w="3020" w:type="dxa"/>
          </w:tcPr>
          <w:p w14:paraId="6B9F43D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57FB8BA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6829E7E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12C8227" w14:textId="77777777" w:rsidTr="00980493">
        <w:tc>
          <w:tcPr>
            <w:tcW w:w="3020" w:type="dxa"/>
          </w:tcPr>
          <w:p w14:paraId="726A54F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lastRenderedPageBreak/>
              <w:t>I (izvršilne zadeve)</w:t>
            </w:r>
          </w:p>
        </w:tc>
        <w:tc>
          <w:tcPr>
            <w:tcW w:w="3021" w:type="dxa"/>
          </w:tcPr>
          <w:p w14:paraId="7449DA2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4</w:t>
            </w:r>
          </w:p>
        </w:tc>
        <w:tc>
          <w:tcPr>
            <w:tcW w:w="3021" w:type="dxa"/>
          </w:tcPr>
          <w:p w14:paraId="5043B96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3E5FAFC5" w14:textId="77777777" w:rsidTr="00980493">
        <w:tc>
          <w:tcPr>
            <w:tcW w:w="3020" w:type="dxa"/>
          </w:tcPr>
          <w:p w14:paraId="3389F4E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4E85EB0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2</w:t>
            </w:r>
          </w:p>
        </w:tc>
        <w:tc>
          <w:tcPr>
            <w:tcW w:w="3021" w:type="dxa"/>
          </w:tcPr>
          <w:p w14:paraId="02958D7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19CF85EE" w14:textId="77777777" w:rsidTr="00980493">
        <w:tc>
          <w:tcPr>
            <w:tcW w:w="3020" w:type="dxa"/>
          </w:tcPr>
          <w:p w14:paraId="77E6E73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70421BB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21</w:t>
            </w:r>
          </w:p>
        </w:tc>
        <w:tc>
          <w:tcPr>
            <w:tcW w:w="3021" w:type="dxa"/>
          </w:tcPr>
          <w:p w14:paraId="332E7F1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w:t>
            </w:r>
          </w:p>
        </w:tc>
      </w:tr>
      <w:tr w:rsidR="00695AE2" w:rsidRPr="00503014" w14:paraId="4113C92F" w14:textId="77777777" w:rsidTr="00980493">
        <w:tc>
          <w:tcPr>
            <w:tcW w:w="3020" w:type="dxa"/>
          </w:tcPr>
          <w:p w14:paraId="4951C1B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60827E6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40</w:t>
            </w:r>
          </w:p>
        </w:tc>
        <w:tc>
          <w:tcPr>
            <w:tcW w:w="3021" w:type="dxa"/>
          </w:tcPr>
          <w:p w14:paraId="0937E9D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30</w:t>
            </w:r>
          </w:p>
        </w:tc>
      </w:tr>
      <w:tr w:rsidR="00695AE2" w:rsidRPr="00503014" w14:paraId="12FE22CC" w14:textId="77777777" w:rsidTr="00980493">
        <w:tc>
          <w:tcPr>
            <w:tcW w:w="3020" w:type="dxa"/>
          </w:tcPr>
          <w:p w14:paraId="2F19DA4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0DD6C2B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12</w:t>
            </w:r>
          </w:p>
        </w:tc>
        <w:tc>
          <w:tcPr>
            <w:tcW w:w="3021" w:type="dxa"/>
          </w:tcPr>
          <w:p w14:paraId="02F8847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2</w:t>
            </w:r>
          </w:p>
        </w:tc>
      </w:tr>
    </w:tbl>
    <w:p w14:paraId="3A89989F" w14:textId="77777777" w:rsidR="00695AE2" w:rsidRPr="00503014" w:rsidRDefault="00695AE2" w:rsidP="00695AE2">
      <w:pPr>
        <w:spacing w:line="240" w:lineRule="auto"/>
        <w:jc w:val="both"/>
        <w:rPr>
          <w:rFonts w:eastAsia="Times New Roman"/>
          <w:sz w:val="20"/>
          <w:szCs w:val="20"/>
        </w:rPr>
      </w:pPr>
    </w:p>
    <w:p w14:paraId="4BB0D232"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v Celju</w:t>
      </w:r>
    </w:p>
    <w:p w14:paraId="597C981C"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45AA2C48" w14:textId="77777777" w:rsidTr="00980493">
        <w:tc>
          <w:tcPr>
            <w:tcW w:w="3020" w:type="dxa"/>
          </w:tcPr>
          <w:p w14:paraId="1BE4631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23BAE31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53A6D2D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41F3EBC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129F986A" w14:textId="77777777" w:rsidTr="00980493">
        <w:tc>
          <w:tcPr>
            <w:tcW w:w="3020" w:type="dxa"/>
          </w:tcPr>
          <w:p w14:paraId="2C7195F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1C929CA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15</w:t>
            </w:r>
          </w:p>
        </w:tc>
        <w:tc>
          <w:tcPr>
            <w:tcW w:w="3021" w:type="dxa"/>
          </w:tcPr>
          <w:p w14:paraId="3F9001B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1BED7AA1" w14:textId="77777777" w:rsidTr="00980493">
        <w:tc>
          <w:tcPr>
            <w:tcW w:w="3020" w:type="dxa"/>
          </w:tcPr>
          <w:p w14:paraId="0FA6CB7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0CD7529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3B89437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7E1AEB27" w14:textId="77777777" w:rsidTr="00980493">
        <w:tc>
          <w:tcPr>
            <w:tcW w:w="3020" w:type="dxa"/>
          </w:tcPr>
          <w:p w14:paraId="008642E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39C0D47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35A4609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578CB5F" w14:textId="77777777" w:rsidTr="00980493">
        <w:tc>
          <w:tcPr>
            <w:tcW w:w="3020" w:type="dxa"/>
          </w:tcPr>
          <w:p w14:paraId="69BC36F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7496A9F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5303D7C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0E13D7A2" w14:textId="77777777" w:rsidTr="00980493">
        <w:tc>
          <w:tcPr>
            <w:tcW w:w="3020" w:type="dxa"/>
          </w:tcPr>
          <w:p w14:paraId="161EE79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3AA62FF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9</w:t>
            </w:r>
          </w:p>
        </w:tc>
        <w:tc>
          <w:tcPr>
            <w:tcW w:w="3021" w:type="dxa"/>
          </w:tcPr>
          <w:p w14:paraId="148A05F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4</w:t>
            </w:r>
          </w:p>
        </w:tc>
      </w:tr>
      <w:tr w:rsidR="00695AE2" w:rsidRPr="00503014" w14:paraId="052F981B" w14:textId="77777777" w:rsidTr="00980493">
        <w:tc>
          <w:tcPr>
            <w:tcW w:w="3020" w:type="dxa"/>
          </w:tcPr>
          <w:p w14:paraId="2A4421D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12D3139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46A3639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6954A774" w14:textId="77777777" w:rsidTr="00980493">
        <w:tc>
          <w:tcPr>
            <w:tcW w:w="3020" w:type="dxa"/>
          </w:tcPr>
          <w:p w14:paraId="0DEB02E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0BDB092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6CFAB73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6FA8F690" w14:textId="77777777" w:rsidR="00695AE2" w:rsidRPr="00503014" w:rsidRDefault="00695AE2" w:rsidP="00695AE2">
      <w:pPr>
        <w:spacing w:line="240" w:lineRule="auto"/>
        <w:jc w:val="both"/>
        <w:rPr>
          <w:rFonts w:eastAsia="Times New Roman"/>
          <w:sz w:val="20"/>
          <w:szCs w:val="20"/>
        </w:rPr>
      </w:pPr>
    </w:p>
    <w:p w14:paraId="4007E1F5"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v Kopru</w:t>
      </w:r>
    </w:p>
    <w:p w14:paraId="0974405C"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601B9AD0" w14:textId="77777777" w:rsidTr="00980493">
        <w:tc>
          <w:tcPr>
            <w:tcW w:w="3020" w:type="dxa"/>
          </w:tcPr>
          <w:p w14:paraId="4BD5C06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6243AF2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59A31C5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6182559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75DCD191" w14:textId="77777777" w:rsidTr="00980493">
        <w:tc>
          <w:tcPr>
            <w:tcW w:w="3020" w:type="dxa"/>
          </w:tcPr>
          <w:p w14:paraId="1E0F068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417AA1F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31</w:t>
            </w:r>
          </w:p>
        </w:tc>
        <w:tc>
          <w:tcPr>
            <w:tcW w:w="3021" w:type="dxa"/>
          </w:tcPr>
          <w:p w14:paraId="18A465A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10</w:t>
            </w:r>
          </w:p>
        </w:tc>
      </w:tr>
      <w:tr w:rsidR="00695AE2" w:rsidRPr="00503014" w14:paraId="4AA81E36" w14:textId="77777777" w:rsidTr="00980493">
        <w:tc>
          <w:tcPr>
            <w:tcW w:w="3020" w:type="dxa"/>
          </w:tcPr>
          <w:p w14:paraId="3360AB5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1E996E8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7F32605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95E84AE" w14:textId="77777777" w:rsidTr="00980493">
        <w:tc>
          <w:tcPr>
            <w:tcW w:w="3020" w:type="dxa"/>
          </w:tcPr>
          <w:p w14:paraId="2E9BE7A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2E12593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10F6712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10EFDC66" w14:textId="77777777" w:rsidTr="00980493">
        <w:tc>
          <w:tcPr>
            <w:tcW w:w="3020" w:type="dxa"/>
          </w:tcPr>
          <w:p w14:paraId="1A14FFE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32AACC1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15</w:t>
            </w:r>
          </w:p>
        </w:tc>
        <w:tc>
          <w:tcPr>
            <w:tcW w:w="3021" w:type="dxa"/>
          </w:tcPr>
          <w:p w14:paraId="5D65440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57D3F2CA" w14:textId="77777777" w:rsidTr="00980493">
        <w:tc>
          <w:tcPr>
            <w:tcW w:w="3020" w:type="dxa"/>
          </w:tcPr>
          <w:p w14:paraId="5CE6E15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205F877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5</w:t>
            </w:r>
          </w:p>
        </w:tc>
        <w:tc>
          <w:tcPr>
            <w:tcW w:w="3021" w:type="dxa"/>
          </w:tcPr>
          <w:p w14:paraId="0BDDD22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20C81FB0" w14:textId="77777777" w:rsidTr="00980493">
        <w:tc>
          <w:tcPr>
            <w:tcW w:w="3020" w:type="dxa"/>
          </w:tcPr>
          <w:p w14:paraId="79161A4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5FFC03E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622E2ED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3DDA0E5D" w14:textId="77777777" w:rsidTr="00980493">
        <w:tc>
          <w:tcPr>
            <w:tcW w:w="3020" w:type="dxa"/>
          </w:tcPr>
          <w:p w14:paraId="3874692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64F291D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48D210C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7165D37C" w14:textId="77777777" w:rsidR="00695AE2" w:rsidRPr="00503014" w:rsidRDefault="00695AE2" w:rsidP="00695AE2">
      <w:pPr>
        <w:spacing w:line="240" w:lineRule="auto"/>
        <w:jc w:val="both"/>
        <w:rPr>
          <w:rFonts w:eastAsia="Times New Roman"/>
          <w:b/>
          <w:bCs/>
          <w:color w:val="007466"/>
          <w:sz w:val="20"/>
          <w:szCs w:val="20"/>
        </w:rPr>
      </w:pPr>
    </w:p>
    <w:p w14:paraId="6A6F23BF"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v Kranju</w:t>
      </w:r>
    </w:p>
    <w:p w14:paraId="44BB3F36"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07627811" w14:textId="77777777" w:rsidTr="00980493">
        <w:tc>
          <w:tcPr>
            <w:tcW w:w="3020" w:type="dxa"/>
          </w:tcPr>
          <w:p w14:paraId="5E74D8E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43B0F68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76EF254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4F7645D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147DE773" w14:textId="77777777" w:rsidTr="00980493">
        <w:tc>
          <w:tcPr>
            <w:tcW w:w="3020" w:type="dxa"/>
          </w:tcPr>
          <w:p w14:paraId="67A4DCA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3AB28AA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11</w:t>
            </w:r>
          </w:p>
        </w:tc>
        <w:tc>
          <w:tcPr>
            <w:tcW w:w="3021" w:type="dxa"/>
          </w:tcPr>
          <w:p w14:paraId="6E7EE0A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73E8F927" w14:textId="77777777" w:rsidTr="00980493">
        <w:tc>
          <w:tcPr>
            <w:tcW w:w="3020" w:type="dxa"/>
          </w:tcPr>
          <w:p w14:paraId="3D24ECD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4C9EA13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7C9B7BC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6C46128E" w14:textId="77777777" w:rsidTr="00980493">
        <w:tc>
          <w:tcPr>
            <w:tcW w:w="3020" w:type="dxa"/>
          </w:tcPr>
          <w:p w14:paraId="4BAB484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0500900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01A32EC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33A45BBF" w14:textId="77777777" w:rsidTr="00980493">
        <w:tc>
          <w:tcPr>
            <w:tcW w:w="3020" w:type="dxa"/>
          </w:tcPr>
          <w:p w14:paraId="5742CD5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38CD773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3D63AB0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1E07764D" w14:textId="77777777" w:rsidTr="00980493">
        <w:tc>
          <w:tcPr>
            <w:tcW w:w="3020" w:type="dxa"/>
          </w:tcPr>
          <w:p w14:paraId="4360771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66C4A85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217B9B7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6CDF90C5" w14:textId="77777777" w:rsidTr="00980493">
        <w:tc>
          <w:tcPr>
            <w:tcW w:w="3020" w:type="dxa"/>
          </w:tcPr>
          <w:p w14:paraId="1F52348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2FB6D12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1381928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7CB507DB" w14:textId="77777777" w:rsidTr="00980493">
        <w:tc>
          <w:tcPr>
            <w:tcW w:w="3020" w:type="dxa"/>
          </w:tcPr>
          <w:p w14:paraId="57C1D13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4183604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681159F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47FB666D" w14:textId="77777777" w:rsidR="00695AE2" w:rsidRPr="00503014" w:rsidRDefault="00695AE2" w:rsidP="00695AE2">
      <w:pPr>
        <w:spacing w:line="240" w:lineRule="auto"/>
        <w:jc w:val="both"/>
        <w:rPr>
          <w:rFonts w:eastAsia="Times New Roman"/>
          <w:sz w:val="20"/>
          <w:szCs w:val="20"/>
        </w:rPr>
      </w:pPr>
    </w:p>
    <w:p w14:paraId="129545D5"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v Mariboru</w:t>
      </w:r>
    </w:p>
    <w:p w14:paraId="03A4B4E1"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4295197C" w14:textId="77777777" w:rsidTr="00980493">
        <w:tc>
          <w:tcPr>
            <w:tcW w:w="3020" w:type="dxa"/>
          </w:tcPr>
          <w:p w14:paraId="60BBCD9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1FCA058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2441C07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09815B3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56249E55" w14:textId="77777777" w:rsidTr="00980493">
        <w:tc>
          <w:tcPr>
            <w:tcW w:w="3020" w:type="dxa"/>
          </w:tcPr>
          <w:p w14:paraId="6CFF6EF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1E51713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33</w:t>
            </w:r>
          </w:p>
        </w:tc>
        <w:tc>
          <w:tcPr>
            <w:tcW w:w="3021" w:type="dxa"/>
          </w:tcPr>
          <w:p w14:paraId="357149A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2</w:t>
            </w:r>
          </w:p>
        </w:tc>
      </w:tr>
      <w:tr w:rsidR="00695AE2" w:rsidRPr="00503014" w14:paraId="6B69D963" w14:textId="77777777" w:rsidTr="00980493">
        <w:tc>
          <w:tcPr>
            <w:tcW w:w="3020" w:type="dxa"/>
          </w:tcPr>
          <w:p w14:paraId="55DB01F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4DE7277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37E1C5B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41736302" w14:textId="77777777" w:rsidTr="00980493">
        <w:tc>
          <w:tcPr>
            <w:tcW w:w="3020" w:type="dxa"/>
          </w:tcPr>
          <w:p w14:paraId="56C58CB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73B556D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0ED2A0E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60B2154F" w14:textId="77777777" w:rsidTr="00980493">
        <w:tc>
          <w:tcPr>
            <w:tcW w:w="3020" w:type="dxa"/>
          </w:tcPr>
          <w:p w14:paraId="02AA1A3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52BBBB2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070833A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3A53A0B" w14:textId="77777777" w:rsidTr="00980493">
        <w:tc>
          <w:tcPr>
            <w:tcW w:w="3020" w:type="dxa"/>
          </w:tcPr>
          <w:p w14:paraId="2AE865C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309509E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8</w:t>
            </w:r>
          </w:p>
        </w:tc>
        <w:tc>
          <w:tcPr>
            <w:tcW w:w="3021" w:type="dxa"/>
          </w:tcPr>
          <w:p w14:paraId="60A922B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19B0D4F7" w14:textId="77777777" w:rsidTr="00980493">
        <w:tc>
          <w:tcPr>
            <w:tcW w:w="3020" w:type="dxa"/>
          </w:tcPr>
          <w:p w14:paraId="04B08BF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03F75A8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4357C86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0BA67DF6" w14:textId="77777777" w:rsidTr="00980493">
        <w:tc>
          <w:tcPr>
            <w:tcW w:w="3020" w:type="dxa"/>
          </w:tcPr>
          <w:p w14:paraId="2FE6D9A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4637BD6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636A9A1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0D3B07C8" w14:textId="77777777" w:rsidR="00695AE2" w:rsidRPr="00503014" w:rsidRDefault="00695AE2" w:rsidP="00695AE2">
      <w:pPr>
        <w:spacing w:line="240" w:lineRule="auto"/>
        <w:jc w:val="both"/>
        <w:rPr>
          <w:rFonts w:eastAsia="Times New Roman"/>
          <w:b/>
          <w:bCs/>
          <w:color w:val="007466"/>
          <w:sz w:val="20"/>
          <w:szCs w:val="20"/>
        </w:rPr>
      </w:pPr>
    </w:p>
    <w:p w14:paraId="2CA64D16"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v Murski Soboti</w:t>
      </w:r>
    </w:p>
    <w:p w14:paraId="02E81F23"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6EB4F441" w14:textId="77777777" w:rsidTr="00980493">
        <w:tc>
          <w:tcPr>
            <w:tcW w:w="3020" w:type="dxa"/>
          </w:tcPr>
          <w:p w14:paraId="1DFF228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5FDCAAA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2F8C959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3F53035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74FC7BFF" w14:textId="77777777" w:rsidTr="00980493">
        <w:tc>
          <w:tcPr>
            <w:tcW w:w="3020" w:type="dxa"/>
          </w:tcPr>
          <w:p w14:paraId="2F0B49E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5F1F69D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4</w:t>
            </w:r>
          </w:p>
        </w:tc>
        <w:tc>
          <w:tcPr>
            <w:tcW w:w="3021" w:type="dxa"/>
          </w:tcPr>
          <w:p w14:paraId="532CB3D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12063815" w14:textId="77777777" w:rsidTr="00980493">
        <w:tc>
          <w:tcPr>
            <w:tcW w:w="3020" w:type="dxa"/>
          </w:tcPr>
          <w:p w14:paraId="152DE29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1C5BA05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0222F46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3DF051C8" w14:textId="77777777" w:rsidTr="00980493">
        <w:tc>
          <w:tcPr>
            <w:tcW w:w="3020" w:type="dxa"/>
          </w:tcPr>
          <w:p w14:paraId="13A2475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53987B1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1BB65BE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12F79734" w14:textId="77777777" w:rsidTr="00980493">
        <w:tc>
          <w:tcPr>
            <w:tcW w:w="3020" w:type="dxa"/>
          </w:tcPr>
          <w:p w14:paraId="477E4D9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5373247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034BEE0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21578DCE" w14:textId="77777777" w:rsidTr="00980493">
        <w:tc>
          <w:tcPr>
            <w:tcW w:w="3020" w:type="dxa"/>
          </w:tcPr>
          <w:p w14:paraId="3F7067C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56493AF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w:t>
            </w:r>
          </w:p>
        </w:tc>
        <w:tc>
          <w:tcPr>
            <w:tcW w:w="3021" w:type="dxa"/>
          </w:tcPr>
          <w:p w14:paraId="526900F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C5FA4C5" w14:textId="77777777" w:rsidTr="00980493">
        <w:tc>
          <w:tcPr>
            <w:tcW w:w="3020" w:type="dxa"/>
          </w:tcPr>
          <w:p w14:paraId="36E7CB8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75782D5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1E707C5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3BE091BD" w14:textId="77777777" w:rsidTr="00980493">
        <w:tc>
          <w:tcPr>
            <w:tcW w:w="3020" w:type="dxa"/>
          </w:tcPr>
          <w:p w14:paraId="5C41011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44D4B6C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2F75238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1207802B"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lastRenderedPageBreak/>
        <w:t>Zunanji oddelek Državnega odvetništva RS v Novi Gorici</w:t>
      </w:r>
    </w:p>
    <w:p w14:paraId="44CCA9AB"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04F7EE3A" w14:textId="77777777" w:rsidTr="00980493">
        <w:tc>
          <w:tcPr>
            <w:tcW w:w="3020" w:type="dxa"/>
          </w:tcPr>
          <w:p w14:paraId="7A95D9D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61D3DDD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17F2199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3DCD385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456E0331" w14:textId="77777777" w:rsidTr="00980493">
        <w:tc>
          <w:tcPr>
            <w:tcW w:w="3020" w:type="dxa"/>
          </w:tcPr>
          <w:p w14:paraId="367AE18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232A528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14</w:t>
            </w:r>
          </w:p>
        </w:tc>
        <w:tc>
          <w:tcPr>
            <w:tcW w:w="3021" w:type="dxa"/>
          </w:tcPr>
          <w:p w14:paraId="29ABF8A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4</w:t>
            </w:r>
          </w:p>
        </w:tc>
      </w:tr>
      <w:tr w:rsidR="00695AE2" w:rsidRPr="00503014" w14:paraId="322720BD" w14:textId="77777777" w:rsidTr="00980493">
        <w:tc>
          <w:tcPr>
            <w:tcW w:w="3020" w:type="dxa"/>
          </w:tcPr>
          <w:p w14:paraId="287D4C5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69E566E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20A9EE4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49A1D817" w14:textId="77777777" w:rsidTr="00980493">
        <w:tc>
          <w:tcPr>
            <w:tcW w:w="3020" w:type="dxa"/>
          </w:tcPr>
          <w:p w14:paraId="221FD1A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39BB734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674127D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71E10F99" w14:textId="77777777" w:rsidTr="00980493">
        <w:tc>
          <w:tcPr>
            <w:tcW w:w="3020" w:type="dxa"/>
          </w:tcPr>
          <w:p w14:paraId="60EBCFA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518A500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422DCB6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06310CBF" w14:textId="77777777" w:rsidTr="00980493">
        <w:tc>
          <w:tcPr>
            <w:tcW w:w="3020" w:type="dxa"/>
          </w:tcPr>
          <w:p w14:paraId="622050F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0CCF4BF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07A2A8C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1C0A9E1F" w14:textId="77777777" w:rsidTr="00980493">
        <w:tc>
          <w:tcPr>
            <w:tcW w:w="3020" w:type="dxa"/>
          </w:tcPr>
          <w:p w14:paraId="22C2AEF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21BE05D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11F26B4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666E6575" w14:textId="77777777" w:rsidTr="00980493">
        <w:tc>
          <w:tcPr>
            <w:tcW w:w="3020" w:type="dxa"/>
          </w:tcPr>
          <w:p w14:paraId="5E60D37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439E668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2ECF6BF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34371B36" w14:textId="77777777" w:rsidR="00695AE2" w:rsidRPr="00503014" w:rsidRDefault="00695AE2" w:rsidP="00695AE2">
      <w:pPr>
        <w:spacing w:line="240" w:lineRule="auto"/>
        <w:jc w:val="both"/>
        <w:rPr>
          <w:rFonts w:eastAsia="Times New Roman"/>
          <w:b/>
          <w:bCs/>
          <w:color w:val="007466"/>
          <w:sz w:val="20"/>
          <w:szCs w:val="20"/>
        </w:rPr>
      </w:pPr>
    </w:p>
    <w:p w14:paraId="411BBB10"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v Novem mestu</w:t>
      </w:r>
    </w:p>
    <w:p w14:paraId="5FE4237C"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2EDDB86C" w14:textId="77777777" w:rsidTr="00980493">
        <w:tc>
          <w:tcPr>
            <w:tcW w:w="3020" w:type="dxa"/>
          </w:tcPr>
          <w:p w14:paraId="4E32419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790BD74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564EEEA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2D263C2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1321844B" w14:textId="77777777" w:rsidTr="00980493">
        <w:tc>
          <w:tcPr>
            <w:tcW w:w="3020" w:type="dxa"/>
          </w:tcPr>
          <w:p w14:paraId="0AF8D96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07BA34C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20</w:t>
            </w:r>
          </w:p>
        </w:tc>
        <w:tc>
          <w:tcPr>
            <w:tcW w:w="3021" w:type="dxa"/>
          </w:tcPr>
          <w:p w14:paraId="0D871AF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2</w:t>
            </w:r>
          </w:p>
        </w:tc>
      </w:tr>
      <w:tr w:rsidR="00695AE2" w:rsidRPr="00503014" w14:paraId="3A109ACF" w14:textId="77777777" w:rsidTr="00980493">
        <w:tc>
          <w:tcPr>
            <w:tcW w:w="3020" w:type="dxa"/>
          </w:tcPr>
          <w:p w14:paraId="07DCE49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40399F2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7D9AE35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179D4E25" w14:textId="77777777" w:rsidTr="00980493">
        <w:tc>
          <w:tcPr>
            <w:tcW w:w="3020" w:type="dxa"/>
          </w:tcPr>
          <w:p w14:paraId="2A0FCA2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3ACACA3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10BC01C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41C444D" w14:textId="77777777" w:rsidTr="00980493">
        <w:tc>
          <w:tcPr>
            <w:tcW w:w="3020" w:type="dxa"/>
          </w:tcPr>
          <w:p w14:paraId="08CB97E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058FC7E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77F3840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388AEE9C" w14:textId="77777777" w:rsidTr="00980493">
        <w:tc>
          <w:tcPr>
            <w:tcW w:w="3020" w:type="dxa"/>
          </w:tcPr>
          <w:p w14:paraId="5B75165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35E5DAD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4E08895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57AACF01" w14:textId="77777777" w:rsidTr="00980493">
        <w:tc>
          <w:tcPr>
            <w:tcW w:w="3020" w:type="dxa"/>
          </w:tcPr>
          <w:p w14:paraId="44F09C2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5DA2867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3F0C587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43FF5A11" w14:textId="77777777" w:rsidTr="00980493">
        <w:tc>
          <w:tcPr>
            <w:tcW w:w="3020" w:type="dxa"/>
          </w:tcPr>
          <w:p w14:paraId="4ED44A48"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41327BB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48C18B07"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362F25CD" w14:textId="77777777" w:rsidR="00695AE2" w:rsidRPr="00503014" w:rsidRDefault="00695AE2" w:rsidP="00695AE2">
      <w:pPr>
        <w:spacing w:line="240" w:lineRule="auto"/>
        <w:jc w:val="both"/>
        <w:rPr>
          <w:rFonts w:eastAsia="Times New Roman"/>
          <w:sz w:val="20"/>
          <w:szCs w:val="20"/>
        </w:rPr>
      </w:pPr>
    </w:p>
    <w:p w14:paraId="49CA0B54" w14:textId="77777777" w:rsidR="00695AE2" w:rsidRPr="00503014" w:rsidRDefault="00695AE2" w:rsidP="00695AE2">
      <w:pPr>
        <w:spacing w:line="240" w:lineRule="auto"/>
        <w:jc w:val="both"/>
        <w:rPr>
          <w:rFonts w:eastAsia="Times New Roman"/>
          <w:b/>
          <w:bCs/>
          <w:color w:val="007466"/>
          <w:sz w:val="20"/>
          <w:szCs w:val="20"/>
        </w:rPr>
      </w:pPr>
      <w:r w:rsidRPr="00503014">
        <w:rPr>
          <w:rFonts w:eastAsia="Times New Roman"/>
          <w:b/>
          <w:bCs/>
          <w:color w:val="007466"/>
          <w:sz w:val="20"/>
          <w:szCs w:val="20"/>
        </w:rPr>
        <w:t>Zunanji oddelek Državnega odvetništva RS na Ptuju</w:t>
      </w:r>
    </w:p>
    <w:p w14:paraId="672177E5" w14:textId="77777777" w:rsidR="00695AE2" w:rsidRPr="00503014" w:rsidRDefault="00695AE2" w:rsidP="00695AE2">
      <w:pPr>
        <w:spacing w:line="240" w:lineRule="auto"/>
        <w:jc w:val="both"/>
        <w:rPr>
          <w:rFonts w:eastAsia="Times New Roman"/>
          <w:sz w:val="20"/>
          <w:szCs w:val="20"/>
        </w:rPr>
      </w:pPr>
    </w:p>
    <w:tbl>
      <w:tblPr>
        <w:tblStyle w:val="Tabelamrea2"/>
        <w:tblW w:w="0" w:type="auto"/>
        <w:tblLook w:val="04A0" w:firstRow="1" w:lastRow="0" w:firstColumn="1" w:lastColumn="0" w:noHBand="0" w:noVBand="1"/>
      </w:tblPr>
      <w:tblGrid>
        <w:gridCol w:w="3020"/>
        <w:gridCol w:w="3021"/>
        <w:gridCol w:w="3021"/>
      </w:tblGrid>
      <w:tr w:rsidR="00695AE2" w:rsidRPr="00503014" w14:paraId="6D806B66" w14:textId="77777777" w:rsidTr="00980493">
        <w:tc>
          <w:tcPr>
            <w:tcW w:w="3020" w:type="dxa"/>
          </w:tcPr>
          <w:p w14:paraId="0A0178F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predhodni postopek</w:t>
            </w:r>
          </w:p>
          <w:p w14:paraId="758B51D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(vrsta postopka)</w:t>
            </w:r>
          </w:p>
        </w:tc>
        <w:tc>
          <w:tcPr>
            <w:tcW w:w="3021" w:type="dxa"/>
          </w:tcPr>
          <w:p w14:paraId="7CD0377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prejetih zadev</w:t>
            </w:r>
          </w:p>
        </w:tc>
        <w:tc>
          <w:tcPr>
            <w:tcW w:w="3021" w:type="dxa"/>
          </w:tcPr>
          <w:p w14:paraId="5AEDBD3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število sklenjenih poravnav</w:t>
            </w:r>
          </w:p>
        </w:tc>
      </w:tr>
      <w:tr w:rsidR="00695AE2" w:rsidRPr="00503014" w14:paraId="5F96DB23" w14:textId="77777777" w:rsidTr="00980493">
        <w:tc>
          <w:tcPr>
            <w:tcW w:w="3020" w:type="dxa"/>
          </w:tcPr>
          <w:p w14:paraId="72A51D6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 (pravdne zadeve)</w:t>
            </w:r>
          </w:p>
        </w:tc>
        <w:tc>
          <w:tcPr>
            <w:tcW w:w="3021" w:type="dxa"/>
          </w:tcPr>
          <w:p w14:paraId="4365708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5</w:t>
            </w:r>
          </w:p>
        </w:tc>
        <w:tc>
          <w:tcPr>
            <w:tcW w:w="3021" w:type="dxa"/>
          </w:tcPr>
          <w:p w14:paraId="259BA85E"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r>
      <w:tr w:rsidR="00695AE2" w:rsidRPr="00503014" w14:paraId="2697AA43" w14:textId="77777777" w:rsidTr="00980493">
        <w:tc>
          <w:tcPr>
            <w:tcW w:w="3020" w:type="dxa"/>
          </w:tcPr>
          <w:p w14:paraId="3961C86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PIZ (zadeve po ZPŠOIRSP)</w:t>
            </w:r>
          </w:p>
        </w:tc>
        <w:tc>
          <w:tcPr>
            <w:tcW w:w="3021" w:type="dxa"/>
          </w:tcPr>
          <w:p w14:paraId="7750CB9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71A01D79"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2D66C206" w14:textId="77777777" w:rsidTr="00980493">
        <w:tc>
          <w:tcPr>
            <w:tcW w:w="3020" w:type="dxa"/>
          </w:tcPr>
          <w:p w14:paraId="236B973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I (izvršilne zadeve)</w:t>
            </w:r>
          </w:p>
        </w:tc>
        <w:tc>
          <w:tcPr>
            <w:tcW w:w="3021" w:type="dxa"/>
          </w:tcPr>
          <w:p w14:paraId="71941E3F"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1</w:t>
            </w:r>
          </w:p>
        </w:tc>
        <w:tc>
          <w:tcPr>
            <w:tcW w:w="3021" w:type="dxa"/>
          </w:tcPr>
          <w:p w14:paraId="5A5942DB"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516EBFED" w14:textId="77777777" w:rsidTr="00980493">
        <w:tc>
          <w:tcPr>
            <w:tcW w:w="3020" w:type="dxa"/>
          </w:tcPr>
          <w:p w14:paraId="5A2E1A53"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N (nepravdne zadeve)</w:t>
            </w:r>
          </w:p>
        </w:tc>
        <w:tc>
          <w:tcPr>
            <w:tcW w:w="3021" w:type="dxa"/>
          </w:tcPr>
          <w:p w14:paraId="35B4BA32"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c>
          <w:tcPr>
            <w:tcW w:w="3021" w:type="dxa"/>
          </w:tcPr>
          <w:p w14:paraId="7157D40C"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4F88108C" w14:textId="77777777" w:rsidTr="00980493">
        <w:tc>
          <w:tcPr>
            <w:tcW w:w="3020" w:type="dxa"/>
          </w:tcPr>
          <w:p w14:paraId="20C5D2C6"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PRR (zadeve po ZVPSBNO)</w:t>
            </w:r>
          </w:p>
        </w:tc>
        <w:tc>
          <w:tcPr>
            <w:tcW w:w="3021" w:type="dxa"/>
          </w:tcPr>
          <w:p w14:paraId="6033AA1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3</w:t>
            </w:r>
          </w:p>
        </w:tc>
        <w:tc>
          <w:tcPr>
            <w:tcW w:w="3021" w:type="dxa"/>
          </w:tcPr>
          <w:p w14:paraId="3910AB4A"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0</w:t>
            </w:r>
          </w:p>
        </w:tc>
      </w:tr>
      <w:tr w:rsidR="00695AE2" w:rsidRPr="00503014" w14:paraId="4145D4CB" w14:textId="77777777" w:rsidTr="00980493">
        <w:tc>
          <w:tcPr>
            <w:tcW w:w="3020" w:type="dxa"/>
          </w:tcPr>
          <w:p w14:paraId="31EF9C7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PK (zadeve po ZKP)</w:t>
            </w:r>
          </w:p>
        </w:tc>
        <w:tc>
          <w:tcPr>
            <w:tcW w:w="3021" w:type="dxa"/>
          </w:tcPr>
          <w:p w14:paraId="505206ED"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75E08471"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r w:rsidR="00695AE2" w:rsidRPr="00503014" w14:paraId="30C83FF4" w14:textId="77777777" w:rsidTr="00980493">
        <w:tc>
          <w:tcPr>
            <w:tcW w:w="3020" w:type="dxa"/>
          </w:tcPr>
          <w:p w14:paraId="2F013F65"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PP (zadeve po ZP-1)</w:t>
            </w:r>
          </w:p>
        </w:tc>
        <w:tc>
          <w:tcPr>
            <w:tcW w:w="3021" w:type="dxa"/>
          </w:tcPr>
          <w:p w14:paraId="5DE9E2C0"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c>
          <w:tcPr>
            <w:tcW w:w="3021" w:type="dxa"/>
          </w:tcPr>
          <w:p w14:paraId="70ACD084" w14:textId="77777777" w:rsidR="00695AE2" w:rsidRPr="00503014" w:rsidRDefault="00695AE2" w:rsidP="00980493">
            <w:pPr>
              <w:jc w:val="center"/>
              <w:rPr>
                <w:rFonts w:eastAsia="Times New Roman" w:cs="Calibri"/>
                <w:sz w:val="16"/>
                <w:szCs w:val="16"/>
              </w:rPr>
            </w:pPr>
            <w:r w:rsidRPr="00503014">
              <w:rPr>
                <w:rFonts w:eastAsia="Times New Roman" w:cs="Calibri"/>
                <w:sz w:val="16"/>
                <w:szCs w:val="16"/>
              </w:rPr>
              <w:t>/</w:t>
            </w:r>
          </w:p>
        </w:tc>
      </w:tr>
    </w:tbl>
    <w:p w14:paraId="0D4A51FB" w14:textId="77777777" w:rsidR="00695AE2" w:rsidRPr="00052E26" w:rsidRDefault="00695AE2" w:rsidP="00695AE2">
      <w:pPr>
        <w:pStyle w:val="Jasna"/>
        <w:rPr>
          <w:sz w:val="36"/>
          <w:szCs w:val="36"/>
        </w:rPr>
      </w:pPr>
    </w:p>
    <w:p w14:paraId="7737B198" w14:textId="77777777" w:rsidR="00695AE2" w:rsidRPr="00503014" w:rsidRDefault="00695AE2" w:rsidP="00695AE2">
      <w:pPr>
        <w:pStyle w:val="Naslov1"/>
        <w:ind w:left="0" w:firstLine="0"/>
        <w:rPr>
          <w:rFonts w:eastAsia="Times New Roman"/>
        </w:rPr>
      </w:pPr>
      <w:bookmarkStart w:id="418" w:name="_Toc168844884"/>
      <w:bookmarkStart w:id="419" w:name="_Toc191561874"/>
      <w:bookmarkStart w:id="420" w:name="_Toc223093872"/>
      <w:r w:rsidRPr="00503014">
        <w:rPr>
          <w:rFonts w:eastAsia="Times New Roman"/>
        </w:rPr>
        <w:t>ZASTOPANJE PRED SODIŠČI IN UPRAVNIMI ORGANI V REPUBLIKI SLOVENIJI, PRAVNO SVETOVANJE IN OBLIKOVANJE PRAVNIH MNENJ</w:t>
      </w:r>
      <w:bookmarkEnd w:id="418"/>
      <w:bookmarkEnd w:id="419"/>
      <w:bookmarkEnd w:id="420"/>
    </w:p>
    <w:p w14:paraId="2EA502E4" w14:textId="77777777" w:rsidR="00695AE2" w:rsidRPr="00052E26" w:rsidRDefault="00695AE2" w:rsidP="00695AE2">
      <w:pPr>
        <w:pStyle w:val="Jasna"/>
        <w:rPr>
          <w:sz w:val="36"/>
          <w:szCs w:val="36"/>
        </w:rPr>
      </w:pPr>
    </w:p>
    <w:p w14:paraId="0B6CA33F" w14:textId="77777777" w:rsidR="00695AE2" w:rsidRPr="00503014" w:rsidRDefault="00695AE2" w:rsidP="00695AE2">
      <w:pPr>
        <w:pStyle w:val="Naslov2"/>
      </w:pPr>
      <w:bookmarkStart w:id="421" w:name="_Toc168844885"/>
      <w:bookmarkStart w:id="422" w:name="_Toc191561875"/>
      <w:bookmarkStart w:id="423" w:name="_Toc223093873"/>
      <w:r w:rsidRPr="00503014">
        <w:t>Zastopanje pred sodišči in upravnimi organi v Republiki Sloveniji</w:t>
      </w:r>
      <w:bookmarkEnd w:id="421"/>
      <w:bookmarkEnd w:id="422"/>
      <w:bookmarkEnd w:id="423"/>
    </w:p>
    <w:p w14:paraId="61BF6720" w14:textId="77777777" w:rsidR="00695AE2" w:rsidRPr="00503014" w:rsidRDefault="00695AE2" w:rsidP="00695AE2">
      <w:pPr>
        <w:spacing w:line="240" w:lineRule="auto"/>
        <w:rPr>
          <w:rFonts w:eastAsia="Calibri"/>
          <w:sz w:val="32"/>
          <w:szCs w:val="32"/>
        </w:rPr>
      </w:pPr>
    </w:p>
    <w:p w14:paraId="06E41C28" w14:textId="77777777" w:rsidR="00695AE2" w:rsidRPr="00503014" w:rsidRDefault="00695AE2" w:rsidP="00695AE2">
      <w:pPr>
        <w:pStyle w:val="Naslov3"/>
      </w:pPr>
      <w:bookmarkStart w:id="424" w:name="_Toc168844886"/>
      <w:bookmarkStart w:id="425" w:name="_Toc191561876"/>
      <w:bookmarkStart w:id="426" w:name="_Toc223093874"/>
      <w:r w:rsidRPr="00503014">
        <w:t>Uvod</w:t>
      </w:r>
      <w:bookmarkEnd w:id="424"/>
      <w:bookmarkEnd w:id="425"/>
      <w:bookmarkEnd w:id="426"/>
    </w:p>
    <w:p w14:paraId="7818E2B9" w14:textId="77777777" w:rsidR="00695AE2" w:rsidRPr="00503014" w:rsidRDefault="00695AE2" w:rsidP="00695AE2">
      <w:pPr>
        <w:spacing w:line="240" w:lineRule="auto"/>
        <w:jc w:val="both"/>
        <w:rPr>
          <w:rFonts w:eastAsia="Times New Roman"/>
          <w:sz w:val="28"/>
          <w:szCs w:val="28"/>
        </w:rPr>
      </w:pPr>
    </w:p>
    <w:p w14:paraId="6DBEDC40" w14:textId="77777777" w:rsidR="00695AE2" w:rsidRPr="00503014" w:rsidRDefault="00695AE2" w:rsidP="00695AE2">
      <w:pPr>
        <w:spacing w:after="20" w:line="240" w:lineRule="auto"/>
        <w:jc w:val="both"/>
        <w:rPr>
          <w:rFonts w:eastAsia="Times New Roman"/>
        </w:rPr>
      </w:pPr>
      <w:r w:rsidRPr="00503014">
        <w:rPr>
          <w:rFonts w:eastAsia="Times New Roman"/>
        </w:rPr>
        <w:t xml:space="preserve">V prvem odstavku 12. člena ZDOdv je določena temeljna naloga in pristojnost Državnega odvetništva RS, in sicer Državno odvetništvo RS zastopa državo in njene organe pred sodišči v Republiki Sloveniji. </w:t>
      </w:r>
    </w:p>
    <w:p w14:paraId="4E1465A1" w14:textId="77777777" w:rsidR="00695AE2" w:rsidRPr="00503014" w:rsidRDefault="00695AE2" w:rsidP="00695AE2">
      <w:pPr>
        <w:spacing w:after="20" w:line="240" w:lineRule="auto"/>
        <w:jc w:val="both"/>
        <w:rPr>
          <w:rFonts w:eastAsia="Times New Roman"/>
        </w:rPr>
      </w:pPr>
    </w:p>
    <w:p w14:paraId="7F8BBE5B" w14:textId="77777777" w:rsidR="00695AE2" w:rsidRPr="00503014" w:rsidRDefault="00695AE2" w:rsidP="00695AE2">
      <w:pPr>
        <w:spacing w:line="240" w:lineRule="auto"/>
        <w:jc w:val="both"/>
        <w:rPr>
          <w:rFonts w:eastAsia="Calibri"/>
          <w:szCs w:val="22"/>
        </w:rPr>
      </w:pPr>
      <w:r w:rsidRPr="00503014">
        <w:rPr>
          <w:rFonts w:eastAsia="Calibri"/>
          <w:szCs w:val="22"/>
        </w:rPr>
        <w:t xml:space="preserve">Drugi odstavek 12. člena ZDOdv Državnemu odvetništvu RS podeljuje pristojnost (obveznega) zastopanja dveh javnih zavodov, Zavoda za pokojninsko in invalidsko zavarovanje Slovenije (ZPIZ) in Zavoda za zdravstveno zavarovanje Slovenije (ZZZS), in sicer v postopkih zaradi insolventnosti pri prijavi in uveljavljanju terjatev iz naslova obveznega pokojninskega in invalidskega zavarovanja, za katere zakon določa, da jih je pristojna pobirati Finančna uprava </w:t>
      </w:r>
      <w:r w:rsidRPr="00503014">
        <w:rPr>
          <w:rFonts w:eastAsia="Calibri"/>
          <w:szCs w:val="22"/>
        </w:rPr>
        <w:lastRenderedPageBreak/>
        <w:t>RS (FURS). Če se zavoda takšnemu zastopanju ne odpovesta, ga Državno odvetništvo RS ne more odkloniti.</w:t>
      </w:r>
    </w:p>
    <w:p w14:paraId="2F12A657" w14:textId="77777777" w:rsidR="00695AE2" w:rsidRPr="00503014" w:rsidRDefault="00695AE2" w:rsidP="00695AE2">
      <w:pPr>
        <w:spacing w:after="20" w:line="240" w:lineRule="auto"/>
        <w:jc w:val="both"/>
        <w:rPr>
          <w:rFonts w:eastAsia="Times New Roman"/>
        </w:rPr>
      </w:pPr>
    </w:p>
    <w:p w14:paraId="7984260D" w14:textId="77777777" w:rsidR="00695AE2" w:rsidRPr="00503014" w:rsidRDefault="00695AE2" w:rsidP="00695AE2">
      <w:pPr>
        <w:spacing w:line="240" w:lineRule="auto"/>
        <w:jc w:val="both"/>
        <w:rPr>
          <w:rFonts w:eastAsia="Times New Roman"/>
          <w:lang w:eastAsia="sl-SI"/>
        </w:rPr>
      </w:pPr>
      <w:r w:rsidRPr="00503014">
        <w:rPr>
          <w:rFonts w:eastAsia="Times New Roman"/>
        </w:rPr>
        <w:t xml:space="preserve">V zakonskem namenu krepitve vloge Državnega odvetništva RS kot varuha premoženjskih in drugih pravic Republike Slovenije pa tretji odstavek 12. člena ZDOdv ureja dodatno oziroma razširjeno pristojnost državnega odvetništva glede zastopanja, in sicer javna agencija, javni sklad, javni zavod, javni gospodarski zavod, samoupravna lokalna skupnost, javno podjetje ali gospodarska družba, ki je v celoti v lasti države, lahko predlaga, da jih v posameznem postopku pred sodiščem v Republiki Sloveniji, ki je zanje in za Republiko Slovenijo izjemnega pomena, zastopa državno odvetništvo. </w:t>
      </w:r>
    </w:p>
    <w:p w14:paraId="5DB4C7BE" w14:textId="77777777" w:rsidR="00695AE2" w:rsidRPr="00503014" w:rsidRDefault="00695AE2" w:rsidP="00695AE2">
      <w:pPr>
        <w:spacing w:after="20" w:line="240" w:lineRule="auto"/>
        <w:jc w:val="both"/>
        <w:rPr>
          <w:rFonts w:eastAsia="Times New Roman"/>
        </w:rPr>
      </w:pPr>
    </w:p>
    <w:p w14:paraId="7B5FAA26" w14:textId="77777777" w:rsidR="00695AE2" w:rsidRPr="00503014" w:rsidRDefault="00695AE2" w:rsidP="00695AE2">
      <w:pPr>
        <w:spacing w:line="240" w:lineRule="auto"/>
        <w:jc w:val="both"/>
        <w:rPr>
          <w:rFonts w:eastAsia="Calibri"/>
          <w:szCs w:val="22"/>
        </w:rPr>
      </w:pPr>
      <w:r w:rsidRPr="00503014">
        <w:rPr>
          <w:rFonts w:eastAsia="Calibri"/>
          <w:szCs w:val="22"/>
        </w:rPr>
        <w:t>Na podlagi 13. člena ZDOdv subjekte iz prvega in tretjega odstavka 12. člena ZDOdv Državno odvetništvo RS zastopa tudi pred upravnimi organi v Republiki Sloveniji, in sicer na podlagi pooblastila, pri čemer pooblastilo za zastopanje države in državnih organov mora sprejeti, sprejetje pooblastila za subjekte, ki jih določa tretji odstavek 12. člena ZDOdv, pa lahko odkloni z obrazloženim mnenjem generalnega državnega odvetnika.</w:t>
      </w:r>
    </w:p>
    <w:p w14:paraId="200F63C0" w14:textId="77777777" w:rsidR="00695AE2" w:rsidRPr="00503014" w:rsidRDefault="00695AE2" w:rsidP="00695AE2">
      <w:pPr>
        <w:spacing w:line="240" w:lineRule="auto"/>
        <w:jc w:val="both"/>
        <w:rPr>
          <w:rFonts w:eastAsia="Times New Roman"/>
          <w:sz w:val="28"/>
          <w:szCs w:val="28"/>
        </w:rPr>
      </w:pPr>
    </w:p>
    <w:p w14:paraId="09727E9E" w14:textId="77777777" w:rsidR="00695AE2" w:rsidRPr="00503014" w:rsidRDefault="00695AE2" w:rsidP="00695AE2">
      <w:pPr>
        <w:pStyle w:val="Naslov3"/>
        <w:ind w:left="0" w:firstLine="0"/>
      </w:pPr>
      <w:bookmarkStart w:id="427" w:name="_Toc168844887"/>
      <w:bookmarkStart w:id="428" w:name="_Toc191561877"/>
      <w:bookmarkStart w:id="429" w:name="_Toc223093875"/>
      <w:r w:rsidRPr="00503014">
        <w:t>Prevzem zastopanja na podlagi tretjega odstavka 12. člena Zakona o državnem odvetništvu</w:t>
      </w:r>
      <w:bookmarkEnd w:id="427"/>
      <w:bookmarkEnd w:id="428"/>
      <w:bookmarkEnd w:id="429"/>
    </w:p>
    <w:p w14:paraId="087019EA" w14:textId="77777777" w:rsidR="00695AE2" w:rsidRPr="00503014" w:rsidRDefault="00695AE2" w:rsidP="00695AE2">
      <w:pPr>
        <w:pStyle w:val="Jasna"/>
      </w:pPr>
    </w:p>
    <w:p w14:paraId="4F9EE76B" w14:textId="77777777" w:rsidR="00695AE2" w:rsidRPr="00503014" w:rsidRDefault="00695AE2" w:rsidP="00695AE2">
      <w:pPr>
        <w:pStyle w:val="Naslov4"/>
      </w:pPr>
      <w:bookmarkStart w:id="430" w:name="_Toc168844888"/>
      <w:bookmarkStart w:id="431" w:name="_Toc191561878"/>
      <w:bookmarkStart w:id="432" w:name="_Toc223093876"/>
      <w:r w:rsidRPr="00503014">
        <w:t>Presoja izjemnosti pomena</w:t>
      </w:r>
      <w:bookmarkEnd w:id="430"/>
      <w:bookmarkEnd w:id="431"/>
      <w:bookmarkEnd w:id="432"/>
    </w:p>
    <w:p w14:paraId="1E20E3AB" w14:textId="77777777" w:rsidR="00695AE2" w:rsidRPr="00503014" w:rsidRDefault="00695AE2" w:rsidP="00695AE2">
      <w:pPr>
        <w:spacing w:line="240" w:lineRule="auto"/>
        <w:jc w:val="both"/>
        <w:rPr>
          <w:rFonts w:eastAsia="Calibri"/>
          <w:szCs w:val="22"/>
        </w:rPr>
      </w:pPr>
    </w:p>
    <w:p w14:paraId="6ECACAE5" w14:textId="77777777" w:rsidR="00695AE2" w:rsidRPr="00503014" w:rsidRDefault="00695AE2" w:rsidP="00695AE2">
      <w:pPr>
        <w:spacing w:line="240" w:lineRule="auto"/>
        <w:jc w:val="both"/>
        <w:rPr>
          <w:rFonts w:eastAsia="Calibri"/>
          <w:i/>
          <w:iCs/>
          <w:szCs w:val="22"/>
        </w:rPr>
      </w:pPr>
      <w:r w:rsidRPr="00503014">
        <w:rPr>
          <w:rFonts w:eastAsia="Calibri"/>
          <w:szCs w:val="22"/>
        </w:rPr>
        <w:t xml:space="preserve">ZDOdv v tretjem odstavku 12. člena določa, da lahko javna agencija, javni sklad, javni zavod, javni gospodarski zavod, samoupravna lokalna skupnost, javno podjetje ali gospodarska družba, ki je v celoti v lasti države, predlagajo, naj jih v posameznem postopku pred sodišči v Republiki Sloveniji, ki je zanje in za Republiko Slovenijo izjemnega pomena, zastopa državno odvetništvo. </w:t>
      </w:r>
    </w:p>
    <w:p w14:paraId="74D6A0BC" w14:textId="77777777" w:rsidR="00695AE2" w:rsidRPr="00503014" w:rsidRDefault="00695AE2" w:rsidP="00695AE2">
      <w:pPr>
        <w:spacing w:line="240" w:lineRule="auto"/>
        <w:jc w:val="both"/>
        <w:rPr>
          <w:rFonts w:eastAsia="Calibri"/>
          <w:szCs w:val="22"/>
        </w:rPr>
      </w:pPr>
    </w:p>
    <w:p w14:paraId="68E13BB7" w14:textId="77777777" w:rsidR="00695AE2" w:rsidRPr="00503014" w:rsidRDefault="00695AE2" w:rsidP="00695AE2">
      <w:pPr>
        <w:spacing w:line="240" w:lineRule="auto"/>
        <w:jc w:val="both"/>
        <w:rPr>
          <w:rFonts w:eastAsia="Calibri"/>
          <w:szCs w:val="22"/>
        </w:rPr>
      </w:pPr>
      <w:r w:rsidRPr="00503014">
        <w:rPr>
          <w:rFonts w:eastAsia="Calibri"/>
          <w:szCs w:val="22"/>
        </w:rPr>
        <w:t xml:space="preserve">Vlogo za prevzem zastopanja mora vložiti subjekt, ki izpolnjuje taksativno naštete pogoje. Po prejemu vloge subjekta Državno odvetništvo RS na podlagi javno dostopnih podatkov z vpogledom v redni izpis iz sodnega registra preveri, ali subjekt izpolnjuje z zakonom zahtevane pogoje. Tako se ugotovi </w:t>
      </w:r>
      <w:r w:rsidRPr="00503014">
        <w:rPr>
          <w:rFonts w:eastAsia="Calibri"/>
          <w:i/>
          <w:iCs/>
          <w:szCs w:val="22"/>
        </w:rPr>
        <w:t>formalni pogoj</w:t>
      </w:r>
      <w:r w:rsidRPr="00503014">
        <w:rPr>
          <w:rFonts w:eastAsia="Calibri"/>
          <w:szCs w:val="22"/>
        </w:rPr>
        <w:t xml:space="preserve"> za sprejetje zastopanja in upravičenost predlagatelja po tretjem odstavku 12. člena ZDOdv. </w:t>
      </w:r>
    </w:p>
    <w:p w14:paraId="23BCB938" w14:textId="77777777" w:rsidR="00695AE2" w:rsidRPr="00503014" w:rsidRDefault="00695AE2" w:rsidP="00695AE2">
      <w:pPr>
        <w:spacing w:line="240" w:lineRule="auto"/>
        <w:jc w:val="both"/>
        <w:rPr>
          <w:rFonts w:eastAsia="Calibri"/>
          <w:szCs w:val="22"/>
        </w:rPr>
      </w:pPr>
    </w:p>
    <w:p w14:paraId="1A1A55BD" w14:textId="77777777" w:rsidR="00695AE2" w:rsidRPr="00503014" w:rsidRDefault="00695AE2" w:rsidP="00695AE2">
      <w:pPr>
        <w:spacing w:line="240" w:lineRule="auto"/>
        <w:jc w:val="both"/>
        <w:rPr>
          <w:rFonts w:eastAsia="Calibri"/>
          <w:szCs w:val="22"/>
        </w:rPr>
      </w:pPr>
      <w:r w:rsidRPr="00503014">
        <w:rPr>
          <w:rFonts w:eastAsia="Calibri"/>
          <w:szCs w:val="22"/>
        </w:rPr>
        <w:t xml:space="preserve">Poleg formalnega pogoja mora biti sočasno izpolnjen tudi </w:t>
      </w:r>
      <w:r w:rsidRPr="00503014">
        <w:rPr>
          <w:rFonts w:eastAsia="Calibri"/>
          <w:i/>
          <w:iCs/>
          <w:szCs w:val="22"/>
        </w:rPr>
        <w:t>vsebinski pogoj</w:t>
      </w:r>
      <w:r w:rsidRPr="00503014">
        <w:rPr>
          <w:rFonts w:eastAsia="Calibri"/>
          <w:szCs w:val="22"/>
        </w:rPr>
        <w:t xml:space="preserve"> za prevzem zastopanja. Tega je zakonodajalec opredelil s tako imenovano splošno klavzulo </w:t>
      </w:r>
      <w:r w:rsidRPr="00503014">
        <w:rPr>
          <w:rFonts w:eastAsia="Calibri"/>
          <w:i/>
          <w:iCs/>
          <w:szCs w:val="22"/>
        </w:rPr>
        <w:t>»izjemnega pomena za subjekt in za Republiko Slovenijo«</w:t>
      </w:r>
      <w:r w:rsidRPr="00503014">
        <w:rPr>
          <w:rFonts w:eastAsia="Calibri"/>
          <w:szCs w:val="22"/>
        </w:rPr>
        <w:t>.</w:t>
      </w:r>
      <w:r w:rsidRPr="00503014">
        <w:rPr>
          <w:rFonts w:eastAsia="Times New Roman"/>
        </w:rPr>
        <w:t xml:space="preserve"> Pri izjemnosti pomena gre za nedoločen pravni pojem, saj merila, ki bi opredelila njegov pomen, niso predpisana, kar pomeni, da jih je treba zapolniti v vsakem primeru posebej.</w:t>
      </w:r>
      <w:r w:rsidRPr="00503014">
        <w:rPr>
          <w:rFonts w:eastAsia="Calibri"/>
          <w:szCs w:val="22"/>
        </w:rPr>
        <w:t xml:space="preserve"> V poštev naj bi prišel le v primerih, kadar bi se od sodišča lahko pričakovala odločitev o pravnem vprašanju, ki je pomembno za zagotovitev pravne varnosti ali enotne uporabe prava, gledano z vidika varstva premoženjskih in drugih pravic in interesov Republike Slovenije. To pa naj bi bilo zlasti v primerih, pri katerih gre za pravno vprašanje, glede katerega še ni sodne prakse ali pa ta ni enotna, zaradi česar vnaprej ni mogoče niti verjetno predvidevati, kako naj bi sodišče odločilo v podobnih primerih. Sem bi lahko šteli tudi primere, v katerih bi se pred sodiščem obravnavala zadeva, ki ima lahko posledice za širši pravni krog (fizičnih in pravnih oseb) in ne le za manjše število posameznikov oziroma za enega posameznika in zgolj za en organ. Merilo »izjemnega pomena za subjekt in </w:t>
      </w:r>
      <w:r w:rsidRPr="00503014">
        <w:rPr>
          <w:rFonts w:eastAsia="Calibri"/>
          <w:szCs w:val="22"/>
        </w:rPr>
        <w:lastRenderedPageBreak/>
        <w:t xml:space="preserve">Republiko Slovenijo« bi bil izpolnjeno tudi, če bi se pred sodiščem obravnavalo tako dejansko in pravno vprašanje, s katerim bi se posegalo ali reševalo vprašanja sistemske narave, ki bi imela vpliv na širši krog oseb.  </w:t>
      </w:r>
    </w:p>
    <w:p w14:paraId="7F57F691" w14:textId="77777777" w:rsidR="00695AE2" w:rsidRPr="00503014" w:rsidRDefault="00695AE2" w:rsidP="00695AE2">
      <w:pPr>
        <w:spacing w:line="240" w:lineRule="auto"/>
        <w:jc w:val="both"/>
        <w:rPr>
          <w:rFonts w:eastAsia="Calibri"/>
          <w:szCs w:val="22"/>
        </w:rPr>
      </w:pPr>
    </w:p>
    <w:p w14:paraId="6C9B20BE" w14:textId="77777777" w:rsidR="00695AE2" w:rsidRPr="00503014" w:rsidRDefault="00695AE2" w:rsidP="00695AE2">
      <w:pPr>
        <w:spacing w:line="240" w:lineRule="auto"/>
        <w:jc w:val="both"/>
        <w:rPr>
          <w:rFonts w:eastAsia="Calibri"/>
          <w:szCs w:val="22"/>
        </w:rPr>
      </w:pPr>
      <w:r w:rsidRPr="00503014">
        <w:rPr>
          <w:rFonts w:eastAsia="Calibri"/>
          <w:szCs w:val="22"/>
        </w:rPr>
        <w:t xml:space="preserve">Določbo tretjega odstavka 12. člena ZDODv je treba obravnavati restriktivno, saj pomeni izjemo od splošnega in utečenega zastopanja subjektov. Ti subjekti imajo običajno svoje pravne službe ali pa imajo sklenjene pogodbe za zastopanje z zunanjimi strokovnjaki, ki zanje opravljajo pravne posle, med drugim tudi zastopanje na sodišču, za kar morajo predvideti tudi posebna finančna sredstva. Tako je v vsakem primeru posebej treba presojati, ali je pogoj izjemnega pomena za subjekt in za Republiko Slovenijo utemeljen. Za stališče o presoji izjemnosti se zaprosi tudi resorno ministrstvo. Na tej podlagi Državno odvetništvo RS presodi, ali so oziroma niso izpolnjeni vsebinski pogoji za zastopanje po tretjem odstavku 12. člena ZDOdv. </w:t>
      </w:r>
    </w:p>
    <w:p w14:paraId="164413D5" w14:textId="77777777" w:rsidR="00695AE2" w:rsidRPr="00503014" w:rsidRDefault="00695AE2" w:rsidP="00695AE2">
      <w:pPr>
        <w:spacing w:line="240" w:lineRule="auto"/>
        <w:jc w:val="both"/>
        <w:rPr>
          <w:rFonts w:eastAsia="Calibri"/>
          <w:szCs w:val="22"/>
        </w:rPr>
      </w:pPr>
    </w:p>
    <w:p w14:paraId="4CB9A121" w14:textId="77777777" w:rsidR="00695AE2" w:rsidRPr="00503014" w:rsidRDefault="00695AE2" w:rsidP="00695AE2">
      <w:pPr>
        <w:spacing w:line="240" w:lineRule="auto"/>
        <w:jc w:val="both"/>
        <w:rPr>
          <w:rFonts w:eastAsia="Calibri"/>
          <w:szCs w:val="22"/>
        </w:rPr>
      </w:pPr>
      <w:r w:rsidRPr="00503014">
        <w:rPr>
          <w:rFonts w:eastAsia="Calibri"/>
          <w:szCs w:val="22"/>
        </w:rPr>
        <w:t xml:space="preserve">Na odločitev o tem, ali bo Državno odvetništvo RS prevzelo zastopanje, vpliva poleg pogojev iz tretjega odstavka 12. člena ZDOdv še dodatni pogoj, in sicer, da v zadevi ne gre za </w:t>
      </w:r>
      <w:r w:rsidRPr="00503014">
        <w:rPr>
          <w:rFonts w:eastAsia="Calibri"/>
          <w:i/>
          <w:iCs/>
          <w:szCs w:val="22"/>
        </w:rPr>
        <w:t>kolizijo interesov</w:t>
      </w:r>
      <w:r w:rsidRPr="00503014">
        <w:rPr>
          <w:rFonts w:eastAsia="Calibri"/>
          <w:szCs w:val="22"/>
        </w:rPr>
        <w:t xml:space="preserve">. Skladno z določbo 10. člena ZDOdv namreč državno odvetništvo v primeru, da bi moralo izvrševati svoje zakonsko določene pristojnosti v določeni zadevi za subjekte, katerih koristi in interesi si nasprotujejo, opravlja strokovne naloge za Republiko Slovenijo. </w:t>
      </w:r>
    </w:p>
    <w:p w14:paraId="08674529" w14:textId="77777777" w:rsidR="00695AE2" w:rsidRPr="00503014" w:rsidRDefault="00695AE2" w:rsidP="00695AE2">
      <w:pPr>
        <w:spacing w:line="240" w:lineRule="auto"/>
        <w:jc w:val="both"/>
        <w:rPr>
          <w:rFonts w:eastAsia="Calibri"/>
          <w:szCs w:val="22"/>
        </w:rPr>
      </w:pPr>
    </w:p>
    <w:p w14:paraId="7CD4E505" w14:textId="77777777" w:rsidR="00695AE2" w:rsidRPr="00503014" w:rsidRDefault="00695AE2" w:rsidP="00695AE2">
      <w:pPr>
        <w:spacing w:line="240" w:lineRule="auto"/>
        <w:jc w:val="both"/>
        <w:rPr>
          <w:rFonts w:eastAsia="Calibri"/>
          <w:szCs w:val="22"/>
        </w:rPr>
      </w:pPr>
      <w:r w:rsidRPr="00503014">
        <w:rPr>
          <w:rFonts w:eastAsia="Calibri"/>
          <w:szCs w:val="22"/>
        </w:rPr>
        <w:t>V letu 2025 Državno odvetništvo RS v zadevah, ki jih je prejelo v zvezi s predlogi za prevzem zastopanja, ni ugotovilo kolizije interesov.</w:t>
      </w:r>
    </w:p>
    <w:p w14:paraId="0E62FAB0" w14:textId="77777777" w:rsidR="00695AE2" w:rsidRPr="00503014" w:rsidRDefault="00695AE2" w:rsidP="00695AE2">
      <w:pPr>
        <w:spacing w:line="240" w:lineRule="auto"/>
        <w:jc w:val="both"/>
        <w:rPr>
          <w:rFonts w:eastAsia="Calibri"/>
          <w:szCs w:val="22"/>
        </w:rPr>
      </w:pPr>
    </w:p>
    <w:p w14:paraId="0637EDCF" w14:textId="77777777" w:rsidR="00695AE2" w:rsidRPr="00503014" w:rsidRDefault="00695AE2" w:rsidP="00695AE2">
      <w:pPr>
        <w:spacing w:line="240" w:lineRule="auto"/>
        <w:jc w:val="both"/>
        <w:rPr>
          <w:rFonts w:eastAsia="Times New Roman"/>
          <w:lang w:eastAsia="sl-SI"/>
        </w:rPr>
      </w:pPr>
      <w:r w:rsidRPr="00503014">
        <w:rPr>
          <w:rFonts w:eastAsia="Times New Roman"/>
          <w:lang w:eastAsia="sl-SI"/>
        </w:rPr>
        <w:t>Kadar Državno odvetništvo RS prevzame zastopanje na podlagi tretjega odstavka 12. člena ZDOdv, gre nato za zastopanje po zakonu in ne za pooblastilno razmerje, ki bi se lahko omejilo, kar pomeni, da v skladu s četrtim odstavkom 12. člena ZDOdv državni odvetnik za subjekte iz tretjega odstavka tega člena v sodnem postopku opravlja vsa procesna dejanja, kot jih je v postopku upravičena opravljati stranka ali udeleženec.</w:t>
      </w:r>
    </w:p>
    <w:p w14:paraId="2AAAD6B2" w14:textId="77777777" w:rsidR="00695AE2" w:rsidRPr="00503014" w:rsidRDefault="00695AE2" w:rsidP="00695AE2">
      <w:pPr>
        <w:spacing w:line="240" w:lineRule="auto"/>
        <w:jc w:val="both"/>
        <w:rPr>
          <w:rFonts w:eastAsia="Calibri"/>
          <w:szCs w:val="22"/>
        </w:rPr>
      </w:pPr>
    </w:p>
    <w:p w14:paraId="76FB42DA" w14:textId="77777777" w:rsidR="00695AE2" w:rsidRPr="00503014" w:rsidRDefault="00695AE2" w:rsidP="00695AE2">
      <w:pPr>
        <w:spacing w:line="240" w:lineRule="auto"/>
        <w:jc w:val="both"/>
        <w:rPr>
          <w:rFonts w:eastAsia="Calibri"/>
          <w:szCs w:val="22"/>
        </w:rPr>
      </w:pPr>
      <w:r w:rsidRPr="00503014">
        <w:rPr>
          <w:rFonts w:eastAsia="Calibri"/>
          <w:szCs w:val="22"/>
        </w:rPr>
        <w:t xml:space="preserve">Časovni kontekst prevzema zastopanja s strani Državnega odvetništva RS je odvisen od posameznega primera, torej od roka, ki ga v posameznem primeru določi sodišče ali zakon za opravo določenega procesnega dejanja pred sodiščem. Pomembno je, da Državno odvetništvo RS predlog prejme dovolj zgodaj, da lahko preveri, ali so izpolnjeni pogoji za zastopanje, in mu, če se odloči za prevzem zastopanja, ostane dovolj časa za opravo tistih procesnih dejanj, za katera je že določen zakonski ali sodni rok (zadnji je sicer podaljšljiv, vendar o tem odloča sodišče). </w:t>
      </w:r>
    </w:p>
    <w:p w14:paraId="20409D62" w14:textId="77777777" w:rsidR="00695AE2" w:rsidRPr="00503014" w:rsidRDefault="00695AE2" w:rsidP="00695AE2">
      <w:pPr>
        <w:spacing w:line="240" w:lineRule="auto"/>
        <w:jc w:val="both"/>
        <w:rPr>
          <w:rFonts w:eastAsia="Calibri"/>
          <w:szCs w:val="22"/>
        </w:rPr>
      </w:pPr>
    </w:p>
    <w:p w14:paraId="69E27990" w14:textId="77777777" w:rsidR="00695AE2" w:rsidRPr="00503014" w:rsidRDefault="00695AE2" w:rsidP="00695AE2">
      <w:pPr>
        <w:spacing w:line="240" w:lineRule="auto"/>
        <w:jc w:val="both"/>
        <w:rPr>
          <w:rFonts w:eastAsia="Calibri"/>
          <w:szCs w:val="22"/>
        </w:rPr>
      </w:pPr>
      <w:r w:rsidRPr="00503014">
        <w:rPr>
          <w:rFonts w:eastAsia="Calibri"/>
          <w:szCs w:val="22"/>
        </w:rPr>
        <w:t>Državno odvetništvo RS lahko zastopanje subjektov iz tretjega odstavka 12. člena ZDOdv odkloni z obrazloženim mnenjem generalnega državnega odvetnika.</w:t>
      </w:r>
    </w:p>
    <w:p w14:paraId="305E75A9" w14:textId="77777777" w:rsidR="00695AE2" w:rsidRPr="00503014" w:rsidRDefault="00695AE2" w:rsidP="00695AE2">
      <w:pPr>
        <w:spacing w:line="240" w:lineRule="auto"/>
        <w:jc w:val="both"/>
        <w:rPr>
          <w:rFonts w:eastAsia="Calibri"/>
          <w:szCs w:val="22"/>
        </w:rPr>
      </w:pPr>
    </w:p>
    <w:p w14:paraId="32D4A0E6" w14:textId="77777777" w:rsidR="00695AE2" w:rsidRPr="00503014" w:rsidRDefault="00695AE2" w:rsidP="00695AE2">
      <w:pPr>
        <w:spacing w:line="240" w:lineRule="auto"/>
        <w:jc w:val="both"/>
        <w:rPr>
          <w:rFonts w:eastAsia="Calibri"/>
          <w:szCs w:val="22"/>
        </w:rPr>
      </w:pPr>
      <w:r w:rsidRPr="00503014">
        <w:rPr>
          <w:rFonts w:eastAsia="Calibri"/>
          <w:szCs w:val="22"/>
        </w:rPr>
        <w:t>Če je Republika Slovenija ustanoviteljica, lahko subjekt v postopku predlaga tudi, da se pridruži kot stranska intervenientka in na ta način poskusi utemeljiti pravni interes za dovolitev stranske intervencije Republike Slovenije na strani določenega subjekta.</w:t>
      </w:r>
    </w:p>
    <w:p w14:paraId="222D5C7E" w14:textId="77777777" w:rsidR="00695AE2" w:rsidRPr="00503014" w:rsidRDefault="00695AE2" w:rsidP="00695AE2">
      <w:pPr>
        <w:spacing w:line="240" w:lineRule="auto"/>
        <w:jc w:val="both"/>
        <w:rPr>
          <w:rFonts w:eastAsia="Calibri"/>
          <w:b/>
          <w:bCs/>
          <w:szCs w:val="22"/>
        </w:rPr>
      </w:pPr>
    </w:p>
    <w:p w14:paraId="41420572" w14:textId="77777777" w:rsidR="00695AE2" w:rsidRPr="00503014" w:rsidRDefault="00695AE2" w:rsidP="00695AE2">
      <w:pPr>
        <w:pStyle w:val="Naslov4"/>
        <w:ind w:left="0" w:firstLine="0"/>
      </w:pPr>
      <w:bookmarkStart w:id="433" w:name="_Toc168844889"/>
      <w:bookmarkStart w:id="434" w:name="_Toc191561879"/>
      <w:bookmarkStart w:id="435" w:name="_Toc223093877"/>
      <w:r w:rsidRPr="00503014">
        <w:t>Pregled odločitev glede prevzema zastopanja po tretjem odstavku 12. člena Zakona o državnem odvetništvu</w:t>
      </w:r>
      <w:bookmarkEnd w:id="433"/>
      <w:bookmarkEnd w:id="434"/>
      <w:bookmarkEnd w:id="435"/>
    </w:p>
    <w:p w14:paraId="1CD7BEAF" w14:textId="77777777" w:rsidR="00695AE2" w:rsidRPr="00503014" w:rsidRDefault="00695AE2" w:rsidP="00695AE2">
      <w:pPr>
        <w:spacing w:line="240" w:lineRule="auto"/>
        <w:jc w:val="both"/>
        <w:rPr>
          <w:rFonts w:eastAsia="Calibri"/>
          <w:szCs w:val="22"/>
        </w:rPr>
      </w:pPr>
    </w:p>
    <w:p w14:paraId="1BBAF201" w14:textId="77777777" w:rsidR="00695AE2" w:rsidRPr="00503014" w:rsidRDefault="00695AE2" w:rsidP="00695AE2">
      <w:pPr>
        <w:spacing w:line="240" w:lineRule="auto"/>
        <w:jc w:val="both"/>
        <w:rPr>
          <w:rFonts w:eastAsia="Calibri"/>
          <w:szCs w:val="22"/>
        </w:rPr>
      </w:pPr>
      <w:r w:rsidRPr="00503014">
        <w:rPr>
          <w:rFonts w:eastAsia="Calibri"/>
          <w:szCs w:val="22"/>
        </w:rPr>
        <w:lastRenderedPageBreak/>
        <w:t>Skladno z Aktom o notranji organizaciji in sistemizaciji delovnih mest Državnega odvetništva RS sodi priprava odločitev glede prevzema zastopanja po tretjem odstavku 12. člena ZDOdv v pristojnost Svetovalno-analitičnega oddelka.</w:t>
      </w:r>
    </w:p>
    <w:p w14:paraId="6DE2CD34" w14:textId="77777777" w:rsidR="00695AE2" w:rsidRPr="00503014" w:rsidRDefault="00695AE2" w:rsidP="00695AE2">
      <w:pPr>
        <w:spacing w:line="240" w:lineRule="auto"/>
        <w:jc w:val="both"/>
        <w:rPr>
          <w:rFonts w:eastAsia="Calibri"/>
        </w:rPr>
      </w:pPr>
    </w:p>
    <w:p w14:paraId="30E7309D" w14:textId="77777777" w:rsidR="00695AE2" w:rsidRPr="00503014" w:rsidRDefault="00695AE2" w:rsidP="00695AE2">
      <w:pPr>
        <w:spacing w:line="240" w:lineRule="auto"/>
        <w:jc w:val="both"/>
        <w:rPr>
          <w:rFonts w:eastAsia="Calibri"/>
        </w:rPr>
      </w:pPr>
      <w:r w:rsidRPr="00503014">
        <w:rPr>
          <w:rFonts w:eastAsia="Calibri"/>
        </w:rPr>
        <w:t>V letu 2025 je bilo vloženih 13 predlogov za prevzem zastopanja po tretjem odstavku 12. člena ZDOdv (v letu 2024 31 predlogov). Državno odvetništvo RS je zastopanje prevzelo v 5 zadevah (v letu 2024 v 24 zadevah), v 3 zadevah je odklonilo prevzem zastopanja (v letu 2024 v 4 zadevah), v 2 zadevah je bil predlog vložen preuranjeno (v letu 2024 v 1 zadevi), v 2 zadevah je bil predlog umaknjen, 1 zadeva pa je bila hipotetična (prav tako kot v letu 2024).</w:t>
      </w:r>
    </w:p>
    <w:p w14:paraId="3040C017" w14:textId="77777777" w:rsidR="00695AE2" w:rsidRPr="00503014" w:rsidRDefault="00695AE2" w:rsidP="00695AE2">
      <w:pPr>
        <w:spacing w:line="240" w:lineRule="auto"/>
        <w:jc w:val="both"/>
        <w:rPr>
          <w:rFonts w:eastAsia="Calibri"/>
        </w:rPr>
      </w:pPr>
    </w:p>
    <w:p w14:paraId="3F161004" w14:textId="77777777" w:rsidR="00695AE2" w:rsidRPr="00503014" w:rsidRDefault="00695AE2" w:rsidP="00695AE2">
      <w:pPr>
        <w:spacing w:line="240" w:lineRule="auto"/>
        <w:jc w:val="both"/>
        <w:rPr>
          <w:rFonts w:eastAsia="Calibri"/>
        </w:rPr>
      </w:pPr>
      <w:r w:rsidRPr="00503014">
        <w:rPr>
          <w:rFonts w:eastAsia="Calibri"/>
        </w:rPr>
        <w:t>Na podlagi predstavljenih statističnih podatkov je mogoče ugotoviti, da je v primerjavi z letom 2024 v letu 2025 prišlo do zmanjšanja pripada zadev v zvezi s predlogom za prevzem zastopanja na podlagi tretjega odstavka 12. člena ZDOdv, in sicer za 58 %. Zmanjšanje pripada po mnenju Državnega odvetništva RS lahko kaže tudi na to, da se je praksa, glede kakšne vrste zadev se Državno odvetništvo RS strinja s prevzemom zastopanja, od uveljavitve ZDOdv že ustalila ter se razširila tudi med subjekte iz tretjega odstavka 12. člena ZDOdv.</w:t>
      </w:r>
    </w:p>
    <w:p w14:paraId="4C71453D" w14:textId="77777777" w:rsidR="00695AE2" w:rsidRPr="00503014" w:rsidRDefault="00695AE2" w:rsidP="00695AE2">
      <w:pPr>
        <w:spacing w:line="240" w:lineRule="auto"/>
        <w:jc w:val="both"/>
        <w:rPr>
          <w:rFonts w:eastAsia="Calibri"/>
          <w:szCs w:val="22"/>
        </w:rPr>
      </w:pPr>
    </w:p>
    <w:p w14:paraId="307A228F" w14:textId="77777777" w:rsidR="00695AE2" w:rsidRPr="00503014" w:rsidRDefault="00695AE2" w:rsidP="00695AE2">
      <w:pPr>
        <w:spacing w:line="240" w:lineRule="auto"/>
        <w:jc w:val="both"/>
        <w:rPr>
          <w:rFonts w:eastAsia="Calibri"/>
          <w:szCs w:val="22"/>
        </w:rPr>
      </w:pPr>
      <w:r w:rsidRPr="00503014">
        <w:rPr>
          <w:rFonts w:eastAsia="Calibri"/>
          <w:szCs w:val="22"/>
        </w:rPr>
        <w:t>V letu 2025 je Državno odvetništvo RS glede prevzema zastopanja subjektov iz tretjega odstavka 12. člena ZDOdv sprejelo naslednje odločitve:</w:t>
      </w:r>
    </w:p>
    <w:p w14:paraId="588C82EB" w14:textId="77777777" w:rsidR="00695AE2" w:rsidRPr="00503014" w:rsidRDefault="00695AE2" w:rsidP="00695AE2">
      <w:pPr>
        <w:spacing w:line="240" w:lineRule="auto"/>
        <w:jc w:val="both"/>
        <w:rPr>
          <w:rFonts w:eastAsia="Calibri"/>
          <w:szCs w:val="22"/>
        </w:rPr>
      </w:pPr>
    </w:p>
    <w:p w14:paraId="21874957" w14:textId="77777777" w:rsidR="00695AE2" w:rsidRPr="00503014" w:rsidRDefault="00695AE2" w:rsidP="00695AE2">
      <w:pPr>
        <w:pStyle w:val="Naslov5"/>
      </w:pPr>
      <w:bookmarkStart w:id="436" w:name="_Toc168844891"/>
      <w:bookmarkStart w:id="437" w:name="_Toc191561880"/>
      <w:bookmarkStart w:id="438" w:name="_Toc223093878"/>
      <w:r w:rsidRPr="00503014">
        <w:t>Odklonitev prevzema zastopanja</w:t>
      </w:r>
      <w:bookmarkEnd w:id="436"/>
      <w:bookmarkEnd w:id="437"/>
      <w:bookmarkEnd w:id="438"/>
    </w:p>
    <w:p w14:paraId="5E154B85" w14:textId="77777777" w:rsidR="00695AE2" w:rsidRPr="00503014" w:rsidRDefault="00695AE2" w:rsidP="00695AE2">
      <w:pPr>
        <w:spacing w:line="240" w:lineRule="auto"/>
        <w:jc w:val="both"/>
        <w:rPr>
          <w:rFonts w:eastAsia="Calibri"/>
          <w:shd w:val="clear" w:color="auto" w:fill="FFFFFF"/>
        </w:rPr>
      </w:pPr>
    </w:p>
    <w:p w14:paraId="71FF2101" w14:textId="77777777" w:rsidR="00695AE2" w:rsidRPr="00503014" w:rsidRDefault="00695AE2" w:rsidP="00695AE2">
      <w:pPr>
        <w:spacing w:line="240" w:lineRule="auto"/>
        <w:jc w:val="both"/>
        <w:rPr>
          <w:rFonts w:eastAsia="Calibri"/>
        </w:rPr>
      </w:pPr>
      <w:r w:rsidRPr="00503014">
        <w:rPr>
          <w:rFonts w:eastAsia="Calibri"/>
          <w:i/>
          <w:iCs/>
          <w:color w:val="007466"/>
          <w:shd w:val="clear" w:color="auto" w:fill="FFFFFF"/>
        </w:rPr>
        <w:t>Srednja poklica in tehniška šola Murska Sobota</w:t>
      </w:r>
      <w:r w:rsidRPr="00503014">
        <w:rPr>
          <w:rFonts w:eastAsia="Calibri"/>
          <w:color w:val="007466"/>
          <w:shd w:val="clear" w:color="auto" w:fill="FFFFFF"/>
        </w:rPr>
        <w:t xml:space="preserve"> </w:t>
      </w:r>
      <w:r w:rsidRPr="00503014">
        <w:rPr>
          <w:rFonts w:eastAsia="Calibri"/>
          <w:shd w:val="clear" w:color="auto" w:fill="FFFFFF"/>
        </w:rPr>
        <w:t>je predlagala prevzem zastopanja v individualnem delovnem sporu, v katerem se je očitala kršitev prepovedi diskriminacije v zvezi z odreditvijo opravljanja ur povečanega obsega dela in razredništva v primerjavi z ostalimi učitelji. Odločeno je bilo, da se vprašanje ne nanaša na širši krog oseb, očitek diskriminacije pa je vedno individualen in usmerjen zoper konkretnega delodajalca oziroma znotraj točno določeno odgovorno osebo, kar daje situaciji edinstvenost znotraj  posamezne organizirane strukture. Očitek diskriminacije praviloma ne more biti sistemski oziroma v konkretnem primeru ni bil, ker tožnik očita, da gre za povračilne ukrepe in šikaniranje s strani odgovorne osebe</w:t>
      </w:r>
      <w:r w:rsidRPr="00503014">
        <w:rPr>
          <w:rFonts w:eastAsia="Calibri"/>
        </w:rPr>
        <w:t>.</w:t>
      </w:r>
    </w:p>
    <w:p w14:paraId="63A20E95" w14:textId="77777777" w:rsidR="00695AE2" w:rsidRPr="00503014" w:rsidRDefault="00695AE2" w:rsidP="00695AE2">
      <w:pPr>
        <w:spacing w:line="240" w:lineRule="auto"/>
        <w:jc w:val="both"/>
        <w:rPr>
          <w:rFonts w:eastAsia="Calibri"/>
        </w:rPr>
      </w:pPr>
    </w:p>
    <w:p w14:paraId="5B1667A2" w14:textId="77777777" w:rsidR="00695AE2" w:rsidRPr="00503014" w:rsidRDefault="00695AE2" w:rsidP="00695AE2">
      <w:pPr>
        <w:spacing w:line="240" w:lineRule="auto"/>
        <w:jc w:val="both"/>
        <w:rPr>
          <w:rFonts w:eastAsia="Calibri"/>
        </w:rPr>
      </w:pPr>
      <w:r w:rsidRPr="00503014">
        <w:rPr>
          <w:rFonts w:eastAsia="Calibri"/>
          <w:i/>
          <w:iCs/>
          <w:color w:val="007466"/>
        </w:rPr>
        <w:t>SID – Slovenska izvozna in razvojna banka, d.  d.</w:t>
      </w:r>
      <w:r w:rsidRPr="00503014">
        <w:rPr>
          <w:rFonts w:eastAsia="Calibri"/>
          <w:color w:val="007466"/>
        </w:rPr>
        <w:t xml:space="preserve"> </w:t>
      </w:r>
      <w:r w:rsidRPr="00503014">
        <w:rPr>
          <w:rFonts w:eastAsia="Calibri"/>
        </w:rPr>
        <w:t xml:space="preserve">je predlagala zastopanje v postopku vložitve hipotekarne tožbe. Ugotovljeno je bilo, da ni izpolnjen formalni pogoj, ker SID banka, d. d. ni stranka postopka.  </w:t>
      </w:r>
    </w:p>
    <w:p w14:paraId="05929536" w14:textId="77777777" w:rsidR="00695AE2" w:rsidRPr="00503014" w:rsidRDefault="00695AE2" w:rsidP="00695AE2">
      <w:pPr>
        <w:spacing w:line="240" w:lineRule="auto"/>
        <w:jc w:val="both"/>
        <w:rPr>
          <w:rFonts w:eastAsia="Calibri"/>
        </w:rPr>
      </w:pPr>
    </w:p>
    <w:p w14:paraId="6372E68C" w14:textId="77777777" w:rsidR="00695AE2" w:rsidRPr="00503014" w:rsidRDefault="00695AE2" w:rsidP="00695AE2">
      <w:pPr>
        <w:spacing w:line="240" w:lineRule="auto"/>
        <w:jc w:val="both"/>
        <w:rPr>
          <w:rFonts w:eastAsia="Calibri"/>
        </w:rPr>
      </w:pPr>
      <w:r w:rsidRPr="00503014">
        <w:rPr>
          <w:rFonts w:eastAsia="Calibri"/>
          <w:i/>
          <w:iCs/>
          <w:color w:val="007466"/>
        </w:rPr>
        <w:t>Tehniški muzej Slovenije</w:t>
      </w:r>
      <w:r w:rsidRPr="00503014">
        <w:rPr>
          <w:rFonts w:eastAsia="Calibri"/>
          <w:color w:val="007466"/>
        </w:rPr>
        <w:t xml:space="preserve"> </w:t>
      </w:r>
      <w:r w:rsidRPr="00503014">
        <w:rPr>
          <w:rFonts w:eastAsia="Calibri"/>
        </w:rPr>
        <w:t>je predlagal prevzem zastopanja v gospodarskem sporu, vendar se na poziv Državnega odvetništva RS po opredelitvi o izjemnosti pomena spora ni odzval.</w:t>
      </w:r>
    </w:p>
    <w:p w14:paraId="4A036FF6" w14:textId="77777777" w:rsidR="00695AE2" w:rsidRPr="00503014" w:rsidRDefault="00695AE2" w:rsidP="00695AE2">
      <w:pPr>
        <w:pStyle w:val="Jasna"/>
      </w:pPr>
      <w:bookmarkStart w:id="439" w:name="_Toc168844892"/>
    </w:p>
    <w:p w14:paraId="00EB07D0" w14:textId="77777777" w:rsidR="00695AE2" w:rsidRPr="00503014" w:rsidRDefault="00695AE2" w:rsidP="00695AE2">
      <w:pPr>
        <w:pStyle w:val="Naslov5"/>
        <w:rPr>
          <w:shd w:val="clear" w:color="auto" w:fill="FFFFFF"/>
        </w:rPr>
      </w:pPr>
      <w:bookmarkStart w:id="440" w:name="_Toc191561881"/>
      <w:bookmarkStart w:id="441" w:name="_Toc223093879"/>
      <w:r w:rsidRPr="00503014">
        <w:t xml:space="preserve">Odločitev o hipotetičnem predlogu za </w:t>
      </w:r>
      <w:r w:rsidRPr="00503014">
        <w:rPr>
          <w:shd w:val="clear" w:color="auto" w:fill="FFFFFF"/>
        </w:rPr>
        <w:t>prevzem zastopanja</w:t>
      </w:r>
      <w:bookmarkEnd w:id="439"/>
      <w:bookmarkEnd w:id="440"/>
      <w:bookmarkEnd w:id="441"/>
    </w:p>
    <w:p w14:paraId="53976910" w14:textId="77777777" w:rsidR="00695AE2" w:rsidRPr="00503014" w:rsidRDefault="00695AE2" w:rsidP="00695AE2">
      <w:pPr>
        <w:spacing w:line="240" w:lineRule="auto"/>
        <w:rPr>
          <w:rFonts w:eastAsia="Calibri"/>
          <w:szCs w:val="22"/>
        </w:rPr>
      </w:pPr>
    </w:p>
    <w:p w14:paraId="72A674FC" w14:textId="77777777" w:rsidR="00695AE2" w:rsidRPr="00503014" w:rsidRDefault="00695AE2" w:rsidP="00695AE2">
      <w:pPr>
        <w:spacing w:line="240" w:lineRule="auto"/>
        <w:jc w:val="both"/>
        <w:rPr>
          <w:rFonts w:eastAsia="Calibri"/>
        </w:rPr>
      </w:pPr>
      <w:r w:rsidRPr="00503014">
        <w:rPr>
          <w:rFonts w:eastAsia="Calibri"/>
          <w:i/>
          <w:iCs/>
          <w:color w:val="007466"/>
        </w:rPr>
        <w:t>Dom starejših Hrastnik</w:t>
      </w:r>
      <w:r w:rsidRPr="00503014">
        <w:rPr>
          <w:rFonts w:eastAsia="Calibri"/>
          <w:color w:val="007466"/>
        </w:rPr>
        <w:t xml:space="preserve"> </w:t>
      </w:r>
      <w:r w:rsidRPr="00503014">
        <w:rPr>
          <w:rFonts w:eastAsia="Calibri"/>
        </w:rPr>
        <w:t>je hipotetično poizvedoval, ali je možno zastopanje po Državnem odvetništvu</w:t>
      </w:r>
      <w:r w:rsidRPr="00503014">
        <w:rPr>
          <w:rFonts w:eastAsia="Calibri"/>
          <w:vertAlign w:val="superscript"/>
        </w:rPr>
        <w:t xml:space="preserve"> </w:t>
      </w:r>
      <w:r w:rsidRPr="00503014">
        <w:rPr>
          <w:rFonts w:eastAsia="Calibri"/>
        </w:rPr>
        <w:t>RS.</w:t>
      </w:r>
      <w:bookmarkStart w:id="442" w:name="_Toc168844893"/>
      <w:bookmarkStart w:id="443" w:name="_Toc191561882"/>
    </w:p>
    <w:p w14:paraId="76E2DB9C" w14:textId="77777777" w:rsidR="00695AE2" w:rsidRPr="00503014" w:rsidRDefault="00695AE2" w:rsidP="00695AE2">
      <w:pPr>
        <w:spacing w:line="240" w:lineRule="auto"/>
        <w:jc w:val="both"/>
        <w:rPr>
          <w:rFonts w:eastAsia="Calibri"/>
        </w:rPr>
      </w:pPr>
    </w:p>
    <w:p w14:paraId="780FD772" w14:textId="77777777" w:rsidR="00695AE2" w:rsidRPr="00503014" w:rsidRDefault="00695AE2" w:rsidP="00695AE2">
      <w:pPr>
        <w:pStyle w:val="Naslov5"/>
        <w:rPr>
          <w:rFonts w:eastAsia="Calibri"/>
        </w:rPr>
      </w:pPr>
      <w:bookmarkStart w:id="444" w:name="_Toc223093880"/>
      <w:r w:rsidRPr="00503014">
        <w:rPr>
          <w:rFonts w:eastAsia="Calibri"/>
          <w:szCs w:val="22"/>
        </w:rPr>
        <w:t>Predlog</w:t>
      </w:r>
      <w:bookmarkEnd w:id="442"/>
      <w:bookmarkEnd w:id="443"/>
      <w:r w:rsidRPr="00503014">
        <w:rPr>
          <w:rFonts w:eastAsia="Calibri"/>
          <w:shd w:val="clear" w:color="auto" w:fill="FFFFFF"/>
        </w:rPr>
        <w:t xml:space="preserve"> za zastopanje, ki je bil naknadno umaknjen:</w:t>
      </w:r>
      <w:bookmarkEnd w:id="444"/>
      <w:r w:rsidRPr="00503014">
        <w:rPr>
          <w:rFonts w:eastAsia="Calibri"/>
          <w:shd w:val="clear" w:color="auto" w:fill="FFFFFF"/>
        </w:rPr>
        <w:t xml:space="preserve"> </w:t>
      </w:r>
    </w:p>
    <w:p w14:paraId="12C92049" w14:textId="77777777" w:rsidR="00695AE2" w:rsidRPr="00503014" w:rsidRDefault="00695AE2" w:rsidP="00695AE2">
      <w:pPr>
        <w:spacing w:line="240" w:lineRule="auto"/>
        <w:ind w:left="1080"/>
        <w:contextualSpacing/>
        <w:jc w:val="both"/>
        <w:rPr>
          <w:rFonts w:eastAsia="Calibri"/>
          <w:shd w:val="clear" w:color="auto" w:fill="FFFFFF"/>
        </w:rPr>
      </w:pPr>
    </w:p>
    <w:p w14:paraId="48E84B57" w14:textId="77777777" w:rsidR="00695AE2" w:rsidRPr="00503014" w:rsidRDefault="00695AE2" w:rsidP="00695AE2">
      <w:pPr>
        <w:spacing w:line="240" w:lineRule="auto"/>
        <w:jc w:val="both"/>
        <w:rPr>
          <w:rFonts w:eastAsia="Calibri"/>
          <w:shd w:val="clear" w:color="auto" w:fill="FFFFFF"/>
        </w:rPr>
      </w:pPr>
      <w:r w:rsidRPr="00503014">
        <w:rPr>
          <w:rFonts w:eastAsia="Calibri"/>
          <w:i/>
          <w:iCs/>
          <w:color w:val="007466"/>
          <w:shd w:val="clear" w:color="auto" w:fill="FFFFFF"/>
        </w:rPr>
        <w:lastRenderedPageBreak/>
        <w:t>Center za socialno delo Dolenjska in Bela Krajina</w:t>
      </w:r>
      <w:r w:rsidRPr="00503014">
        <w:rPr>
          <w:rFonts w:eastAsia="Calibri"/>
          <w:shd w:val="clear" w:color="auto" w:fill="FFFFFF"/>
        </w:rPr>
        <w:t xml:space="preserve"> je primarno poslal nedoločen in nepopoln predlog za prevzem zastopanja po tretjem odstavku 12. člena ZDOdv. Pred pozivanjem na dopolnitev predloga je bil center obveščen, da je osnovna podlaga za prevzem zastopanja  centra za socialno delo drugi odstavek 46. člena ZNP-1, zato je center Državno odvetništvo RS obvestil, da umika predlog za prevzem zastopanja po tretjem odstavku 12. člena ZDOdv, ker je Okrožnemu sodišču v Novem mestu predlagal poziv Državnemu odvetništvu RS za prevzem zastopanja centra za socialno delo po drugem odstavku 46. člena ZNP-1.   </w:t>
      </w:r>
    </w:p>
    <w:p w14:paraId="129F12A3" w14:textId="77777777" w:rsidR="00695AE2" w:rsidRPr="00503014" w:rsidRDefault="00695AE2" w:rsidP="00695AE2">
      <w:pPr>
        <w:spacing w:line="240" w:lineRule="auto"/>
        <w:jc w:val="both"/>
        <w:rPr>
          <w:rFonts w:eastAsia="Calibri"/>
          <w:szCs w:val="22"/>
        </w:rPr>
      </w:pPr>
    </w:p>
    <w:p w14:paraId="7B9ABC5F" w14:textId="77777777" w:rsidR="00695AE2" w:rsidRPr="00503014" w:rsidRDefault="00695AE2" w:rsidP="00695AE2">
      <w:pPr>
        <w:pStyle w:val="Naslov5"/>
      </w:pPr>
      <w:bookmarkStart w:id="445" w:name="_Toc191561883"/>
      <w:bookmarkStart w:id="446" w:name="_Toc223093881"/>
      <w:r w:rsidRPr="00503014">
        <w:t>Preuranjen predlog za prevzem zastopanja</w:t>
      </w:r>
      <w:bookmarkEnd w:id="445"/>
      <w:bookmarkEnd w:id="446"/>
    </w:p>
    <w:p w14:paraId="7A397B73" w14:textId="77777777" w:rsidR="00695AE2" w:rsidRPr="00503014" w:rsidRDefault="00695AE2" w:rsidP="00695AE2">
      <w:pPr>
        <w:spacing w:line="240" w:lineRule="auto"/>
        <w:ind w:left="1080"/>
        <w:contextualSpacing/>
        <w:jc w:val="both"/>
        <w:rPr>
          <w:rFonts w:eastAsia="Calibri"/>
        </w:rPr>
      </w:pPr>
    </w:p>
    <w:p w14:paraId="0A41DD32" w14:textId="77777777" w:rsidR="00695AE2" w:rsidRPr="00503014" w:rsidRDefault="00695AE2" w:rsidP="00695AE2">
      <w:pPr>
        <w:spacing w:line="240" w:lineRule="auto"/>
        <w:jc w:val="both"/>
        <w:rPr>
          <w:rFonts w:eastAsia="Calibri"/>
        </w:rPr>
      </w:pPr>
      <w:r w:rsidRPr="00503014">
        <w:rPr>
          <w:rFonts w:eastAsia="Calibri"/>
          <w:i/>
          <w:iCs/>
          <w:color w:val="007466"/>
        </w:rPr>
        <w:t>Center za socialno delo Zasavje</w:t>
      </w:r>
      <w:r w:rsidRPr="00503014">
        <w:rPr>
          <w:rFonts w:eastAsia="Calibri"/>
          <w:color w:val="007466"/>
        </w:rPr>
        <w:t xml:space="preserve"> </w:t>
      </w:r>
      <w:r w:rsidRPr="00503014">
        <w:rPr>
          <w:rFonts w:eastAsia="Calibri"/>
        </w:rPr>
        <w:t>je zaprosil za prevzem zastopanja v predhodnem postopku za povrnitev stroškov oskrbe mladoletne osebe posvojiteljske družine, saj po njihovem prepričanju niso bili seznanjeni, da se lahko pojavi oče in zahteva vrnitev otroka. Državno odvetništvo RS je zavrnilo prevzem zastopanja, ker je menilo, da ni izpolnjen formalni pogoj za prevzem zastopanja, saj je šlo v konkretnem primeru za pred sodni postopek odgovora na zahtevo družine posvojitelja in ne za posamezni konkretni sodni postopek.</w:t>
      </w:r>
    </w:p>
    <w:p w14:paraId="1BCF88BB" w14:textId="77777777" w:rsidR="00695AE2" w:rsidRPr="00503014" w:rsidRDefault="00695AE2" w:rsidP="00695AE2">
      <w:pPr>
        <w:spacing w:line="240" w:lineRule="auto"/>
        <w:jc w:val="both"/>
        <w:rPr>
          <w:rFonts w:eastAsia="Calibri"/>
        </w:rPr>
      </w:pPr>
    </w:p>
    <w:p w14:paraId="03BD1EF1" w14:textId="77777777" w:rsidR="00695AE2" w:rsidRPr="00503014" w:rsidRDefault="00695AE2" w:rsidP="00695AE2">
      <w:pPr>
        <w:spacing w:line="240" w:lineRule="auto"/>
        <w:jc w:val="both"/>
        <w:rPr>
          <w:rFonts w:eastAsia="Calibri"/>
        </w:rPr>
      </w:pPr>
      <w:r w:rsidRPr="00503014">
        <w:rPr>
          <w:rFonts w:eastAsia="Calibri"/>
          <w:i/>
          <w:iCs/>
          <w:color w:val="007466"/>
        </w:rPr>
        <w:t>Strokovni izobraževalni center Ljubljana</w:t>
      </w:r>
      <w:r w:rsidRPr="00503014">
        <w:rPr>
          <w:rFonts w:eastAsia="Calibri"/>
        </w:rPr>
        <w:t xml:space="preserve"> je vložil predlog za prevzem zastopanja v postopku pred Upravnim sodiščem, vendar jim tožba še ni bila vročena v odgovor. </w:t>
      </w:r>
    </w:p>
    <w:p w14:paraId="0958AF16" w14:textId="77777777" w:rsidR="00695AE2" w:rsidRPr="00503014" w:rsidRDefault="00695AE2" w:rsidP="00695AE2">
      <w:pPr>
        <w:pStyle w:val="Jasna"/>
      </w:pPr>
      <w:bookmarkStart w:id="447" w:name="_Toc191561884"/>
    </w:p>
    <w:p w14:paraId="2A41A6ED" w14:textId="77777777" w:rsidR="00695AE2" w:rsidRPr="00503014" w:rsidRDefault="00695AE2" w:rsidP="00695AE2">
      <w:pPr>
        <w:pStyle w:val="Naslov5"/>
      </w:pPr>
      <w:bookmarkStart w:id="448" w:name="_Toc223093882"/>
      <w:r w:rsidRPr="00503014">
        <w:t>Prevzem zastopanja</w:t>
      </w:r>
      <w:bookmarkEnd w:id="447"/>
      <w:bookmarkEnd w:id="448"/>
    </w:p>
    <w:p w14:paraId="33AD93F6" w14:textId="77777777" w:rsidR="00695AE2" w:rsidRPr="00503014" w:rsidRDefault="00695AE2" w:rsidP="00695AE2">
      <w:pPr>
        <w:spacing w:line="240" w:lineRule="auto"/>
        <w:rPr>
          <w:rFonts w:eastAsia="Calibri" w:cs="Times New Roman"/>
          <w:szCs w:val="22"/>
        </w:rPr>
      </w:pPr>
    </w:p>
    <w:p w14:paraId="2512113F" w14:textId="77777777" w:rsidR="00695AE2" w:rsidRPr="00503014" w:rsidRDefault="00695AE2" w:rsidP="00695AE2">
      <w:pPr>
        <w:spacing w:line="240" w:lineRule="auto"/>
        <w:jc w:val="both"/>
        <w:rPr>
          <w:rFonts w:eastAsia="Calibri"/>
          <w:color w:val="007466"/>
        </w:rPr>
      </w:pPr>
      <w:r w:rsidRPr="00503014">
        <w:rPr>
          <w:rFonts w:eastAsia="Calibri"/>
          <w:i/>
          <w:iCs/>
          <w:color w:val="007466"/>
        </w:rPr>
        <w:t>Sklada kmetijskih zemljišč in gozdov ter Slovenskih državnih gozdov, d. o. o.:</w:t>
      </w:r>
      <w:r w:rsidRPr="00503014">
        <w:rPr>
          <w:rFonts w:eastAsia="Calibri"/>
          <w:color w:val="007466"/>
        </w:rPr>
        <w:t xml:space="preserve"> </w:t>
      </w:r>
    </w:p>
    <w:p w14:paraId="412C5F4D" w14:textId="77777777" w:rsidR="00695AE2" w:rsidRPr="00503014" w:rsidRDefault="00695AE2" w:rsidP="00695AE2">
      <w:pPr>
        <w:spacing w:line="240" w:lineRule="auto"/>
        <w:jc w:val="both"/>
        <w:rPr>
          <w:rFonts w:eastAsia="Calibri"/>
        </w:rPr>
      </w:pPr>
    </w:p>
    <w:p w14:paraId="5E50D667" w14:textId="77777777" w:rsidR="00695AE2" w:rsidRPr="00503014" w:rsidRDefault="00695AE2" w:rsidP="00695AE2">
      <w:pPr>
        <w:spacing w:line="240" w:lineRule="auto"/>
        <w:jc w:val="both"/>
        <w:rPr>
          <w:rFonts w:eastAsia="Calibri"/>
        </w:rPr>
      </w:pPr>
      <w:r w:rsidRPr="00503014">
        <w:rPr>
          <w:rFonts w:eastAsia="Calibri"/>
          <w:bCs/>
          <w:noProof/>
        </w:rPr>
        <w:t xml:space="preserve">Do prevzema zastopanja je prišlo </w:t>
      </w:r>
      <w:r w:rsidRPr="00503014">
        <w:rPr>
          <w:rFonts w:eastAsia="Calibri"/>
        </w:rPr>
        <w:t>v postopku izpodbijanja sklepov občnih zborov o zahtevku za prenos deležev po 43. b členu Zakona o agrarnih skupnostih (v nadaljevanju: ZAgrS) pred rednimi in upravnimi sodišči.</w:t>
      </w:r>
    </w:p>
    <w:p w14:paraId="5E3E078E" w14:textId="77777777" w:rsidR="00695AE2" w:rsidRPr="00503014" w:rsidRDefault="00695AE2" w:rsidP="00695AE2">
      <w:pPr>
        <w:spacing w:line="240" w:lineRule="auto"/>
        <w:jc w:val="both"/>
        <w:rPr>
          <w:rFonts w:eastAsia="Calibri"/>
          <w:bCs/>
          <w:noProof/>
        </w:rPr>
      </w:pPr>
    </w:p>
    <w:p w14:paraId="0CB4C022" w14:textId="77777777" w:rsidR="00695AE2" w:rsidRPr="00503014" w:rsidRDefault="00695AE2" w:rsidP="00695AE2">
      <w:pPr>
        <w:spacing w:line="240" w:lineRule="auto"/>
        <w:jc w:val="both"/>
        <w:rPr>
          <w:rFonts w:eastAsia="Calibri"/>
          <w:bCs/>
          <w:noProof/>
        </w:rPr>
      </w:pPr>
      <w:r w:rsidRPr="00503014">
        <w:rPr>
          <w:rFonts w:eastAsia="Calibri"/>
          <w:bCs/>
          <w:noProof/>
        </w:rPr>
        <w:t xml:space="preserve">Dejstvo je, da: (i) agrarne skupnosti v Republiki Sloveniji obsegajo 77.486,47 ha zemljišč, kar predstavlja 3,67 % površine Republike Slovenije, (ii) je v registru upravnih enot vodenih 638 agrarnih skupnosti, (iii) je število članov v posameznih agrarnih skupnostih med 3 in 513, (iv) je bilo v 61,7 % agrarnih skupnostih premoženje vrnjeno v obliki solastnine, v 24,49 % pa v obliki skupne lastnine in (v) je občina kot solastnik oziroma skupni lastnik prisotna v 42,23 % agrarnih skupnostih. Navedeno kaže, da obravnavana problematika zajema širši krog oseb. Sporna določba 43.b člena ZAgrS je bila sprejeta leta 2022, v letu 2024 pa je bil rok za brezplačen prenos državnega premoženja na člane agrarne skupnosti podaljšan še za tri leta. Zaradi kratkega roka časovne veljavnosti sporne ureditve se sodna praksa rednih sodišč še vedno ni izoblikovala. Da gre za vprašanja sistemske narave, sta opozorila ustavna sodnika dr. Rajko Knez in dr. Neža Kogovšek Šalomon v ločenih mnenjih zadev U-I-189/23-17 in U-I-190/2023. Pri tem ni mogoče mimo opozorila dr. Rajka Kneza, da je </w:t>
      </w:r>
      <w:r w:rsidRPr="00503014">
        <w:rPr>
          <w:rFonts w:eastAsia="Calibri"/>
          <w:bCs/>
          <w:i/>
          <w:iCs/>
          <w:noProof/>
        </w:rPr>
        <w:t>prima facie</w:t>
      </w:r>
      <w:r w:rsidRPr="00503014">
        <w:rPr>
          <w:rFonts w:eastAsia="Calibri"/>
          <w:bCs/>
          <w:noProof/>
        </w:rPr>
        <w:t xml:space="preserve"> vidno oškodovanje javnega premoženja.</w:t>
      </w:r>
    </w:p>
    <w:p w14:paraId="0D3BA143" w14:textId="77777777" w:rsidR="00695AE2" w:rsidRPr="00503014" w:rsidRDefault="00695AE2" w:rsidP="00695AE2">
      <w:pPr>
        <w:spacing w:line="240" w:lineRule="auto"/>
        <w:jc w:val="both"/>
        <w:rPr>
          <w:rFonts w:eastAsia="Calibri"/>
          <w:bCs/>
          <w:noProof/>
        </w:rPr>
      </w:pPr>
    </w:p>
    <w:p w14:paraId="43A630B3" w14:textId="77777777" w:rsidR="00695AE2" w:rsidRPr="00503014" w:rsidRDefault="00695AE2" w:rsidP="00695AE2">
      <w:pPr>
        <w:spacing w:line="240" w:lineRule="auto"/>
        <w:jc w:val="both"/>
        <w:rPr>
          <w:rFonts w:eastAsia="Calibri"/>
          <w:bCs/>
          <w:noProof/>
          <w:color w:val="007466"/>
        </w:rPr>
      </w:pPr>
      <w:r w:rsidRPr="00503014">
        <w:rPr>
          <w:rFonts w:eastAsia="Calibri"/>
          <w:bCs/>
          <w:i/>
          <w:iCs/>
          <w:noProof/>
          <w:color w:val="007466"/>
        </w:rPr>
        <w:t>Centra za socialno delo Koroška:</w:t>
      </w:r>
    </w:p>
    <w:p w14:paraId="59A7270E" w14:textId="77777777" w:rsidR="00695AE2" w:rsidRPr="00503014" w:rsidRDefault="00695AE2" w:rsidP="00695AE2">
      <w:pPr>
        <w:spacing w:line="240" w:lineRule="auto"/>
        <w:jc w:val="both"/>
        <w:rPr>
          <w:rFonts w:eastAsia="Calibri"/>
          <w:bCs/>
          <w:noProof/>
        </w:rPr>
      </w:pPr>
    </w:p>
    <w:p w14:paraId="7C9230BB" w14:textId="77777777" w:rsidR="00695AE2" w:rsidRPr="00503014" w:rsidRDefault="00695AE2" w:rsidP="00695AE2">
      <w:pPr>
        <w:spacing w:line="240" w:lineRule="auto"/>
        <w:jc w:val="both"/>
        <w:rPr>
          <w:rFonts w:eastAsia="Calibri"/>
          <w:bCs/>
          <w:noProof/>
        </w:rPr>
      </w:pPr>
      <w:r w:rsidRPr="00503014">
        <w:rPr>
          <w:rFonts w:eastAsia="Calibri"/>
          <w:bCs/>
          <w:noProof/>
        </w:rPr>
        <w:t xml:space="preserve">Do prevzema zastopanja je prišlo v zvezi z vložitvijo ustavne pritožbe zoper odločitev Vrhovnega sodišča RS. Okrožno sodišče v Slovenj Gradcu je izreklo ukrep trajnejšega značaja odvzema starševske skrbi in mladoletnega otroka namestilo v rejniško družino. Višje sodišče v </w:t>
      </w:r>
      <w:r w:rsidRPr="00503014">
        <w:rPr>
          <w:rFonts w:eastAsia="Calibri"/>
          <w:bCs/>
          <w:noProof/>
        </w:rPr>
        <w:lastRenderedPageBreak/>
        <w:t xml:space="preserve">Mariboru je to odločitev spremenilo in mladoletnega otroka namestilo k teti v tujino. Vrhovno sodišče RS je revizijo zavrnilo. Mladoletnik je ostal v sistemu med dvema državama. Zadeva je bila prevzeta iz razlogov, ker se je postavilo vprašanje, ali je odločitev, da se združi skrbnik in rejnik v eni osebi pravilna, zakonita in ustavno skladna ter vprašanje, ali je spoštovano pravo EU – uredba Bruselj IIb, kot je opozoril v odklonilnem ločenem mnenju sodnik mag. Matej Čujovič k sklepu II Ips 47/2024. Zaradi kršitev prava EU bi to lahko privedlo do postopka zoper Republiko Slovenijo pred SEU. </w:t>
      </w:r>
    </w:p>
    <w:p w14:paraId="0F645E50" w14:textId="77777777" w:rsidR="00695AE2" w:rsidRPr="00503014" w:rsidRDefault="00695AE2" w:rsidP="00695AE2">
      <w:pPr>
        <w:spacing w:line="240" w:lineRule="auto"/>
        <w:jc w:val="both"/>
        <w:rPr>
          <w:rFonts w:eastAsia="Calibri"/>
          <w:bCs/>
          <w:noProof/>
        </w:rPr>
      </w:pPr>
    </w:p>
    <w:p w14:paraId="1882D797" w14:textId="77777777" w:rsidR="00695AE2" w:rsidRPr="00503014" w:rsidRDefault="00695AE2" w:rsidP="00695AE2">
      <w:pPr>
        <w:spacing w:line="240" w:lineRule="auto"/>
        <w:jc w:val="both"/>
        <w:rPr>
          <w:rFonts w:eastAsia="Calibri"/>
          <w:bCs/>
          <w:i/>
          <w:iCs/>
          <w:noProof/>
          <w:color w:val="007466"/>
        </w:rPr>
      </w:pPr>
      <w:r w:rsidRPr="00503014">
        <w:rPr>
          <w:rFonts w:eastAsia="Calibri"/>
          <w:bCs/>
          <w:i/>
          <w:iCs/>
          <w:noProof/>
          <w:color w:val="007466"/>
        </w:rPr>
        <w:t>Javnega zavoda Triglavski narodni park:</w:t>
      </w:r>
    </w:p>
    <w:p w14:paraId="6E957BFE" w14:textId="77777777" w:rsidR="00695AE2" w:rsidRPr="00503014" w:rsidRDefault="00695AE2" w:rsidP="00695AE2">
      <w:pPr>
        <w:spacing w:line="240" w:lineRule="auto"/>
        <w:jc w:val="both"/>
        <w:rPr>
          <w:rFonts w:eastAsia="Calibri"/>
          <w:bCs/>
          <w:i/>
          <w:iCs/>
          <w:noProof/>
        </w:rPr>
      </w:pPr>
    </w:p>
    <w:p w14:paraId="77C2ABB1" w14:textId="77777777" w:rsidR="00695AE2" w:rsidRPr="00503014" w:rsidRDefault="00695AE2" w:rsidP="00695AE2">
      <w:pPr>
        <w:spacing w:line="240" w:lineRule="auto"/>
        <w:jc w:val="both"/>
        <w:rPr>
          <w:rFonts w:eastAsia="Calibri"/>
          <w:bCs/>
          <w:noProof/>
          <w:vanish/>
        </w:rPr>
      </w:pPr>
      <w:r w:rsidRPr="00503014">
        <w:rPr>
          <w:rFonts w:eastAsia="Calibri"/>
          <w:bCs/>
          <w:noProof/>
        </w:rPr>
        <w:t xml:space="preserve">Do prevzema zastopanja je prišlo v odškodninskem postopku zaradi poškodbe glave po padcu kamenja zoper solidarno toženi stranki Republiko Slovenijo in Javni zavod Triglavski narodni park, kot dve od treh toženih strank. Zavzeto je bilo stališče, da se očitki zoper Republiko Slovenijo in Javni zavod Triglavski narodni park prekrivajo, da je Republika Slovenija njegova ustanoviteljica z možnimi vplivi na upravljanje in načrtovanje upravljanja ter je podana odgovornost za obveznosti zavoda. Sodne prakse iz navedenega naslova ni, glede na število obiskovalcev na leto in razgibanostjo terena pa obstaja verjetnost, da se bo škodni dogodek ponovil.  </w:t>
      </w:r>
    </w:p>
    <w:p w14:paraId="02419F37" w14:textId="77777777" w:rsidR="00695AE2" w:rsidRPr="00503014" w:rsidRDefault="00695AE2" w:rsidP="00695AE2">
      <w:pPr>
        <w:spacing w:line="240" w:lineRule="auto"/>
        <w:ind w:left="1440"/>
        <w:contextualSpacing/>
        <w:jc w:val="both"/>
        <w:rPr>
          <w:rFonts w:eastAsia="Calibri"/>
          <w:bCs/>
          <w:noProof/>
        </w:rPr>
      </w:pPr>
      <w:r w:rsidRPr="00503014">
        <w:rPr>
          <w:rFonts w:eastAsia="Calibri"/>
          <w:bCs/>
          <w:noProof/>
        </w:rPr>
        <w:t xml:space="preserve"> </w:t>
      </w:r>
    </w:p>
    <w:p w14:paraId="2A85A27A" w14:textId="77777777" w:rsidR="00695AE2" w:rsidRPr="00503014" w:rsidRDefault="00695AE2" w:rsidP="00695AE2">
      <w:pPr>
        <w:spacing w:line="240" w:lineRule="auto"/>
        <w:ind w:left="1440"/>
        <w:contextualSpacing/>
        <w:jc w:val="both"/>
        <w:rPr>
          <w:rFonts w:eastAsia="Calibri" w:cs="Times New Roman"/>
          <w:sz w:val="32"/>
          <w:szCs w:val="32"/>
        </w:rPr>
      </w:pPr>
    </w:p>
    <w:p w14:paraId="63B6DD37" w14:textId="77777777" w:rsidR="00695AE2" w:rsidRPr="00503014" w:rsidRDefault="00695AE2" w:rsidP="00695AE2">
      <w:pPr>
        <w:pStyle w:val="Naslov2"/>
      </w:pPr>
      <w:bookmarkStart w:id="449" w:name="_Toc168844894"/>
      <w:bookmarkStart w:id="450" w:name="_Toc191561885"/>
      <w:bookmarkStart w:id="451" w:name="_Toc223093883"/>
      <w:r w:rsidRPr="00503014">
        <w:t xml:space="preserve">Pravno </w:t>
      </w:r>
      <w:r w:rsidRPr="00EF6933">
        <w:t>svetovanje</w:t>
      </w:r>
      <w:bookmarkEnd w:id="449"/>
      <w:bookmarkEnd w:id="450"/>
      <w:bookmarkEnd w:id="451"/>
    </w:p>
    <w:p w14:paraId="79516EFA" w14:textId="77777777" w:rsidR="00695AE2" w:rsidRPr="00503014" w:rsidRDefault="00695AE2" w:rsidP="00695AE2">
      <w:pPr>
        <w:spacing w:line="240" w:lineRule="auto"/>
        <w:jc w:val="both"/>
        <w:rPr>
          <w:rFonts w:eastAsia="Calibri"/>
          <w:sz w:val="32"/>
          <w:szCs w:val="32"/>
        </w:rPr>
      </w:pPr>
    </w:p>
    <w:p w14:paraId="441B7185" w14:textId="77777777" w:rsidR="00695AE2" w:rsidRPr="00503014" w:rsidRDefault="00695AE2" w:rsidP="00695AE2">
      <w:pPr>
        <w:pStyle w:val="Naslov3"/>
      </w:pPr>
      <w:bookmarkStart w:id="452" w:name="_Toc168844895"/>
      <w:bookmarkStart w:id="453" w:name="_Toc191561886"/>
      <w:bookmarkStart w:id="454" w:name="_Toc223093884"/>
      <w:r w:rsidRPr="00EF6933">
        <w:t>Uvod</w:t>
      </w:r>
      <w:bookmarkEnd w:id="452"/>
      <w:bookmarkEnd w:id="453"/>
      <w:bookmarkEnd w:id="454"/>
    </w:p>
    <w:p w14:paraId="6BDEC92A" w14:textId="77777777" w:rsidR="00695AE2" w:rsidRPr="00503014" w:rsidRDefault="00695AE2" w:rsidP="00695AE2">
      <w:pPr>
        <w:spacing w:line="240" w:lineRule="auto"/>
        <w:jc w:val="both"/>
        <w:rPr>
          <w:rFonts w:eastAsia="Times New Roman"/>
          <w:sz w:val="28"/>
          <w:szCs w:val="28"/>
        </w:rPr>
      </w:pPr>
    </w:p>
    <w:p w14:paraId="5CD845E5" w14:textId="77777777" w:rsidR="00695AE2" w:rsidRPr="00503014" w:rsidRDefault="00695AE2" w:rsidP="00695AE2">
      <w:pPr>
        <w:pStyle w:val="Naslov4"/>
      </w:pPr>
      <w:bookmarkStart w:id="455" w:name="_Toc191561887"/>
      <w:bookmarkStart w:id="456" w:name="_Toc223093885"/>
      <w:r w:rsidRPr="00503014">
        <w:t>Splošno</w:t>
      </w:r>
      <w:bookmarkEnd w:id="455"/>
      <w:bookmarkEnd w:id="456"/>
    </w:p>
    <w:p w14:paraId="6FFE42EC" w14:textId="77777777" w:rsidR="00695AE2" w:rsidRPr="00503014" w:rsidRDefault="00695AE2" w:rsidP="00695AE2">
      <w:pPr>
        <w:spacing w:line="240" w:lineRule="auto"/>
        <w:jc w:val="both"/>
        <w:rPr>
          <w:rFonts w:eastAsia="Times New Roman"/>
        </w:rPr>
      </w:pPr>
    </w:p>
    <w:p w14:paraId="085A44AF" w14:textId="77777777" w:rsidR="00695AE2" w:rsidRPr="00503014" w:rsidRDefault="00695AE2" w:rsidP="00695AE2">
      <w:pPr>
        <w:spacing w:line="240" w:lineRule="auto"/>
        <w:jc w:val="both"/>
        <w:rPr>
          <w:rFonts w:eastAsia="Times New Roman"/>
        </w:rPr>
      </w:pPr>
      <w:r w:rsidRPr="00503014">
        <w:rPr>
          <w:rFonts w:eastAsia="Times New Roman"/>
        </w:rPr>
        <w:t xml:space="preserve">ZDOdv načelno daje večji poudarek preventivnemu delovanju Državnega odvetništva RS v vlogi varuha premoženjskih koristi in interesov Republike Slovenije ter v tem okviru svetovalni funkciji Državnega odvetništva RS pri razjasnitvi pravno konfliktnih situacij še pred začetkom sodnih in drugih postopkov. </w:t>
      </w:r>
    </w:p>
    <w:p w14:paraId="0A09A540" w14:textId="77777777" w:rsidR="00695AE2" w:rsidRPr="00503014" w:rsidRDefault="00695AE2" w:rsidP="00695AE2">
      <w:pPr>
        <w:spacing w:line="240" w:lineRule="auto"/>
        <w:jc w:val="both"/>
        <w:rPr>
          <w:rFonts w:eastAsia="Times New Roman"/>
        </w:rPr>
      </w:pPr>
    </w:p>
    <w:p w14:paraId="2F153A27" w14:textId="77777777" w:rsidR="00695AE2" w:rsidRPr="00503014" w:rsidRDefault="00695AE2" w:rsidP="00695AE2">
      <w:pPr>
        <w:spacing w:line="240" w:lineRule="auto"/>
        <w:jc w:val="both"/>
        <w:rPr>
          <w:rFonts w:eastAsia="Times New Roman"/>
        </w:rPr>
      </w:pPr>
      <w:r w:rsidRPr="00503014">
        <w:rPr>
          <w:rFonts w:eastAsia="Times New Roman"/>
        </w:rPr>
        <w:t>Svetovalna funkcija Državnega odvetništva RS je strokovno izjemno zahtevna naloga, saj se zahteve za oblikovanje pravnih mnenj nanašajo na različna pravna področja in različne vsebine ter problematiko urejanja varstva premoženjskih pravic Republike Slovenije.</w:t>
      </w:r>
    </w:p>
    <w:p w14:paraId="5C64C2F5" w14:textId="77777777" w:rsidR="00695AE2" w:rsidRPr="00503014" w:rsidRDefault="00695AE2" w:rsidP="00695AE2">
      <w:pPr>
        <w:spacing w:line="240" w:lineRule="auto"/>
        <w:jc w:val="both"/>
        <w:rPr>
          <w:rFonts w:eastAsia="Times New Roman"/>
        </w:rPr>
      </w:pPr>
    </w:p>
    <w:p w14:paraId="20981436" w14:textId="77777777" w:rsidR="00695AE2" w:rsidRPr="00503014" w:rsidRDefault="00695AE2" w:rsidP="00695AE2">
      <w:pPr>
        <w:spacing w:line="240" w:lineRule="auto"/>
        <w:jc w:val="both"/>
        <w:rPr>
          <w:rFonts w:eastAsia="Calibri"/>
          <w:szCs w:val="22"/>
        </w:rPr>
      </w:pPr>
      <w:r w:rsidRPr="00503014">
        <w:rPr>
          <w:rFonts w:eastAsia="Times New Roman"/>
        </w:rPr>
        <w:t xml:space="preserve">Državno odvetništvo RS meni, da namen zakona za krepitev svetovalne funkcije strokovno, kakovostno in pravočasno uresničuje. </w:t>
      </w:r>
    </w:p>
    <w:p w14:paraId="054C21FB" w14:textId="77777777" w:rsidR="00695AE2" w:rsidRPr="00503014" w:rsidRDefault="00695AE2" w:rsidP="00695AE2">
      <w:pPr>
        <w:spacing w:line="240" w:lineRule="auto"/>
        <w:jc w:val="both"/>
        <w:rPr>
          <w:rFonts w:eastAsia="Calibri"/>
          <w:szCs w:val="22"/>
        </w:rPr>
      </w:pPr>
    </w:p>
    <w:p w14:paraId="54C03CCD" w14:textId="77777777" w:rsidR="00695AE2" w:rsidRPr="00503014" w:rsidRDefault="00695AE2" w:rsidP="00695AE2">
      <w:pPr>
        <w:spacing w:line="240" w:lineRule="auto"/>
        <w:jc w:val="both"/>
        <w:rPr>
          <w:rFonts w:eastAsia="Calibri"/>
          <w:szCs w:val="22"/>
        </w:rPr>
      </w:pPr>
      <w:r w:rsidRPr="00503014">
        <w:rPr>
          <w:rFonts w:eastAsia="Calibri"/>
          <w:szCs w:val="22"/>
        </w:rPr>
        <w:t xml:space="preserve">V skladu s 24. členom ZDOdv Državno odvetništvo RS državi in državnim organom svetuje v </w:t>
      </w:r>
    </w:p>
    <w:p w14:paraId="6DE95B2A" w14:textId="77777777" w:rsidR="00695AE2" w:rsidRPr="00503014" w:rsidRDefault="00695AE2" w:rsidP="00695AE2">
      <w:pPr>
        <w:spacing w:line="240" w:lineRule="auto"/>
        <w:jc w:val="both"/>
        <w:rPr>
          <w:rFonts w:eastAsia="Calibri"/>
          <w:szCs w:val="22"/>
        </w:rPr>
      </w:pPr>
      <w:r w:rsidRPr="00503014">
        <w:rPr>
          <w:rFonts w:eastAsia="Calibri"/>
          <w:szCs w:val="22"/>
        </w:rPr>
        <w:t xml:space="preserve">premoženjskopravnih zadevah. </w:t>
      </w:r>
    </w:p>
    <w:p w14:paraId="2C5B3A2B" w14:textId="77777777" w:rsidR="00695AE2" w:rsidRPr="00503014" w:rsidRDefault="00695AE2" w:rsidP="00695AE2">
      <w:pPr>
        <w:spacing w:line="240" w:lineRule="auto"/>
        <w:jc w:val="both"/>
        <w:rPr>
          <w:rFonts w:eastAsia="Calibri"/>
          <w:szCs w:val="22"/>
        </w:rPr>
      </w:pPr>
    </w:p>
    <w:p w14:paraId="42D34A47" w14:textId="77777777" w:rsidR="00695AE2" w:rsidRPr="00503014" w:rsidRDefault="00695AE2" w:rsidP="00695AE2">
      <w:pPr>
        <w:spacing w:line="240" w:lineRule="auto"/>
        <w:jc w:val="both"/>
        <w:rPr>
          <w:rFonts w:eastAsia="Calibri"/>
          <w:szCs w:val="22"/>
        </w:rPr>
      </w:pPr>
      <w:r w:rsidRPr="00503014">
        <w:rPr>
          <w:rFonts w:eastAsia="Calibri"/>
          <w:szCs w:val="22"/>
        </w:rPr>
        <w:t xml:space="preserve">Svetovalna funkcija Državnega odvetništva RS v obliki oblikovanja pravnih mnenj ima temelj v določbah 25. in 26. člena ZDOdv. </w:t>
      </w:r>
    </w:p>
    <w:p w14:paraId="3ED56AA6" w14:textId="77777777" w:rsidR="00695AE2" w:rsidRPr="00503014" w:rsidRDefault="00695AE2" w:rsidP="00695AE2">
      <w:pPr>
        <w:spacing w:line="240" w:lineRule="auto"/>
        <w:jc w:val="both"/>
        <w:rPr>
          <w:rFonts w:eastAsia="Calibri"/>
          <w:szCs w:val="22"/>
        </w:rPr>
      </w:pPr>
    </w:p>
    <w:p w14:paraId="1C692884" w14:textId="77777777" w:rsidR="00695AE2" w:rsidRPr="00503014" w:rsidRDefault="00695AE2" w:rsidP="00695AE2">
      <w:pPr>
        <w:pStyle w:val="Naslov4"/>
      </w:pPr>
      <w:bookmarkStart w:id="457" w:name="_Toc191561888"/>
      <w:bookmarkStart w:id="458" w:name="_Toc223093886"/>
      <w:r w:rsidRPr="00503014">
        <w:t>Svetovalno-analitični oddelek</w:t>
      </w:r>
      <w:bookmarkEnd w:id="457"/>
      <w:bookmarkEnd w:id="458"/>
    </w:p>
    <w:p w14:paraId="09440B00" w14:textId="77777777" w:rsidR="00695AE2" w:rsidRPr="00503014" w:rsidRDefault="00695AE2" w:rsidP="00695AE2">
      <w:pPr>
        <w:spacing w:line="240" w:lineRule="auto"/>
        <w:jc w:val="both"/>
        <w:rPr>
          <w:rFonts w:eastAsia="Calibri"/>
          <w:szCs w:val="22"/>
        </w:rPr>
      </w:pPr>
    </w:p>
    <w:p w14:paraId="1266B793" w14:textId="77777777" w:rsidR="00695AE2" w:rsidRPr="00503014" w:rsidRDefault="00695AE2" w:rsidP="00695AE2">
      <w:pPr>
        <w:spacing w:line="240" w:lineRule="auto"/>
        <w:jc w:val="both"/>
        <w:rPr>
          <w:rFonts w:eastAsia="Calibri"/>
          <w:szCs w:val="22"/>
        </w:rPr>
      </w:pPr>
      <w:r w:rsidRPr="00503014">
        <w:rPr>
          <w:rFonts w:eastAsia="Calibri"/>
          <w:szCs w:val="22"/>
        </w:rPr>
        <w:lastRenderedPageBreak/>
        <w:t xml:space="preserve">Na sedežu Državnega odvetništva RS v Ljubljani deluje Svetovalno-analitični oddelek, v pristojnost katerega sodijo naloge oblikovanja pravnih mnenj na zahtevo državnih organov oziroma na predlog drugih subjektov, ki jih predvideva ZDOdv. Prav tako skladno z Aktom o notranji organizaciji in sistemizaciji delovnih mest Državnega odvetništva RS v pristojnost Svetovalno-analitičnega oddelka sodi priprava pravnih mnenj v zvezi z zakonodajo. Svetovalna funkcija, ki jo izvajajo državni odvetniki, razporejeni na Svetovalno-analitični oddelek, se krepi tudi znotraj Državnega odvetništva RS, in sicer zlasti na področju obravnave ključnih vprašanj, pomembnih za delovanje organa, obravnave zadev izjemnega pomena ali v zadevah s podobno pravno in dejansko podlago ter v okviru obravnave strokovno pomembnih in medijsko izpostavljenih zadev. </w:t>
      </w:r>
    </w:p>
    <w:p w14:paraId="099D3B34" w14:textId="77777777" w:rsidR="00695AE2" w:rsidRPr="00503014" w:rsidRDefault="00695AE2" w:rsidP="00695AE2">
      <w:pPr>
        <w:spacing w:line="240" w:lineRule="auto"/>
        <w:jc w:val="both"/>
        <w:rPr>
          <w:rFonts w:eastAsia="Calibri"/>
          <w:sz w:val="28"/>
          <w:szCs w:val="28"/>
        </w:rPr>
      </w:pPr>
    </w:p>
    <w:p w14:paraId="6FF4E13A" w14:textId="77777777" w:rsidR="00695AE2" w:rsidRPr="00503014" w:rsidRDefault="00695AE2" w:rsidP="00695AE2">
      <w:pPr>
        <w:pStyle w:val="Naslov3"/>
      </w:pPr>
      <w:bookmarkStart w:id="459" w:name="_Toc168844896"/>
      <w:bookmarkStart w:id="460" w:name="_Toc191561889"/>
      <w:bookmarkStart w:id="461" w:name="_Toc223093887"/>
      <w:r w:rsidRPr="00503014">
        <w:t>Oblikovanje pravnega mnenja na zahtevo državnega organa</w:t>
      </w:r>
      <w:bookmarkEnd w:id="459"/>
      <w:bookmarkEnd w:id="460"/>
      <w:bookmarkEnd w:id="461"/>
    </w:p>
    <w:p w14:paraId="207155C6" w14:textId="77777777" w:rsidR="00695AE2" w:rsidRPr="00503014" w:rsidRDefault="00695AE2" w:rsidP="00695AE2">
      <w:pPr>
        <w:spacing w:line="240" w:lineRule="auto"/>
        <w:jc w:val="both"/>
        <w:rPr>
          <w:rFonts w:eastAsia="Calibri"/>
          <w:sz w:val="28"/>
          <w:szCs w:val="28"/>
        </w:rPr>
      </w:pPr>
    </w:p>
    <w:p w14:paraId="36F44F64" w14:textId="77777777" w:rsidR="00695AE2" w:rsidRPr="00503014" w:rsidRDefault="00695AE2" w:rsidP="00695AE2">
      <w:pPr>
        <w:pStyle w:val="Naslov4"/>
      </w:pPr>
      <w:bookmarkStart w:id="462" w:name="_Toc223093888"/>
      <w:bookmarkStart w:id="463" w:name="_Toc168844897"/>
      <w:bookmarkStart w:id="464" w:name="_Toc191561890"/>
      <w:r w:rsidRPr="00503014">
        <w:t>Normativna ureditev</w:t>
      </w:r>
      <w:bookmarkEnd w:id="462"/>
      <w:r w:rsidRPr="00503014">
        <w:t xml:space="preserve"> </w:t>
      </w:r>
      <w:bookmarkEnd w:id="463"/>
      <w:bookmarkEnd w:id="464"/>
    </w:p>
    <w:p w14:paraId="55968D96" w14:textId="77777777" w:rsidR="00695AE2" w:rsidRPr="00503014" w:rsidRDefault="00695AE2" w:rsidP="00695AE2">
      <w:pPr>
        <w:spacing w:line="240" w:lineRule="auto"/>
        <w:jc w:val="both"/>
        <w:rPr>
          <w:rFonts w:eastAsia="Calibri"/>
          <w:szCs w:val="22"/>
        </w:rPr>
      </w:pPr>
    </w:p>
    <w:p w14:paraId="0BC2A0AB" w14:textId="77777777" w:rsidR="00695AE2" w:rsidRPr="00503014" w:rsidRDefault="00695AE2" w:rsidP="00695AE2">
      <w:pPr>
        <w:spacing w:line="240" w:lineRule="auto"/>
        <w:jc w:val="both"/>
        <w:rPr>
          <w:rFonts w:eastAsia="Calibri"/>
          <w:szCs w:val="22"/>
        </w:rPr>
      </w:pPr>
      <w:bookmarkStart w:id="465" w:name="_Hlk167446549"/>
      <w:r w:rsidRPr="00503014">
        <w:rPr>
          <w:rFonts w:eastAsia="Calibri"/>
          <w:szCs w:val="22"/>
        </w:rPr>
        <w:t xml:space="preserve">Z oblikovanjem pravnih mnenj Državno odvetništvo RS preventivno upošteva premoženjske koristi in interese Republike Slovenije ter izvršuje svetovalno funkcijo Državnega odvetništva RS pri razjasnitvi pravno konfliktnih situacij še pred začetkom sodnih in drugih postopkov. </w:t>
      </w:r>
    </w:p>
    <w:bookmarkEnd w:id="465"/>
    <w:p w14:paraId="449A662F" w14:textId="77777777" w:rsidR="00695AE2" w:rsidRPr="00503014" w:rsidRDefault="00695AE2" w:rsidP="00695AE2">
      <w:pPr>
        <w:spacing w:line="240" w:lineRule="auto"/>
        <w:jc w:val="both"/>
        <w:rPr>
          <w:rFonts w:eastAsia="Calibri"/>
          <w:szCs w:val="22"/>
        </w:rPr>
      </w:pPr>
    </w:p>
    <w:p w14:paraId="724EFD67" w14:textId="77777777" w:rsidR="00695AE2" w:rsidRPr="00503014" w:rsidRDefault="00695AE2" w:rsidP="00695AE2">
      <w:pPr>
        <w:spacing w:line="240" w:lineRule="auto"/>
        <w:jc w:val="both"/>
        <w:rPr>
          <w:rFonts w:eastAsia="Calibri"/>
          <w:szCs w:val="22"/>
        </w:rPr>
      </w:pPr>
      <w:r w:rsidRPr="00503014">
        <w:rPr>
          <w:rFonts w:eastAsia="Calibri"/>
          <w:szCs w:val="22"/>
        </w:rPr>
        <w:t xml:space="preserve">Na podlagi prvega odstavka 25. člena ZDOdv državni organ lahko vloži zahtevo za oblikovanje pravnega mnenja Državnemu odvetništvu RS tedaj, ko je iz okoliščin zadeve, zlasti upoštevajoč sodno prakso v podobnih primerih, zaradi katere bi lahko prišlo do nasprotujočih stališč, že razvidno tveganje, da bi lahko prišlo do spora glede varstva premoženjskih in drugih pravic in interesov Republike Slovenije ter pravnega mnenja o skladnosti mnenj in ravnanj državnih organov s prakso sodišč v Republiki Sloveniji ter prakso mednarodnih sodišč in mednarodnih arbitraž. Takšna določba ne pomeni, da državni organ vloži zahtevo vselej, ko gre za varstvo premoženjskih in drugih pravic in interesov Republike Slovenije, ampak mora potrebo po podaji zahteve presoditi od primera do primera posebej. Določbo prvega odstavka 25. člena ZDOdv gre torej razumeti kot osnovo za oblikovanje pravnih mnenj ob predpostavki, da mora biti iz zahteve državnega organa razvidno, glede katerih vprašanj se zahteva pravno mnenje. Ob navedenem pa je treba poudariti tudi, da prvi odstavek 25. člena ZDOdv ne daje podlage za predložitev pravnih mnenj o ekonomskem vidiku varovanja premoženjskih interesov Republike Slovenije. </w:t>
      </w:r>
    </w:p>
    <w:p w14:paraId="5B5C3A93" w14:textId="77777777" w:rsidR="00695AE2" w:rsidRPr="00503014" w:rsidRDefault="00695AE2" w:rsidP="00695AE2">
      <w:pPr>
        <w:spacing w:line="240" w:lineRule="auto"/>
        <w:jc w:val="both"/>
        <w:rPr>
          <w:rFonts w:eastAsia="Calibri"/>
          <w:szCs w:val="22"/>
        </w:rPr>
      </w:pPr>
    </w:p>
    <w:p w14:paraId="7C3FF171" w14:textId="77777777" w:rsidR="00695AE2" w:rsidRPr="00503014" w:rsidRDefault="00695AE2" w:rsidP="00695AE2">
      <w:pPr>
        <w:spacing w:line="240" w:lineRule="auto"/>
        <w:jc w:val="both"/>
        <w:rPr>
          <w:rFonts w:eastAsia="Times New Roman"/>
        </w:rPr>
      </w:pPr>
      <w:r w:rsidRPr="00503014">
        <w:rPr>
          <w:rFonts w:eastAsia="Times New Roman"/>
        </w:rPr>
        <w:t xml:space="preserve">Državni organi so na podlagi drugega odstavka 25. člena ZDOdv zavezani predhodno pridobiti mnenje Državnega odvetništva RS v zadevah, v katerih vrednost predmeta presega 100.000 evrov. </w:t>
      </w:r>
      <w:r w:rsidRPr="00503014">
        <w:rPr>
          <w:rFonts w:eastAsia="Calibri"/>
          <w:szCs w:val="22"/>
        </w:rPr>
        <w:t xml:space="preserve">Državno odvetništvo RS ob tem pojasnjuje, da pravna mnenja, oblikovana na navedeni pravni podlagi, pomenijo predvsem svetovanje državnim organom pri sklenitvi različnih pogodb in aneksov s civilnopravnega in gospodarskopravnega področja. </w:t>
      </w:r>
      <w:r w:rsidRPr="00503014">
        <w:rPr>
          <w:rFonts w:eastAsia="Times New Roman"/>
        </w:rPr>
        <w:t xml:space="preserve">Tudi predhodno pridobljena pravna mnenja v tovrstnih zadevah so namenjena predvsem razjasnitvi oziroma preprečitvi možnih pravno konfliktnih situacij, kljub oblikovanju pravnega mnenja </w:t>
      </w:r>
      <w:r w:rsidRPr="00503014">
        <w:rPr>
          <w:rFonts w:eastAsia="Calibri"/>
          <w:szCs w:val="22"/>
        </w:rPr>
        <w:t>v zvezi z varstvom premoženjskih in drugih pravic in interesov Republike Slovenije v zadevah, katerih vrednost predmeta je nad 100.000 evrov,</w:t>
      </w:r>
      <w:r w:rsidRPr="00503014">
        <w:rPr>
          <w:rFonts w:eastAsia="Times New Roman"/>
        </w:rPr>
        <w:t xml:space="preserve"> pa se je treba zavedati, da še vedno lahko pride do spora, izvirajočega iz predmeta pogodbe</w:t>
      </w:r>
      <w:r w:rsidRPr="00503014">
        <w:rPr>
          <w:rFonts w:eastAsia="Calibri"/>
          <w:szCs w:val="22"/>
        </w:rPr>
        <w:t xml:space="preserve"> in s tem v zvezi s pravilno izpolnitvijo pogodbe</w:t>
      </w:r>
      <w:r w:rsidRPr="00503014">
        <w:rPr>
          <w:rFonts w:eastAsia="Times New Roman"/>
        </w:rPr>
        <w:t xml:space="preserve">. Primarna odgovornost, da ne pride do negativnih posledic, povezanih z varstvom premoženjskih in drugih pravic in interesov Republike Slovenije, je sicer kljub morebitni predložitvi zahteve za predhodno mnenje Državnega odvetništva RS tako še vedno na </w:t>
      </w:r>
      <w:r w:rsidRPr="00503014">
        <w:rPr>
          <w:rFonts w:eastAsia="Times New Roman"/>
        </w:rPr>
        <w:lastRenderedPageBreak/>
        <w:t>pristojnih državnih organih oziroma drugih subjektih, ki kljub pomembni vlogi Državnega odvetništva RS z oblikovanjem pravnih mnenj v celoti ohranjajo svoje pristojnosti in odgovornosti.</w:t>
      </w:r>
    </w:p>
    <w:p w14:paraId="3C1E664D" w14:textId="77777777" w:rsidR="00695AE2" w:rsidRPr="00503014" w:rsidRDefault="00695AE2" w:rsidP="00695AE2">
      <w:pPr>
        <w:spacing w:line="240" w:lineRule="auto"/>
        <w:jc w:val="both"/>
        <w:rPr>
          <w:rFonts w:eastAsia="Times New Roman"/>
        </w:rPr>
      </w:pPr>
    </w:p>
    <w:p w14:paraId="75476153" w14:textId="77777777" w:rsidR="00695AE2" w:rsidRPr="00503014" w:rsidRDefault="00695AE2" w:rsidP="00695AE2">
      <w:pPr>
        <w:pStyle w:val="Naslov4"/>
      </w:pPr>
      <w:bookmarkStart w:id="466" w:name="_Toc223093889"/>
      <w:r w:rsidRPr="00503014">
        <w:t>Statistika</w:t>
      </w:r>
      <w:bookmarkEnd w:id="466"/>
    </w:p>
    <w:p w14:paraId="4E6DA6AF" w14:textId="77777777" w:rsidR="00695AE2" w:rsidRPr="00503014" w:rsidRDefault="00695AE2" w:rsidP="00695AE2">
      <w:pPr>
        <w:spacing w:line="240" w:lineRule="auto"/>
        <w:jc w:val="both"/>
        <w:rPr>
          <w:rFonts w:eastAsia="Times New Roman"/>
        </w:rPr>
      </w:pPr>
    </w:p>
    <w:p w14:paraId="5FA07964" w14:textId="77777777" w:rsidR="00695AE2" w:rsidRPr="00503014" w:rsidRDefault="00695AE2" w:rsidP="00695AE2">
      <w:pPr>
        <w:spacing w:line="240" w:lineRule="auto"/>
        <w:jc w:val="both"/>
        <w:rPr>
          <w:rFonts w:eastAsia="Times New Roman"/>
        </w:rPr>
      </w:pPr>
      <w:r w:rsidRPr="00503014">
        <w:rPr>
          <w:rFonts w:eastAsia="Times New Roman"/>
        </w:rPr>
        <w:t xml:space="preserve">V letu 2025 je Državno odvetništvo RS prejelo skupno 127 zahtev za pravno svetovanje oziroma oblikovanje pravnega mnenja (v letu 2024 143 zahtev), od tega 98 zahtev (v letu 2024 100 zahtev) po prvem odstavku 25. člena (pravno mnenje) in 29 zahtev (v letu 2024 43 zahtev) po drugem odstavku 25. člena (pravno mnenje v zadevah v vrednosti predmeta nad 100.000 evrov) ZDOdv. </w:t>
      </w:r>
    </w:p>
    <w:p w14:paraId="2A5DC7CC" w14:textId="77777777" w:rsidR="00695AE2" w:rsidRPr="00503014" w:rsidRDefault="00695AE2" w:rsidP="00695AE2">
      <w:pPr>
        <w:spacing w:line="240" w:lineRule="auto"/>
        <w:jc w:val="both"/>
        <w:rPr>
          <w:rFonts w:eastAsia="Times New Roman"/>
        </w:rPr>
      </w:pPr>
    </w:p>
    <w:p w14:paraId="6AC6A81C" w14:textId="77777777" w:rsidR="00695AE2" w:rsidRPr="00503014" w:rsidRDefault="00695AE2" w:rsidP="00695AE2">
      <w:pPr>
        <w:spacing w:line="240" w:lineRule="auto"/>
        <w:jc w:val="both"/>
        <w:rPr>
          <w:rFonts w:eastAsia="Times New Roman"/>
        </w:rPr>
      </w:pPr>
      <w:r w:rsidRPr="00503014">
        <w:rPr>
          <w:rFonts w:eastAsia="Times New Roman"/>
        </w:rPr>
        <w:t xml:space="preserve">Predstavljeni podatki kažejo, da je v letu 2025 v primerjavi z letom 2024  prišlo do upada  števila zaprosil Državnemu odvetništvu RS za oblikovanje pravnega mnenja po 25. členu ZDOdv, in sicer za 11 %.  </w:t>
      </w:r>
    </w:p>
    <w:p w14:paraId="622C338E" w14:textId="77777777" w:rsidR="00695AE2" w:rsidRPr="00503014" w:rsidRDefault="00695AE2" w:rsidP="00695AE2">
      <w:pPr>
        <w:spacing w:line="240" w:lineRule="auto"/>
        <w:jc w:val="both"/>
        <w:rPr>
          <w:rFonts w:eastAsia="Times New Roman"/>
        </w:rPr>
      </w:pPr>
    </w:p>
    <w:p w14:paraId="54C2B251" w14:textId="77777777" w:rsidR="00695AE2" w:rsidRPr="00503014" w:rsidRDefault="00695AE2" w:rsidP="00695AE2">
      <w:pPr>
        <w:spacing w:line="240" w:lineRule="auto"/>
        <w:jc w:val="both"/>
        <w:rPr>
          <w:rFonts w:eastAsia="Calibri"/>
        </w:rPr>
      </w:pPr>
      <w:r w:rsidRPr="00503014">
        <w:rPr>
          <w:rFonts w:eastAsia="Calibri"/>
        </w:rPr>
        <w:t>V vseh primerih  vloženih zahtev po prvem odstavku 25. člena ZDOdv je Državno odvetništvo RS pravno mnenje oblikovalo.</w:t>
      </w:r>
    </w:p>
    <w:p w14:paraId="4C3F9E33" w14:textId="77777777" w:rsidR="00695AE2" w:rsidRPr="00503014" w:rsidRDefault="00695AE2" w:rsidP="00695AE2">
      <w:pPr>
        <w:spacing w:line="240" w:lineRule="auto"/>
        <w:jc w:val="both"/>
        <w:rPr>
          <w:rFonts w:eastAsia="Times New Roman"/>
        </w:rPr>
      </w:pPr>
    </w:p>
    <w:p w14:paraId="3FA4DD06" w14:textId="77777777" w:rsidR="00695AE2" w:rsidRPr="00503014" w:rsidRDefault="00695AE2" w:rsidP="00695AE2">
      <w:pPr>
        <w:pStyle w:val="Naslov4"/>
      </w:pPr>
      <w:bookmarkStart w:id="467" w:name="_Toc168844899"/>
      <w:bookmarkStart w:id="468" w:name="_Toc191561892"/>
      <w:bookmarkStart w:id="469" w:name="_Toc223093890"/>
      <w:r w:rsidRPr="00503014">
        <w:t>Predstavitev primerov</w:t>
      </w:r>
      <w:bookmarkEnd w:id="467"/>
      <w:bookmarkEnd w:id="468"/>
      <w:bookmarkEnd w:id="469"/>
    </w:p>
    <w:p w14:paraId="32C0087F" w14:textId="77777777" w:rsidR="00695AE2" w:rsidRPr="00503014" w:rsidRDefault="00695AE2" w:rsidP="00695AE2">
      <w:pPr>
        <w:spacing w:line="240" w:lineRule="auto"/>
        <w:jc w:val="both"/>
        <w:rPr>
          <w:rFonts w:eastAsia="Times New Roman"/>
        </w:rPr>
      </w:pPr>
    </w:p>
    <w:p w14:paraId="0C12B766" w14:textId="77777777" w:rsidR="00695AE2" w:rsidRPr="00503014" w:rsidRDefault="00695AE2" w:rsidP="00695AE2">
      <w:pPr>
        <w:spacing w:line="240" w:lineRule="auto"/>
        <w:jc w:val="both"/>
        <w:rPr>
          <w:rFonts w:eastAsia="Calibri"/>
          <w:szCs w:val="22"/>
        </w:rPr>
      </w:pPr>
      <w:r w:rsidRPr="00503014">
        <w:rPr>
          <w:rFonts w:eastAsia="Calibri"/>
          <w:szCs w:val="22"/>
        </w:rPr>
        <w:t xml:space="preserve">Za prikaz zahtevnosti oblikovanja pravnih mnenj oziroma svetovanja in izjemni raznolikosti zahtev za oblikovanje pravnih mnenj je v nadaljevanju navedenih </w:t>
      </w:r>
      <w:r w:rsidRPr="00503014">
        <w:rPr>
          <w:rFonts w:eastAsia="Calibri"/>
          <w:b/>
          <w:bCs/>
          <w:color w:val="007466"/>
          <w:szCs w:val="22"/>
        </w:rPr>
        <w:t>nekaj primerov naključno izbranih zadev</w:t>
      </w:r>
      <w:r w:rsidRPr="00503014">
        <w:rPr>
          <w:rFonts w:eastAsia="Calibri"/>
          <w:szCs w:val="22"/>
        </w:rPr>
        <w:t>, v katerih je Državno odvetništvo RS oblikovalo pravno mnenje.</w:t>
      </w:r>
    </w:p>
    <w:p w14:paraId="45126D91" w14:textId="77777777" w:rsidR="00695AE2" w:rsidRPr="00503014" w:rsidRDefault="00695AE2" w:rsidP="00695AE2">
      <w:pPr>
        <w:spacing w:line="240" w:lineRule="auto"/>
        <w:jc w:val="both"/>
        <w:rPr>
          <w:rFonts w:eastAsia="Calibri"/>
          <w:szCs w:val="22"/>
        </w:rPr>
      </w:pPr>
    </w:p>
    <w:p w14:paraId="6F021F47" w14:textId="77777777" w:rsidR="00695AE2" w:rsidRPr="00503014" w:rsidRDefault="00695AE2" w:rsidP="00695AE2">
      <w:pPr>
        <w:pStyle w:val="Naslov5"/>
      </w:pPr>
      <w:bookmarkStart w:id="470" w:name="_Toc168844900"/>
      <w:bookmarkStart w:id="471" w:name="_Toc191561893"/>
      <w:bookmarkStart w:id="472" w:name="_Toc223093891"/>
      <w:r w:rsidRPr="00503014">
        <w:t>Pravna mnenja na podlagi prvega odstavka 25. člena ZDOdv:</w:t>
      </w:r>
      <w:bookmarkEnd w:id="470"/>
      <w:bookmarkEnd w:id="471"/>
      <w:bookmarkEnd w:id="472"/>
    </w:p>
    <w:p w14:paraId="3F76CB32"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urejanjem pravnih razmerij v soteski Vintgar;</w:t>
      </w:r>
    </w:p>
    <w:p w14:paraId="4B5E264A"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 xml:space="preserve">mnenje v zvezi z vprašanjem lastništva v stavbi na Kardeljevi ploščadi v Ljubljani; </w:t>
      </w:r>
    </w:p>
    <w:p w14:paraId="75EFB8A6"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podajo soglasja Republike Slovenije kot poroka k spremembi finančne pogodbe med TEŠ in Evropsko investicijsko banko;</w:t>
      </w:r>
    </w:p>
    <w:p w14:paraId="088BBB5C"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ukinitvijo javnega dobra na zemljiščih, po katerih je potekala državna cesta na avtocestnem odseku Kronovo - Smednik;</w:t>
      </w:r>
    </w:p>
    <w:p w14:paraId="739F600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zahtevkom za vrnitev slik družini Karađorđević;</w:t>
      </w:r>
    </w:p>
    <w:p w14:paraId="4434FCA9"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pravico stranke do obresti v primeru ničnih upravnih aktov, na podlagi katerih je upravni organ od stranke izterjal sredstva;</w:t>
      </w:r>
    </w:p>
    <w:p w14:paraId="3FCDB7BC"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izvedbo storitev projektiranja, dobave opreme in gradnje za izvedbo projekta Protipoplavna ureditev Selške Sore po pogodbenih določilih FIDIC Rumena knjiga;</w:t>
      </w:r>
    </w:p>
    <w:p w14:paraId="520E870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sanacijo nelegalnega odlagališča Bukovžlak v Celju zaradi kršitve prava EU in možnosti prodaje parcele oziroma povračila dela vloženih sredstev;</w:t>
      </w:r>
    </w:p>
    <w:p w14:paraId="1260032C"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pravnimi možnostmi glede vprašanja nedelovanja ABC vrat na letališču Brnik;</w:t>
      </w:r>
    </w:p>
    <w:p w14:paraId="086675B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podaljšanjem koncesije za rabo naravnih vrednot Postojnski jamski sistem in Predjamski jamski sistem za čas epidemije Covid;</w:t>
      </w:r>
    </w:p>
    <w:p w14:paraId="5DBED94D"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neposrednim priznavanjem upravnih odločb, izdanih v Republiki Sloveniji, v državah članicah EU oziroma v drugi državi članici EU in njihove izvršitve;</w:t>
      </w:r>
    </w:p>
    <w:p w14:paraId="7DA3476B"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lastninjenjem zemljišč v naravni vrednoti Vintgar;</w:t>
      </w:r>
    </w:p>
    <w:p w14:paraId="7BF7DC03"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lastRenderedPageBreak/>
        <w:t>mnenje v zvezi s časovnim trenutkom, ki predstavlja izhodišče za določanje cen v pogodbenem razmerju;</w:t>
      </w:r>
    </w:p>
    <w:p w14:paraId="6EC060F0"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pravico izvajalca do podaljšanja roka za izvedbo del po FIDIC Rdeči knjigi in Zakonu o interventnih ukrepih za opdravo posledic popolav in zemeljskih plazov iz avgusta 2023;</w:t>
      </w:r>
    </w:p>
    <w:p w14:paraId="6553CF25"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 xml:space="preserve">mnenje v zvezi z razlago tretjega odstavka 58. člena Zakona o zaposlitveni </w:t>
      </w:r>
      <w:r w:rsidRPr="00503014">
        <w:rPr>
          <w:rFonts w:eastAsia="Calibri"/>
          <w:color w:val="000000"/>
        </w:rPr>
        <w:t>rehabilitaciji in zaposlovanju invalidov in izpodbijanjem sklepa skupščine;</w:t>
      </w:r>
    </w:p>
    <w:p w14:paraId="5B3EB74D"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color w:val="000000"/>
        </w:rPr>
        <w:t>mnenje v zvezi z nasprotjem določb med Zakonom o obrambi in Kolektivno pogodbo za javni sektor;</w:t>
      </w:r>
    </w:p>
    <w:p w14:paraId="100ADE4A"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color w:val="000000"/>
        </w:rPr>
        <w:t>mnenje v zvezi z nakazili doživljenjske mesečne rente po smrti upravičenke, ki je živela v tujini;</w:t>
      </w:r>
    </w:p>
    <w:p w14:paraId="0BFE8425"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color w:val="000000"/>
        </w:rPr>
        <w:t>mnenje v zvezi s stroški hrambe zaseženega tovornega vozila v kazenskem postopku in nastopom stečajnega postopka pravne osebe tekom hrambe;</w:t>
      </w:r>
    </w:p>
    <w:p w14:paraId="3E2028F4"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izvajanjem drugega odstavka 60. člena Zakona o rudarstvu in preprečevanje varnostnih tveganj na območju Murske depresije;</w:t>
      </w:r>
    </w:p>
    <w:p w14:paraId="72CFE43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color w:val="000000"/>
        </w:rPr>
        <w:t xml:space="preserve">mnenje v zvezi z upravičenostjo izplačila nadomestila prevozniku zaradi izvajanja prednostnih prevoznih storitev tovornih vlakov v posebnih razmerah po </w:t>
      </w:r>
      <w:r w:rsidRPr="00503014">
        <w:rPr>
          <w:rFonts w:eastAsia="Calibri"/>
          <w:bCs/>
        </w:rPr>
        <w:t xml:space="preserve">8. členu </w:t>
      </w:r>
      <w:r w:rsidRPr="00503014">
        <w:rPr>
          <w:rFonts w:eastAsia="Calibri"/>
        </w:rPr>
        <w:t>Zakona o železniškem prometu;</w:t>
      </w:r>
    </w:p>
    <w:p w14:paraId="2C7402E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color w:val="000000"/>
        </w:rPr>
        <w:t>mnenje v zvezi z izvajanjem svetovalnih in inženirskih storitev pri investicijah v zdravstveno infrastrukturo v Republiki Sloveniji;</w:t>
      </w:r>
    </w:p>
    <w:p w14:paraId="79A1273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odškodninsko odgovornostjo v primeru škode, ki nastane uslužbencu zaradi razporeditve na delo v tujino, kjer so nevarne razmere;</w:t>
      </w:r>
    </w:p>
    <w:p w14:paraId="366A897A"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oblikovanjem Akta o oblikovanju etažne lastnine in pogodbe o priznanju lastninske pravice;</w:t>
      </w:r>
    </w:p>
    <w:p w14:paraId="3028EA2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z oblikovanjem metodologije za določitev odškodnine za nastalo škodo po tretjem odstavku 216. člena Zakona o urejanju prostora (ZUreP-3);</w:t>
      </w:r>
    </w:p>
    <w:p w14:paraId="2CABDC65"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mnenje v zvezi s pogodbo o sofinanciranju, sklenjeno med Ministrstvom za kulturo in Občino Ruše o sofinanciranju projekta Ureditev trga v Rušah.</w:t>
      </w:r>
    </w:p>
    <w:p w14:paraId="5832DCB1" w14:textId="77777777" w:rsidR="00695AE2" w:rsidRPr="00503014" w:rsidRDefault="00695AE2" w:rsidP="00695AE2">
      <w:pPr>
        <w:spacing w:line="240" w:lineRule="auto"/>
        <w:jc w:val="both"/>
        <w:rPr>
          <w:rFonts w:eastAsia="Calibri"/>
          <w:color w:val="007466"/>
          <w:szCs w:val="22"/>
        </w:rPr>
      </w:pPr>
    </w:p>
    <w:p w14:paraId="32494F83" w14:textId="77777777" w:rsidR="00695AE2" w:rsidRPr="00503014" w:rsidRDefault="00695AE2" w:rsidP="00695AE2">
      <w:pPr>
        <w:pStyle w:val="Naslov5"/>
      </w:pPr>
      <w:bookmarkStart w:id="473" w:name="_Toc168844901"/>
      <w:bookmarkStart w:id="474" w:name="_Toc191561894"/>
      <w:bookmarkStart w:id="475" w:name="_Toc223093892"/>
      <w:r w:rsidRPr="00503014">
        <w:t>Pravna mnenja na podlagi drugega odstavka 25. člena ZDOdv:</w:t>
      </w:r>
      <w:bookmarkEnd w:id="473"/>
      <w:bookmarkEnd w:id="474"/>
      <w:bookmarkEnd w:id="475"/>
    </w:p>
    <w:p w14:paraId="417C2CE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Pogodbe za menjavo stavbnega pohištva na objektu Državnega zbora;</w:t>
      </w:r>
    </w:p>
    <w:p w14:paraId="53D4863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Prodajne pogodbe za nakup arhivskih prostorov v K5 EDA Centra, Nova Gorica;</w:t>
      </w:r>
    </w:p>
    <w:p w14:paraId="1B2DF16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Pogodbe o najemu licenc Reactor;</w:t>
      </w:r>
    </w:p>
    <w:p w14:paraId="4C93CFB1"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Pogodbe za dobavo, montažo in zagon 20. sistemov tehničnega varovanja ter izdelavo PID za pravosodne organe;</w:t>
      </w:r>
    </w:p>
    <w:p w14:paraId="5D93A51F"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Pogodbe o dokončnem predčasnem poplačilu leasinga za stavbo;</w:t>
      </w:r>
    </w:p>
    <w:p w14:paraId="04327EB7"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Pogodbe za javno naročilo za izvajanje okoljsko manj obremenjujočega upravljanja in vzdrževanja objektov, vgrajenih sistemov in naprav ter čiščenja zunanjih površin, zimske službe in košnje skupnih površin na območju bivših mejnih prehodov;</w:t>
      </w:r>
    </w:p>
    <w:p w14:paraId="2033EDE7"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pregled osnutka Pogodbe o izvedbi investicijsko vzdrževalnih del na objektu Hangar A v Ljubljani.</w:t>
      </w:r>
    </w:p>
    <w:p w14:paraId="033A6BF9" w14:textId="77777777" w:rsidR="00695AE2" w:rsidRPr="00503014" w:rsidRDefault="00695AE2" w:rsidP="00695AE2">
      <w:pPr>
        <w:spacing w:line="240" w:lineRule="auto"/>
        <w:ind w:left="1068"/>
        <w:contextualSpacing/>
        <w:jc w:val="both"/>
        <w:rPr>
          <w:rFonts w:eastAsia="Calibri"/>
        </w:rPr>
      </w:pPr>
    </w:p>
    <w:p w14:paraId="734CD3A5" w14:textId="77777777" w:rsidR="00695AE2" w:rsidRPr="00503014" w:rsidRDefault="00695AE2" w:rsidP="00695AE2">
      <w:pPr>
        <w:pStyle w:val="Naslov4"/>
      </w:pPr>
      <w:bookmarkStart w:id="476" w:name="_Toc168844903"/>
      <w:bookmarkStart w:id="477" w:name="_Toc191561895"/>
      <w:bookmarkStart w:id="478" w:name="_Toc223093893"/>
      <w:bookmarkStart w:id="479" w:name="_Toc168844902"/>
      <w:r w:rsidRPr="00503014">
        <w:t>Oblikovanje pravnega mnenja v zvezi z zakonodajo</w:t>
      </w:r>
      <w:bookmarkEnd w:id="476"/>
      <w:bookmarkEnd w:id="477"/>
      <w:bookmarkEnd w:id="478"/>
    </w:p>
    <w:p w14:paraId="656056E1" w14:textId="77777777" w:rsidR="00695AE2" w:rsidRPr="00503014" w:rsidRDefault="00695AE2" w:rsidP="00695AE2">
      <w:pPr>
        <w:spacing w:line="240" w:lineRule="auto"/>
        <w:jc w:val="both"/>
        <w:rPr>
          <w:rFonts w:eastAsia="Calibri"/>
        </w:rPr>
      </w:pPr>
    </w:p>
    <w:p w14:paraId="3BF1E2E9" w14:textId="77777777" w:rsidR="00695AE2" w:rsidRPr="00503014" w:rsidRDefault="00695AE2" w:rsidP="00695AE2">
      <w:pPr>
        <w:spacing w:line="240" w:lineRule="auto"/>
        <w:jc w:val="both"/>
        <w:rPr>
          <w:rFonts w:eastAsia="Calibri"/>
          <w:szCs w:val="22"/>
        </w:rPr>
      </w:pPr>
      <w:r w:rsidRPr="00503014">
        <w:rPr>
          <w:rFonts w:eastAsia="Calibri"/>
          <w:szCs w:val="22"/>
        </w:rPr>
        <w:lastRenderedPageBreak/>
        <w:t xml:space="preserve">Pristojnost Državnega odvetništva RS je tudi pregled in opredelitev do zakonodajnih predlogov, ki jih različni predlagatelji v medresorskem usklajevanju pošljejo v morebitne pripombe in predloge Državnemu odvetništvu RS. Po prejemu zaprosila za izdajo mnenja glede zakonodajnih predlogov nosilec zadeve pošlje zaprosilo vsem pravnikom na Državnem odvetništvu RS in vodji specializiranega oddelka, v katerega delovno področje zadevni predlog zakona spada. Po pridobitvi stališč Svetovalno-analitični oddelek na seji oddelka obravnava predloge in o sprejetem stališču obvesti Urad generalne državne odvetnice in predlagatelja zakona. </w:t>
      </w:r>
    </w:p>
    <w:p w14:paraId="499AD112" w14:textId="77777777" w:rsidR="00695AE2" w:rsidRPr="00503014" w:rsidRDefault="00695AE2" w:rsidP="00695AE2">
      <w:pPr>
        <w:spacing w:line="240" w:lineRule="auto"/>
        <w:jc w:val="both"/>
        <w:rPr>
          <w:rFonts w:eastAsia="Calibri"/>
          <w:szCs w:val="22"/>
        </w:rPr>
      </w:pPr>
    </w:p>
    <w:p w14:paraId="535383DE" w14:textId="77777777" w:rsidR="00695AE2" w:rsidRPr="00503014" w:rsidRDefault="00695AE2" w:rsidP="00695AE2">
      <w:pPr>
        <w:spacing w:line="240" w:lineRule="auto"/>
        <w:jc w:val="both"/>
        <w:rPr>
          <w:rFonts w:eastAsia="Calibri"/>
        </w:rPr>
      </w:pPr>
      <w:r w:rsidRPr="00503014">
        <w:rPr>
          <w:rFonts w:eastAsia="Calibri"/>
        </w:rPr>
        <w:t xml:space="preserve">V letu 2025 je svetovalno analitični oddelek prejel v opredelitev 28 zakonodajnih predlogov (v letu 2024 14 predlogov). </w:t>
      </w:r>
    </w:p>
    <w:p w14:paraId="45F6BDCE" w14:textId="77777777" w:rsidR="00695AE2" w:rsidRPr="00503014" w:rsidRDefault="00695AE2" w:rsidP="00695AE2">
      <w:pPr>
        <w:spacing w:line="240" w:lineRule="auto"/>
        <w:jc w:val="both"/>
        <w:rPr>
          <w:rFonts w:eastAsia="Calibri"/>
        </w:rPr>
      </w:pPr>
    </w:p>
    <w:p w14:paraId="25DC5FBB" w14:textId="77777777" w:rsidR="00695AE2" w:rsidRPr="00503014" w:rsidRDefault="00695AE2" w:rsidP="00695AE2">
      <w:pPr>
        <w:spacing w:line="240" w:lineRule="auto"/>
        <w:jc w:val="both"/>
        <w:rPr>
          <w:rFonts w:eastAsia="Calibri"/>
        </w:rPr>
      </w:pPr>
      <w:r w:rsidRPr="00503014">
        <w:rPr>
          <w:rFonts w:eastAsia="Calibri"/>
        </w:rPr>
        <w:t>Glede na prejšnje leto je tako v letu 2025 prišlo do porasta pregledov in opredelitev do zakonodajnih predlogov za 50 %.</w:t>
      </w:r>
    </w:p>
    <w:p w14:paraId="12513EE3" w14:textId="77777777" w:rsidR="00695AE2" w:rsidRPr="00503014" w:rsidRDefault="00695AE2" w:rsidP="00695AE2">
      <w:pPr>
        <w:spacing w:line="240" w:lineRule="auto"/>
        <w:jc w:val="both"/>
        <w:rPr>
          <w:rFonts w:eastAsia="Calibri"/>
        </w:rPr>
      </w:pPr>
    </w:p>
    <w:p w14:paraId="51E6358C" w14:textId="77777777" w:rsidR="00695AE2" w:rsidRPr="00503014" w:rsidRDefault="00695AE2" w:rsidP="00695AE2">
      <w:pPr>
        <w:spacing w:line="240" w:lineRule="auto"/>
        <w:jc w:val="both"/>
        <w:rPr>
          <w:rFonts w:eastAsia="Calibri"/>
        </w:rPr>
      </w:pPr>
      <w:r w:rsidRPr="00503014">
        <w:rPr>
          <w:rFonts w:eastAsia="Calibri"/>
        </w:rPr>
        <w:t>Tako se je Svetovalno-analitični oddelek med drugim opredelil do:</w:t>
      </w:r>
    </w:p>
    <w:p w14:paraId="07A126B6"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varstvu javnega reda in miru;</w:t>
      </w:r>
    </w:p>
    <w:p w14:paraId="4C56C857"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obravnavanju mladoletnikov zaradi kaznivih dejanj;</w:t>
      </w:r>
    </w:p>
    <w:p w14:paraId="3850A299"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Poročila o izvajanju postopkov brezplačnih prenosov državnega premoženja v razvojne namene po 29. členu Zakona o spodbujanju skladnega regionalnega razvoja, za obdobje od 2013-2024;</w:t>
      </w:r>
    </w:p>
    <w:p w14:paraId="087A9E21"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Uredbe o varovanju ogroženih uradnih oseb;</w:t>
      </w:r>
    </w:p>
    <w:p w14:paraId="6311039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državnem tožilstvu;</w:t>
      </w:r>
    </w:p>
    <w:p w14:paraId="1EC3D37C"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izvršbi in zavarovanju;</w:t>
      </w:r>
    </w:p>
    <w:p w14:paraId="5994F9C9"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varuhu človekovih pravic;</w:t>
      </w:r>
    </w:p>
    <w:p w14:paraId="433F87A2" w14:textId="77777777" w:rsidR="00695AE2" w:rsidRPr="00503014" w:rsidRDefault="00695AE2" w:rsidP="00695AE2">
      <w:pPr>
        <w:numPr>
          <w:ilvl w:val="0"/>
          <w:numId w:val="121"/>
        </w:numPr>
        <w:autoSpaceDE w:val="0"/>
        <w:autoSpaceDN w:val="0"/>
        <w:adjustRightInd w:val="0"/>
        <w:spacing w:after="160" w:line="240" w:lineRule="auto"/>
        <w:ind w:left="1068"/>
        <w:contextualSpacing/>
        <w:jc w:val="both"/>
        <w:rPr>
          <w:rFonts w:eastAsia="Calibri"/>
        </w:rPr>
      </w:pPr>
      <w:r w:rsidRPr="00503014">
        <w:rPr>
          <w:rFonts w:eastAsia="Calibri"/>
        </w:rPr>
        <w:t>Amandmaja k Predlogu Zakona o finančnem poslovanju, postopkih zaradi insolventnosti in prisilnem prenehanju;</w:t>
      </w:r>
    </w:p>
    <w:p w14:paraId="7743361A"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brezplačni pravni pomoči;</w:t>
      </w:r>
    </w:p>
    <w:p w14:paraId="687F84FF"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Uredbe o spremembah in dopolnitvah Uredbe o povračilu stroškov za službena potovanja v tujino;</w:t>
      </w:r>
    </w:p>
    <w:p w14:paraId="7F1E06B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pokojninskem in invalidskem zavarovanju;</w:t>
      </w:r>
    </w:p>
    <w:p w14:paraId="3DF4CA1D"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splošnem upravnem postopku;</w:t>
      </w:r>
    </w:p>
    <w:p w14:paraId="72FA8B61" w14:textId="77777777" w:rsidR="00695AE2" w:rsidRPr="00503014" w:rsidRDefault="00695AE2" w:rsidP="00695AE2">
      <w:pPr>
        <w:numPr>
          <w:ilvl w:val="0"/>
          <w:numId w:val="121"/>
        </w:numPr>
        <w:spacing w:after="160" w:line="240" w:lineRule="auto"/>
        <w:ind w:left="1068"/>
        <w:contextualSpacing/>
        <w:jc w:val="both"/>
        <w:rPr>
          <w:rFonts w:eastAsia="Calibri"/>
          <w:b/>
          <w:bCs/>
        </w:rPr>
      </w:pPr>
      <w:r w:rsidRPr="00503014">
        <w:rPr>
          <w:rFonts w:eastAsia="Calibri"/>
        </w:rPr>
        <w:t>Predloga osnutka novega člena Zakona o obnovi, razvoju in zagotavljanju finančnih sredstev;</w:t>
      </w:r>
    </w:p>
    <w:p w14:paraId="10C20812"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pravniškem državnem izpitu;</w:t>
      </w:r>
    </w:p>
    <w:p w14:paraId="7EBC4984"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javnih financah;</w:t>
      </w:r>
    </w:p>
    <w:p w14:paraId="185D48E3"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izvrševanju kazenskih sankcij;</w:t>
      </w:r>
    </w:p>
    <w:p w14:paraId="4DC1F0B9"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upravljanju začasno zavarovanega premoženja;</w:t>
      </w:r>
    </w:p>
    <w:p w14:paraId="243CD541"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Uredbe o povračilu stroškov za službena potovanja v tujino;</w:t>
      </w:r>
    </w:p>
    <w:p w14:paraId="4CCDF59B"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spremembah in dopolnitvah Zakona o odvetništvu;</w:t>
      </w:r>
    </w:p>
    <w:p w14:paraId="145410BB"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Uredbe o načinu zagotavljanja plačane pravne pomoči in založitve sredstev, potrebnih za plačilo sodnih taks in predujmov za stroške sodnega postopka javnim uslužbencem v državnih organih in upravah lokalnih skupnosti;</w:t>
      </w:r>
    </w:p>
    <w:p w14:paraId="78128C1B"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lastRenderedPageBreak/>
        <w:t>Predloga Uredbe o priznanjih in nagradah v organih državne uprave, pravosodnih organih in upravah lokalnih skupnosti;</w:t>
      </w:r>
    </w:p>
    <w:p w14:paraId="7A95CE28"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izvrševanju proračunov Republike Slovenije za leti 2026 in 2027;</w:t>
      </w:r>
    </w:p>
    <w:p w14:paraId="6012D987"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Pravilnika o podrobnejših vsebinah in času trajanja obveznega usposabljanja za imenovanje v naziv;</w:t>
      </w:r>
    </w:p>
    <w:p w14:paraId="4E2FF9C4"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Sprememb in dopolnitev Zakona o postopku sodnega varstva nekdanjih imetnikov kvalificiranih obveznosti bank;</w:t>
      </w:r>
    </w:p>
    <w:p w14:paraId="218DB95C"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Uredbe o notranji organizaciji, sistemizaciji, delovnih mestih in nazivih v organih javne uprave in v pravosodnih organih;</w:t>
      </w:r>
    </w:p>
    <w:p w14:paraId="550CBA24"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Zakona o plačah in drugih prejemkih javnih uslužbencev in funkcionarjev, povezanih z delom v tujini;</w:t>
      </w:r>
    </w:p>
    <w:p w14:paraId="644DC800"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Predloga Sklepa o prenehanju soglasja h kriterijem za sklepanje poravnav.</w:t>
      </w:r>
    </w:p>
    <w:p w14:paraId="16FE886F" w14:textId="77777777" w:rsidR="00695AE2" w:rsidRPr="00503014" w:rsidRDefault="00695AE2" w:rsidP="00695AE2">
      <w:pPr>
        <w:spacing w:line="240" w:lineRule="auto"/>
        <w:rPr>
          <w:rFonts w:eastAsia="Calibri" w:cs="Times New Roman"/>
          <w:sz w:val="28"/>
          <w:szCs w:val="28"/>
        </w:rPr>
      </w:pPr>
    </w:p>
    <w:p w14:paraId="3DC4DB66" w14:textId="77777777" w:rsidR="00695AE2" w:rsidRPr="00503014" w:rsidRDefault="00695AE2" w:rsidP="00695AE2">
      <w:pPr>
        <w:pStyle w:val="Naslov3"/>
      </w:pPr>
      <w:bookmarkStart w:id="480" w:name="_Toc191561896"/>
      <w:bookmarkStart w:id="481" w:name="_Toc223093894"/>
      <w:r w:rsidRPr="00503014">
        <w:t xml:space="preserve">Oblikovanje </w:t>
      </w:r>
      <w:r w:rsidRPr="00EF6933">
        <w:t>pravnega</w:t>
      </w:r>
      <w:r w:rsidRPr="00503014">
        <w:t xml:space="preserve"> mnenja na predlog drugih subjektov</w:t>
      </w:r>
      <w:bookmarkEnd w:id="479"/>
      <w:bookmarkEnd w:id="480"/>
      <w:bookmarkEnd w:id="481"/>
    </w:p>
    <w:p w14:paraId="4421A010" w14:textId="77777777" w:rsidR="00695AE2" w:rsidRPr="00503014" w:rsidRDefault="00695AE2" w:rsidP="00695AE2">
      <w:pPr>
        <w:spacing w:line="240" w:lineRule="auto"/>
        <w:jc w:val="both"/>
        <w:rPr>
          <w:rFonts w:eastAsia="Times New Roman"/>
          <w:sz w:val="28"/>
          <w:szCs w:val="28"/>
        </w:rPr>
      </w:pPr>
    </w:p>
    <w:p w14:paraId="59064EA4" w14:textId="77777777" w:rsidR="00695AE2" w:rsidRPr="00503014" w:rsidRDefault="00695AE2" w:rsidP="00695AE2">
      <w:pPr>
        <w:spacing w:line="240" w:lineRule="auto"/>
        <w:jc w:val="both"/>
        <w:rPr>
          <w:rFonts w:eastAsia="Times New Roman"/>
        </w:rPr>
      </w:pPr>
      <w:r w:rsidRPr="00503014">
        <w:rPr>
          <w:rFonts w:eastAsia="Times New Roman"/>
        </w:rPr>
        <w:t xml:space="preserve">Na podlagi 26. člena ZDOdv lahko javna agencija, javni sklad, javni zavod, javni gospodarski zavod, samoupravna lokalna skupnost, javno podjetje ali gospodarska družba, ki je v celoti v lasti države, predlaga, naj državno odvetništvo oblikuje posamezno pravno mnenje tudi zanje, vendar le v primeru, da gre za zadevo, ki ima neposredne posledice za javna sredstva. </w:t>
      </w:r>
    </w:p>
    <w:p w14:paraId="6203D8B2" w14:textId="77777777" w:rsidR="00695AE2" w:rsidRPr="00503014" w:rsidRDefault="00695AE2" w:rsidP="00695AE2">
      <w:pPr>
        <w:spacing w:line="240" w:lineRule="auto"/>
        <w:jc w:val="both"/>
        <w:rPr>
          <w:rFonts w:eastAsia="Times New Roman"/>
        </w:rPr>
      </w:pPr>
    </w:p>
    <w:p w14:paraId="489D0CD0" w14:textId="77777777" w:rsidR="00695AE2" w:rsidRPr="00503014" w:rsidRDefault="00695AE2" w:rsidP="00695AE2">
      <w:pPr>
        <w:spacing w:line="240" w:lineRule="auto"/>
        <w:jc w:val="both"/>
        <w:rPr>
          <w:rFonts w:eastAsia="Times New Roman"/>
        </w:rPr>
      </w:pPr>
      <w:r w:rsidRPr="00503014">
        <w:rPr>
          <w:rFonts w:eastAsia="Times New Roman"/>
        </w:rPr>
        <w:t xml:space="preserve">Oblikovanje pravnega mnenja po 26. členu ZDOdv Državno odvetništvo RS lahko odkloni z obrazloženim mnenjem generalnega državnega odvetnika, pri čemer pa lahko subjekt po prejemu takšne odklonitve v pomembnejših zadevah zahteva, naj o obveznosti oblikovanja mnenja Državnega odvetništva RS odloči Vlada RS. </w:t>
      </w:r>
    </w:p>
    <w:p w14:paraId="4C0173D5" w14:textId="77777777" w:rsidR="00695AE2" w:rsidRPr="00503014" w:rsidRDefault="00695AE2" w:rsidP="00695AE2">
      <w:pPr>
        <w:spacing w:line="240" w:lineRule="auto"/>
        <w:jc w:val="both"/>
        <w:rPr>
          <w:rFonts w:eastAsia="Times New Roman"/>
        </w:rPr>
      </w:pPr>
    </w:p>
    <w:p w14:paraId="6EC59E46" w14:textId="77777777" w:rsidR="00695AE2" w:rsidRPr="00503014" w:rsidRDefault="00695AE2" w:rsidP="00695AE2">
      <w:pPr>
        <w:spacing w:line="240" w:lineRule="auto"/>
        <w:jc w:val="both"/>
        <w:rPr>
          <w:rFonts w:eastAsia="Calibri"/>
        </w:rPr>
      </w:pPr>
      <w:r w:rsidRPr="00503014">
        <w:rPr>
          <w:rFonts w:eastAsia="Calibri"/>
        </w:rPr>
        <w:t xml:space="preserve">Državno odvetništvo RS po prejemu predloga po 26. členu ZDOdv najprej preveri, ali so v posameznem primeru izpolnjeni zakonski pogoji za izdajo predlaganega pravnega mnenja. Pri tem ugotavlja, ali je predlog dal </w:t>
      </w:r>
      <w:r w:rsidRPr="00503014">
        <w:rPr>
          <w:rFonts w:eastAsia="Calibri"/>
          <w:i/>
          <w:iCs/>
        </w:rPr>
        <w:t>upravičen organ</w:t>
      </w:r>
      <w:r w:rsidRPr="00503014">
        <w:rPr>
          <w:rFonts w:eastAsia="Calibri"/>
        </w:rPr>
        <w:t xml:space="preserve">. Po vpogledu v javno dostopne evidence se ugotovi, ali je predlagatelj vpisan kot upravičeni predlagatelj in ali je Republika Slovenija edini družbenik/delničar. Če je navedeno ugotovljeno, pomeni, da je prvi pogoj za izdajo pravnega menja izpolnjen. V nadaljevanju Državno odvetništvo RS presoja, ali je izpolnjen drugi pogoj za predložitev pravnega mnenja, in sicer, </w:t>
      </w:r>
      <w:r w:rsidRPr="00503014">
        <w:rPr>
          <w:rFonts w:eastAsia="Calibri"/>
          <w:i/>
          <w:iCs/>
        </w:rPr>
        <w:t>ali se vsebina pravnega mnenja navezuje na varstvo premoženjskih in drugih pravic in interesov, ki ima neposredne posledice za javna sredstva</w:t>
      </w:r>
      <w:r w:rsidRPr="00503014">
        <w:rPr>
          <w:rFonts w:eastAsia="Calibri"/>
        </w:rPr>
        <w:t xml:space="preserve">. Kot zadnji pogoj, ki ga presoja Državno odvetništvo RS pred predložitvijo pravnega mnenja, je razrešitev vprašanja v zvezi z morebitno </w:t>
      </w:r>
      <w:r w:rsidRPr="00503014">
        <w:rPr>
          <w:rFonts w:eastAsia="Calibri"/>
          <w:i/>
          <w:iCs/>
        </w:rPr>
        <w:t>kolizijo interesov</w:t>
      </w:r>
      <w:r w:rsidRPr="00503014">
        <w:rPr>
          <w:rFonts w:eastAsia="Calibri"/>
        </w:rPr>
        <w:t xml:space="preserve">. Skladno z določbo 10. člena ZDOdv namreč državno odvetništvo v primeru, da bi moralo izvrševati svoje zakonsko določene pristojnosti v določeni zadevi za subjekte, katerih koristi in interesi si nasprotujejo, opravlja strokovne naloge za Republiko Slovenijo. </w:t>
      </w:r>
      <w:r w:rsidRPr="00503014">
        <w:rPr>
          <w:rFonts w:eastAsia="Times New Roman"/>
        </w:rPr>
        <w:t xml:space="preserve">Pri oblikovanju pravnega mnenja Državno odvetništvo RS tako najprej upošteva interese Republike Slovenije oziroma javnih sredstev in ne interesov teh subjektov, kar je popolnoma v skladu z vlogo Državnega odvetništva RS po ZDOdv. </w:t>
      </w:r>
    </w:p>
    <w:p w14:paraId="2E55D2D9" w14:textId="77777777" w:rsidR="00695AE2" w:rsidRPr="00503014" w:rsidRDefault="00695AE2" w:rsidP="00695AE2">
      <w:pPr>
        <w:spacing w:line="240" w:lineRule="auto"/>
        <w:jc w:val="both"/>
        <w:rPr>
          <w:rFonts w:eastAsia="Calibri"/>
        </w:rPr>
      </w:pPr>
      <w:r w:rsidRPr="00503014">
        <w:rPr>
          <w:rFonts w:eastAsia="Calibri"/>
        </w:rPr>
        <w:t xml:space="preserve"> </w:t>
      </w:r>
    </w:p>
    <w:p w14:paraId="2D86AC92" w14:textId="77777777" w:rsidR="00695AE2" w:rsidRPr="00503014" w:rsidRDefault="00695AE2" w:rsidP="00695AE2">
      <w:pPr>
        <w:spacing w:line="240" w:lineRule="auto"/>
        <w:jc w:val="both"/>
        <w:rPr>
          <w:rFonts w:eastAsia="Calibri"/>
          <w:szCs w:val="22"/>
        </w:rPr>
      </w:pPr>
      <w:r w:rsidRPr="00503014">
        <w:rPr>
          <w:rFonts w:eastAsia="Times New Roman"/>
        </w:rPr>
        <w:t xml:space="preserve">Po določbi 26. člena ZDOdv je bilo v letu 2025 prejetih 6 predlogov (v letu 2024 12 predlogov) za oblikovanje posameznih pravnih mnenj javnopravnim subjektom iz tega člena. </w:t>
      </w:r>
      <w:r w:rsidRPr="00503014">
        <w:rPr>
          <w:rFonts w:eastAsia="Calibri"/>
          <w:szCs w:val="22"/>
        </w:rPr>
        <w:t>Glede na prejšnje leto je torej v letu 2025 prišlo do upada vložitev predlogov za oblikovanje pravnih mnenj na podlagi prvega odstavka 26. člena ZDOdv, in sicer za 50 %.</w:t>
      </w:r>
    </w:p>
    <w:p w14:paraId="2297196F" w14:textId="77777777" w:rsidR="00695AE2" w:rsidRPr="00503014" w:rsidRDefault="00695AE2" w:rsidP="00695AE2">
      <w:pPr>
        <w:spacing w:line="240" w:lineRule="auto"/>
        <w:jc w:val="both"/>
        <w:rPr>
          <w:rFonts w:eastAsia="Calibri"/>
        </w:rPr>
      </w:pPr>
    </w:p>
    <w:p w14:paraId="19B77A3D" w14:textId="77777777" w:rsidR="00695AE2" w:rsidRPr="00503014" w:rsidRDefault="00695AE2" w:rsidP="00695AE2">
      <w:pPr>
        <w:spacing w:line="240" w:lineRule="auto"/>
        <w:jc w:val="both"/>
        <w:rPr>
          <w:rFonts w:eastAsia="Calibri"/>
        </w:rPr>
      </w:pPr>
      <w:r w:rsidRPr="00503014">
        <w:rPr>
          <w:rFonts w:eastAsia="Calibri"/>
        </w:rPr>
        <w:lastRenderedPageBreak/>
        <w:t>Državno odvetništvo RS je ugotovilo, da so izpolnjeni pogoji za oblikovanje posameznega pravnega mnenja, povezanega z varstvom njenih premoženjskih in drugih pravic in interesov, če gre za zadevo, ki ima neposredne posledice za javna sredstva v skladu z določbo prvega odstavka 26. člena ZDOdv:</w:t>
      </w:r>
    </w:p>
    <w:p w14:paraId="2ED93181" w14:textId="77777777" w:rsidR="00695AE2" w:rsidRPr="00503014" w:rsidRDefault="00695AE2" w:rsidP="00695AE2">
      <w:pPr>
        <w:spacing w:line="240" w:lineRule="auto"/>
        <w:jc w:val="both"/>
        <w:rPr>
          <w:rFonts w:eastAsia="Calibri"/>
        </w:rPr>
      </w:pPr>
    </w:p>
    <w:p w14:paraId="5D4CF64E"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v zvezi z vprašanjem O</w:t>
      </w:r>
      <w:r w:rsidRPr="00503014">
        <w:rPr>
          <w:rFonts w:eastAsia="Calibri"/>
          <w:i/>
          <w:iCs/>
        </w:rPr>
        <w:t>bčine Sveti Jurij ob Ščavnici</w:t>
      </w:r>
      <w:r w:rsidRPr="00503014">
        <w:rPr>
          <w:rFonts w:eastAsia="Calibri"/>
        </w:rPr>
        <w:t xml:space="preserve"> o vodovodni oskrbi na območju občine Sveti Jurij ob Ščavnici na območju Prlekije, "Oskrba s pitno vodo Pomurja - Sistem C"; </w:t>
      </w:r>
    </w:p>
    <w:p w14:paraId="6C92035F"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 xml:space="preserve">v zvezi z vprašanjem </w:t>
      </w:r>
      <w:r w:rsidRPr="00503014">
        <w:rPr>
          <w:rFonts w:eastAsia="Calibri"/>
          <w:i/>
          <w:iCs/>
        </w:rPr>
        <w:t>Doma starejših Lendava</w:t>
      </w:r>
      <w:r w:rsidRPr="00503014">
        <w:rPr>
          <w:rFonts w:eastAsia="Calibri"/>
        </w:rPr>
        <w:t xml:space="preserve"> v zvezi s Predlogom za povišanje cene storitev v skladu z Metodologijo za oblikovanje cen socialnovarstvenih storitev;</w:t>
      </w:r>
    </w:p>
    <w:p w14:paraId="38984913"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 xml:space="preserve">v zvezi z vprašanjem </w:t>
      </w:r>
      <w:r w:rsidRPr="00503014">
        <w:rPr>
          <w:rFonts w:eastAsia="Calibri"/>
          <w:i/>
          <w:iCs/>
        </w:rPr>
        <w:t>Sklada kmetijskih zemljišč in gozdov</w:t>
      </w:r>
      <w:r w:rsidRPr="00503014">
        <w:rPr>
          <w:rFonts w:eastAsia="Calibri"/>
        </w:rPr>
        <w:t xml:space="preserve"> o vprašanju aktivne legitimacije SKZG;</w:t>
      </w:r>
    </w:p>
    <w:p w14:paraId="45383797"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 xml:space="preserve">v zvezi z vprašanjem </w:t>
      </w:r>
      <w:r w:rsidRPr="00503014">
        <w:rPr>
          <w:rFonts w:eastAsia="Calibri"/>
          <w:i/>
          <w:iCs/>
        </w:rPr>
        <w:t>Sklada kmetijskih zemljišč in gozdov</w:t>
      </w:r>
      <w:r w:rsidRPr="00503014">
        <w:rPr>
          <w:rFonts w:eastAsia="Calibri"/>
        </w:rPr>
        <w:t xml:space="preserve"> o vprašanju uskladitve zemljiškoknjižnega stanja z dejanskim;</w:t>
      </w:r>
    </w:p>
    <w:p w14:paraId="18B985F5" w14:textId="77777777" w:rsidR="00695AE2" w:rsidRPr="00503014" w:rsidRDefault="00695AE2" w:rsidP="00695AE2">
      <w:pPr>
        <w:numPr>
          <w:ilvl w:val="0"/>
          <w:numId w:val="121"/>
        </w:numPr>
        <w:spacing w:after="160" w:line="240" w:lineRule="auto"/>
        <w:ind w:left="1068"/>
        <w:contextualSpacing/>
        <w:jc w:val="both"/>
        <w:rPr>
          <w:rFonts w:eastAsia="Calibri"/>
        </w:rPr>
      </w:pPr>
      <w:r w:rsidRPr="00503014">
        <w:rPr>
          <w:rFonts w:eastAsia="Calibri"/>
        </w:rPr>
        <w:t xml:space="preserve">v zvezi z vprašanjem </w:t>
      </w:r>
      <w:r w:rsidRPr="00503014">
        <w:rPr>
          <w:rFonts w:eastAsia="Calibri"/>
          <w:i/>
          <w:iCs/>
        </w:rPr>
        <w:t>Sklada kmetijskih zemljišč in gozdov</w:t>
      </w:r>
      <w:r w:rsidRPr="00503014">
        <w:rPr>
          <w:rFonts w:eastAsia="Calibri"/>
        </w:rPr>
        <w:t xml:space="preserve"> o izbrisu prepovedi odtujitve iz zemljiške knjige. </w:t>
      </w:r>
    </w:p>
    <w:p w14:paraId="2054C346" w14:textId="77777777" w:rsidR="00695AE2" w:rsidRPr="00503014" w:rsidRDefault="00695AE2" w:rsidP="00695AE2">
      <w:pPr>
        <w:spacing w:line="240" w:lineRule="auto"/>
        <w:ind w:left="1068"/>
        <w:contextualSpacing/>
        <w:jc w:val="both"/>
        <w:rPr>
          <w:rFonts w:eastAsia="Calibri"/>
        </w:rPr>
      </w:pPr>
    </w:p>
    <w:p w14:paraId="6ED421E7" w14:textId="77777777" w:rsidR="00695AE2" w:rsidRPr="00503014" w:rsidRDefault="00695AE2" w:rsidP="00695AE2">
      <w:pPr>
        <w:spacing w:line="240" w:lineRule="auto"/>
        <w:jc w:val="both"/>
        <w:rPr>
          <w:rFonts w:eastAsia="Calibri"/>
        </w:rPr>
      </w:pPr>
      <w:r w:rsidRPr="00503014">
        <w:rPr>
          <w:rFonts w:eastAsia="Calibri"/>
        </w:rPr>
        <w:t xml:space="preserve">Državno odvetništvo je v letu 2025 v eni zadevi odklonilo izdajo pravnega mnenja po tem členu, in sicer članu sveta Agencije za energijo Republike Slovenije v zvezi z dilemo o pravilnosti dveh različnih stališč, saj ni ugotovilo izpolnjevanja pogojev za izdajo mnenja. Tako ni bil izpolnjen že formalni pogoj, saj predloga za oblikovanje pravnega mnenja ni podal upravičen organ, kar pomeni, da pogoji za podajo mnenja po 26. členu ZDOdv niso bili izpolnjeni.  </w:t>
      </w:r>
    </w:p>
    <w:p w14:paraId="5B259413" w14:textId="77777777" w:rsidR="00695AE2" w:rsidRPr="00503014" w:rsidRDefault="00695AE2" w:rsidP="00695AE2">
      <w:pPr>
        <w:spacing w:line="240" w:lineRule="auto"/>
        <w:jc w:val="both"/>
        <w:rPr>
          <w:rFonts w:eastAsia="Calibri"/>
          <w:sz w:val="28"/>
          <w:szCs w:val="28"/>
        </w:rPr>
      </w:pPr>
      <w:r w:rsidRPr="00503014">
        <w:rPr>
          <w:rFonts w:eastAsia="Calibri"/>
        </w:rPr>
        <w:t xml:space="preserve"> </w:t>
      </w:r>
    </w:p>
    <w:p w14:paraId="4BAE922A" w14:textId="77777777" w:rsidR="00695AE2" w:rsidRPr="00503014" w:rsidRDefault="00695AE2" w:rsidP="00695AE2">
      <w:pPr>
        <w:pStyle w:val="Naslov3"/>
      </w:pPr>
      <w:bookmarkStart w:id="482" w:name="_Toc168844904"/>
      <w:bookmarkStart w:id="483" w:name="_Toc191561897"/>
      <w:bookmarkStart w:id="484" w:name="_Toc223093895"/>
      <w:r w:rsidRPr="00503014">
        <w:t>Oblikovanje priporočil Državnega odvetništva Republike Slovenije</w:t>
      </w:r>
      <w:bookmarkEnd w:id="482"/>
      <w:bookmarkEnd w:id="483"/>
      <w:bookmarkEnd w:id="484"/>
    </w:p>
    <w:p w14:paraId="032A395E" w14:textId="77777777" w:rsidR="00695AE2" w:rsidRPr="00503014" w:rsidRDefault="00695AE2" w:rsidP="00695AE2">
      <w:pPr>
        <w:spacing w:line="240" w:lineRule="auto"/>
        <w:jc w:val="both"/>
        <w:rPr>
          <w:rFonts w:eastAsia="Calibri"/>
          <w:sz w:val="28"/>
          <w:szCs w:val="28"/>
        </w:rPr>
      </w:pPr>
    </w:p>
    <w:p w14:paraId="05E7720A" w14:textId="77777777" w:rsidR="00695AE2" w:rsidRPr="00503014" w:rsidRDefault="00695AE2" w:rsidP="00695AE2">
      <w:pPr>
        <w:spacing w:line="240" w:lineRule="auto"/>
        <w:jc w:val="both"/>
        <w:rPr>
          <w:rFonts w:eastAsia="Calibri"/>
          <w:szCs w:val="22"/>
        </w:rPr>
      </w:pPr>
      <w:r w:rsidRPr="00503014">
        <w:rPr>
          <w:rFonts w:eastAsia="Calibri"/>
          <w:szCs w:val="22"/>
        </w:rPr>
        <w:t xml:space="preserve">Svetovalno-analitični oddelek z namenom večje učinkovitosti poslovanja Republike Slovenije in proaktivnega delovanja Državnega odvetništva RS v smeri zaščite premoženjskih in drugih interesov Republike Slovenije ter krepitve pravne države in varovanja javnega interesa oblikuje tudi priporočila. Uvaja se namreč praksa preventivnega izdajanja priporočil državnim organom z namenom zaščite interesov Republike Slovenije pri njenem poslovanju in sklepanju pogodb ter hkrati zaščite proračunskih sredstev. </w:t>
      </w:r>
    </w:p>
    <w:p w14:paraId="1B0EA787" w14:textId="77777777" w:rsidR="00695AE2" w:rsidRPr="00503014" w:rsidRDefault="00695AE2" w:rsidP="00695AE2">
      <w:pPr>
        <w:spacing w:line="240" w:lineRule="auto"/>
        <w:jc w:val="both"/>
        <w:rPr>
          <w:rFonts w:eastAsia="Calibri"/>
          <w:szCs w:val="22"/>
        </w:rPr>
      </w:pPr>
    </w:p>
    <w:p w14:paraId="1C3DB1DD" w14:textId="77777777" w:rsidR="00695AE2" w:rsidRPr="00503014" w:rsidRDefault="00695AE2" w:rsidP="00695AE2">
      <w:pPr>
        <w:spacing w:line="240" w:lineRule="auto"/>
        <w:jc w:val="both"/>
        <w:rPr>
          <w:rFonts w:eastAsia="Calibri"/>
          <w:szCs w:val="22"/>
        </w:rPr>
      </w:pPr>
      <w:r w:rsidRPr="00503014">
        <w:rPr>
          <w:rFonts w:eastAsia="Calibri"/>
          <w:szCs w:val="22"/>
        </w:rPr>
        <w:t>Državno odvetništvo RS oblikuje priporočila v primerih, ko ob izvrševanju svojih rednih pristojnosti in izvajanju nalog zazna pravno problematiko, za katero meni, da je oziroma bi lahko bila sporna, s pravilnim pravnim postopanjem pa bi se lahko izognili kasnejšim pravnim sporom in finančnim odlivom iz proračuna. V takšnih primerih na možnost izognitve sporom z izoblikovanimi predlogi postopanja Državno odvetništvo RS opozori pristojne organe. S sledenjem priporočilom se bodo lahko določena finančna tveganja države pri njenem poslovanju vnaprej obvladala oziroma se bodo pogodbe oblikovale tako, da bodo v največji možni meri zavarovani premoženjski interesi in druge pravice in interesi Republike Slovenije.</w:t>
      </w:r>
    </w:p>
    <w:p w14:paraId="05DD2EFD" w14:textId="77777777" w:rsidR="00695AE2" w:rsidRPr="00503014" w:rsidRDefault="00695AE2" w:rsidP="00695AE2">
      <w:pPr>
        <w:spacing w:line="240" w:lineRule="auto"/>
        <w:jc w:val="both"/>
        <w:rPr>
          <w:rFonts w:eastAsia="Calibri"/>
          <w:szCs w:val="22"/>
        </w:rPr>
      </w:pPr>
    </w:p>
    <w:p w14:paraId="11604484" w14:textId="77777777" w:rsidR="00695AE2" w:rsidRPr="00503014" w:rsidRDefault="00695AE2" w:rsidP="00695AE2">
      <w:pPr>
        <w:spacing w:line="240" w:lineRule="auto"/>
        <w:jc w:val="both"/>
        <w:rPr>
          <w:rFonts w:eastAsia="Calibri"/>
          <w:szCs w:val="22"/>
        </w:rPr>
      </w:pPr>
      <w:r w:rsidRPr="00503014">
        <w:rPr>
          <w:rFonts w:eastAsia="Calibri"/>
          <w:szCs w:val="22"/>
        </w:rPr>
        <w:t>Predvideno je, da kdor koli na Državnem odvetništvu RS, predvsem pa Svetovalno-analitični oddelek, ki zazna morebitno pomembno pravno vprašanje, ki ga je treba izpostaviti za zaščito interesov Republike Slovenije, pripravi predlog priporočila, ki se obravnava na seji Svetovalno-analitičnega oddelka ob sodelovanju specializiranega oddelka državnega odvetništva, dokončno pa se bo priporočilo obravnavalo na kolegiju državnega odvetništva.</w:t>
      </w:r>
    </w:p>
    <w:p w14:paraId="3531384F" w14:textId="77777777" w:rsidR="00695AE2" w:rsidRPr="00503014" w:rsidRDefault="00695AE2" w:rsidP="00695AE2">
      <w:pPr>
        <w:spacing w:line="240" w:lineRule="auto"/>
        <w:jc w:val="both"/>
        <w:rPr>
          <w:rFonts w:eastAsia="Calibri"/>
          <w:szCs w:val="22"/>
        </w:rPr>
      </w:pPr>
    </w:p>
    <w:p w14:paraId="3C4A014F" w14:textId="77777777" w:rsidR="00695AE2" w:rsidRPr="00503014" w:rsidRDefault="00695AE2" w:rsidP="00695AE2">
      <w:pPr>
        <w:spacing w:line="240" w:lineRule="auto"/>
        <w:jc w:val="both"/>
        <w:rPr>
          <w:rFonts w:eastAsia="Calibri"/>
          <w:szCs w:val="22"/>
        </w:rPr>
      </w:pPr>
      <w:r w:rsidRPr="00503014">
        <w:rPr>
          <w:rFonts w:eastAsia="Calibri"/>
          <w:szCs w:val="22"/>
        </w:rPr>
        <w:lastRenderedPageBreak/>
        <w:t xml:space="preserve">V letu 2025 so bila izdana 4 priporočila (v letu 2024 3 priporočila). </w:t>
      </w:r>
    </w:p>
    <w:p w14:paraId="7E210448" w14:textId="77777777" w:rsidR="00695AE2" w:rsidRPr="00503014" w:rsidRDefault="00695AE2" w:rsidP="00695AE2">
      <w:pPr>
        <w:spacing w:line="240" w:lineRule="auto"/>
        <w:jc w:val="both"/>
        <w:rPr>
          <w:rFonts w:eastAsia="Calibri"/>
        </w:rPr>
      </w:pPr>
    </w:p>
    <w:p w14:paraId="53AE38BD" w14:textId="77777777" w:rsidR="00695AE2" w:rsidRPr="00503014" w:rsidRDefault="00695AE2" w:rsidP="00695AE2">
      <w:pPr>
        <w:spacing w:line="240" w:lineRule="auto"/>
        <w:jc w:val="both"/>
        <w:rPr>
          <w:rFonts w:eastAsia="Calibri"/>
        </w:rPr>
      </w:pPr>
      <w:r w:rsidRPr="00503014">
        <w:rPr>
          <w:rFonts w:eastAsia="Calibri"/>
        </w:rPr>
        <w:t>Prvo priporočilo se je nanašalo na predloge za dopolnitev oziroma spremembo Zakona o davčnem postopku (ZDavP-2).  Drugo priporočilo se je nanašalo na smernice za uveljavljanje pravice do popravka ali odgovora po Zakonu o medijih. Tretje priporočilo se je nanašalo na obravnavanje vprašanja v zvezi z zahtevo po ZDIJZ o  možnosti pridobitve oblikovanega mnenja Državnega odvetništva RS. Zadnje priporočilo se je nanašalo na odškodninsko odgovornost v pred pogodbeni fazi postopka javnega naročanja.</w:t>
      </w:r>
    </w:p>
    <w:p w14:paraId="5DC38ACB" w14:textId="77777777" w:rsidR="00695AE2" w:rsidRPr="00503014" w:rsidRDefault="00695AE2" w:rsidP="00695AE2">
      <w:pPr>
        <w:spacing w:line="240" w:lineRule="auto"/>
        <w:jc w:val="both"/>
        <w:rPr>
          <w:rFonts w:eastAsia="Calibri"/>
          <w:sz w:val="28"/>
          <w:szCs w:val="28"/>
        </w:rPr>
      </w:pPr>
    </w:p>
    <w:p w14:paraId="31B0694F" w14:textId="77777777" w:rsidR="00695AE2" w:rsidRPr="00503014" w:rsidRDefault="00695AE2" w:rsidP="00695AE2">
      <w:pPr>
        <w:pStyle w:val="Naslov3"/>
      </w:pPr>
      <w:bookmarkStart w:id="485" w:name="_Toc191561898"/>
      <w:bookmarkStart w:id="486" w:name="_Toc223093896"/>
      <w:r w:rsidRPr="00503014">
        <w:t>Oblikovanje internih pravnih mnenj</w:t>
      </w:r>
      <w:bookmarkEnd w:id="485"/>
      <w:bookmarkEnd w:id="486"/>
    </w:p>
    <w:p w14:paraId="57C4D430" w14:textId="77777777" w:rsidR="00695AE2" w:rsidRPr="00503014" w:rsidRDefault="00695AE2" w:rsidP="00695AE2">
      <w:pPr>
        <w:spacing w:line="240" w:lineRule="auto"/>
        <w:jc w:val="both"/>
        <w:rPr>
          <w:rFonts w:eastAsia="Calibri"/>
          <w:sz w:val="28"/>
          <w:szCs w:val="28"/>
        </w:rPr>
      </w:pPr>
    </w:p>
    <w:p w14:paraId="350D2322" w14:textId="77777777" w:rsidR="00695AE2" w:rsidRPr="00503014" w:rsidRDefault="00695AE2" w:rsidP="00695AE2">
      <w:pPr>
        <w:spacing w:line="240" w:lineRule="auto"/>
        <w:jc w:val="both"/>
        <w:rPr>
          <w:rFonts w:eastAsia="Calibri"/>
          <w:szCs w:val="22"/>
        </w:rPr>
      </w:pPr>
      <w:r w:rsidRPr="00503014">
        <w:rPr>
          <w:rFonts w:eastAsia="Calibri"/>
          <w:szCs w:val="22"/>
        </w:rPr>
        <w:t xml:space="preserve">Svetovalno-analitični oddelek podaja interna pravna mnenja kot delovno gradivo kolegija državnega odvetništva. </w:t>
      </w:r>
    </w:p>
    <w:p w14:paraId="5409A631" w14:textId="77777777" w:rsidR="00695AE2" w:rsidRPr="00503014" w:rsidRDefault="00695AE2" w:rsidP="00695AE2">
      <w:pPr>
        <w:spacing w:line="240" w:lineRule="auto"/>
        <w:jc w:val="both"/>
        <w:rPr>
          <w:rFonts w:eastAsia="Calibri"/>
          <w:szCs w:val="22"/>
        </w:rPr>
      </w:pPr>
    </w:p>
    <w:p w14:paraId="113993A6" w14:textId="77777777" w:rsidR="00695AE2" w:rsidRPr="00503014" w:rsidRDefault="00695AE2" w:rsidP="00695AE2">
      <w:pPr>
        <w:spacing w:line="240" w:lineRule="auto"/>
        <w:jc w:val="both"/>
        <w:rPr>
          <w:rFonts w:eastAsia="Calibri"/>
          <w:vanish/>
        </w:rPr>
      </w:pPr>
      <w:r w:rsidRPr="00503014">
        <w:rPr>
          <w:rFonts w:eastAsia="Calibri"/>
          <w:szCs w:val="22"/>
        </w:rPr>
        <w:t>V letu 2025 so bila izdana 4  interna pravna mnenja (v letu 2024 6 internih pravnih mnenj), in sicer:</w:t>
      </w:r>
    </w:p>
    <w:p w14:paraId="68E205B8" w14:textId="77777777" w:rsidR="00695AE2" w:rsidRPr="00503014" w:rsidRDefault="00695AE2" w:rsidP="00695AE2">
      <w:pPr>
        <w:spacing w:line="240" w:lineRule="auto"/>
        <w:jc w:val="both"/>
        <w:rPr>
          <w:rFonts w:eastAsia="Calibri"/>
        </w:rPr>
      </w:pPr>
    </w:p>
    <w:p w14:paraId="42024972" w14:textId="77777777" w:rsidR="00695AE2" w:rsidRPr="00503014" w:rsidRDefault="00695AE2" w:rsidP="00695AE2">
      <w:pPr>
        <w:numPr>
          <w:ilvl w:val="0"/>
          <w:numId w:val="136"/>
        </w:numPr>
        <w:spacing w:after="160" w:line="240" w:lineRule="auto"/>
        <w:contextualSpacing/>
        <w:jc w:val="both"/>
        <w:rPr>
          <w:rFonts w:eastAsia="Calibri"/>
        </w:rPr>
      </w:pPr>
      <w:r w:rsidRPr="00503014">
        <w:rPr>
          <w:rFonts w:eastAsia="Calibri"/>
        </w:rPr>
        <w:t xml:space="preserve">v zvezi z znaki prekrška nedostojnega vedenja iz drugega odstavka 7. člena Zakona o javnem redu in miru v povezavi s 5. točko prvega odstavka 2. člena Zakona o javnem redu in miru; </w:t>
      </w:r>
    </w:p>
    <w:p w14:paraId="6CC87FF1" w14:textId="77777777" w:rsidR="00695AE2" w:rsidRPr="00503014" w:rsidRDefault="00695AE2" w:rsidP="00695AE2">
      <w:pPr>
        <w:numPr>
          <w:ilvl w:val="0"/>
          <w:numId w:val="136"/>
        </w:numPr>
        <w:spacing w:after="160" w:line="240" w:lineRule="auto"/>
        <w:contextualSpacing/>
        <w:jc w:val="both"/>
        <w:rPr>
          <w:rFonts w:eastAsia="Calibri"/>
        </w:rPr>
      </w:pPr>
      <w:r w:rsidRPr="00503014">
        <w:rPr>
          <w:rFonts w:eastAsia="Calibri"/>
        </w:rPr>
        <w:t>v zvezi z Navodili za delo na upravnem oddelku;</w:t>
      </w:r>
    </w:p>
    <w:p w14:paraId="62E11F1C" w14:textId="77777777" w:rsidR="00695AE2" w:rsidRPr="00503014" w:rsidRDefault="00695AE2" w:rsidP="00695AE2">
      <w:pPr>
        <w:numPr>
          <w:ilvl w:val="0"/>
          <w:numId w:val="136"/>
        </w:numPr>
        <w:spacing w:after="160" w:line="240" w:lineRule="auto"/>
        <w:contextualSpacing/>
        <w:jc w:val="both"/>
        <w:rPr>
          <w:rFonts w:eastAsia="Calibri"/>
        </w:rPr>
      </w:pPr>
      <w:r w:rsidRPr="00503014">
        <w:rPr>
          <w:rFonts w:eastAsia="Calibri"/>
        </w:rPr>
        <w:t>v zvezi s Predlogom uredbe o načinu zagotavljanja plačane pravne pomoči in založitve sredstev;</w:t>
      </w:r>
    </w:p>
    <w:p w14:paraId="71735800" w14:textId="77777777" w:rsidR="00695AE2" w:rsidRPr="00503014" w:rsidRDefault="00695AE2" w:rsidP="00695AE2">
      <w:pPr>
        <w:numPr>
          <w:ilvl w:val="0"/>
          <w:numId w:val="137"/>
        </w:numPr>
        <w:spacing w:after="160" w:line="240" w:lineRule="auto"/>
        <w:contextualSpacing/>
        <w:jc w:val="both"/>
        <w:rPr>
          <w:rFonts w:eastAsia="Calibri"/>
        </w:rPr>
      </w:pPr>
      <w:r w:rsidRPr="00503014">
        <w:rPr>
          <w:rFonts w:eastAsia="Calibri"/>
        </w:rPr>
        <w:t>v zvezi z opcijo zaposlitve 80-90-100.</w:t>
      </w:r>
    </w:p>
    <w:p w14:paraId="7103E83D" w14:textId="77777777" w:rsidR="00695AE2" w:rsidRPr="00503014" w:rsidRDefault="00695AE2" w:rsidP="00695AE2">
      <w:pPr>
        <w:spacing w:line="240" w:lineRule="auto"/>
        <w:jc w:val="both"/>
        <w:rPr>
          <w:rFonts w:eastAsia="Calibri"/>
          <w:sz w:val="32"/>
          <w:szCs w:val="32"/>
        </w:rPr>
      </w:pPr>
    </w:p>
    <w:p w14:paraId="3DF17042" w14:textId="77777777" w:rsidR="00695AE2" w:rsidRPr="00503014" w:rsidRDefault="00695AE2" w:rsidP="00695AE2">
      <w:pPr>
        <w:pStyle w:val="Naslov2"/>
        <w:ind w:left="0" w:firstLine="0"/>
      </w:pPr>
      <w:bookmarkStart w:id="487" w:name="_Toc168844905"/>
      <w:bookmarkStart w:id="488" w:name="_Toc191561900"/>
      <w:bookmarkStart w:id="489" w:name="_Toc223093897"/>
      <w:r w:rsidRPr="00503014">
        <w:t>Zastopanje in oblikovanje pravnih mnenj – zbirni statistični pregled</w:t>
      </w:r>
      <w:bookmarkEnd w:id="487"/>
      <w:bookmarkEnd w:id="488"/>
      <w:bookmarkEnd w:id="489"/>
    </w:p>
    <w:p w14:paraId="726C76CE" w14:textId="77777777" w:rsidR="00695AE2" w:rsidRPr="00503014" w:rsidRDefault="00695AE2" w:rsidP="00695AE2">
      <w:pPr>
        <w:spacing w:line="240" w:lineRule="auto"/>
        <w:jc w:val="both"/>
        <w:rPr>
          <w:rFonts w:eastAsia="Calibri"/>
          <w:b/>
          <w:color w:val="007466"/>
          <w:sz w:val="32"/>
          <w:szCs w:val="32"/>
        </w:rPr>
      </w:pPr>
    </w:p>
    <w:p w14:paraId="4616AD14"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Tabela 12: Zastopanje in oblikovanje pravnih mnenj ZBIRNO</w:t>
      </w:r>
    </w:p>
    <w:p w14:paraId="6EFAB600" w14:textId="77777777" w:rsidR="00695AE2" w:rsidRPr="00503014" w:rsidRDefault="00695AE2" w:rsidP="00695AE2">
      <w:pPr>
        <w:spacing w:line="240" w:lineRule="auto"/>
        <w:jc w:val="both"/>
        <w:rPr>
          <w:rFonts w:eastAsia="Calibri"/>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5AF6E38A" w14:textId="77777777" w:rsidTr="00980493">
        <w:tc>
          <w:tcPr>
            <w:tcW w:w="2265" w:type="dxa"/>
          </w:tcPr>
          <w:p w14:paraId="232500C2"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področje dela</w:t>
            </w:r>
          </w:p>
        </w:tc>
        <w:tc>
          <w:tcPr>
            <w:tcW w:w="2265" w:type="dxa"/>
            <w:gridSpan w:val="2"/>
          </w:tcPr>
          <w:p w14:paraId="5D9AD589"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vloženih</w:t>
            </w:r>
          </w:p>
        </w:tc>
        <w:tc>
          <w:tcPr>
            <w:tcW w:w="2266" w:type="dxa"/>
          </w:tcPr>
          <w:p w14:paraId="17FED86A"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ugodenih predlogov</w:t>
            </w:r>
          </w:p>
        </w:tc>
        <w:tc>
          <w:tcPr>
            <w:tcW w:w="2266" w:type="dxa"/>
          </w:tcPr>
          <w:p w14:paraId="26C126B6"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odklonjenih predlogov</w:t>
            </w:r>
          </w:p>
        </w:tc>
      </w:tr>
      <w:tr w:rsidR="00695AE2" w:rsidRPr="00503014" w14:paraId="3ABE7800" w14:textId="77777777" w:rsidTr="00980493">
        <w:tc>
          <w:tcPr>
            <w:tcW w:w="2265" w:type="dxa"/>
          </w:tcPr>
          <w:p w14:paraId="4C8413A7" w14:textId="77777777" w:rsidR="00695AE2" w:rsidRPr="00503014" w:rsidRDefault="00695AE2" w:rsidP="00980493">
            <w:pPr>
              <w:jc w:val="center"/>
              <w:rPr>
                <w:rFonts w:eastAsia="Calibri" w:cs="Calibri"/>
                <w:sz w:val="20"/>
                <w:szCs w:val="20"/>
              </w:rPr>
            </w:pPr>
          </w:p>
        </w:tc>
        <w:tc>
          <w:tcPr>
            <w:tcW w:w="1132" w:type="dxa"/>
          </w:tcPr>
          <w:p w14:paraId="01F2C470" w14:textId="77777777" w:rsidR="00695AE2" w:rsidRPr="00503014" w:rsidRDefault="00695AE2" w:rsidP="00980493">
            <w:pPr>
              <w:jc w:val="center"/>
              <w:rPr>
                <w:rFonts w:eastAsia="Calibri" w:cs="Calibri"/>
                <w:sz w:val="20"/>
                <w:szCs w:val="20"/>
              </w:rPr>
            </w:pPr>
            <w:r w:rsidRPr="00503014">
              <w:rPr>
                <w:rFonts w:eastAsia="Calibri" w:cs="Calibri"/>
                <w:sz w:val="20"/>
                <w:szCs w:val="20"/>
              </w:rPr>
              <w:t>zahtev</w:t>
            </w:r>
          </w:p>
        </w:tc>
        <w:tc>
          <w:tcPr>
            <w:tcW w:w="1133" w:type="dxa"/>
          </w:tcPr>
          <w:p w14:paraId="5966BD33" w14:textId="77777777" w:rsidR="00695AE2" w:rsidRPr="00503014" w:rsidRDefault="00695AE2" w:rsidP="00980493">
            <w:pPr>
              <w:jc w:val="center"/>
              <w:rPr>
                <w:rFonts w:eastAsia="Calibri" w:cs="Calibri"/>
                <w:sz w:val="20"/>
                <w:szCs w:val="20"/>
              </w:rPr>
            </w:pPr>
            <w:r w:rsidRPr="00503014">
              <w:rPr>
                <w:rFonts w:eastAsia="Calibri" w:cs="Calibri"/>
                <w:sz w:val="20"/>
                <w:szCs w:val="20"/>
              </w:rPr>
              <w:t>predlogov</w:t>
            </w:r>
          </w:p>
        </w:tc>
        <w:tc>
          <w:tcPr>
            <w:tcW w:w="2266" w:type="dxa"/>
          </w:tcPr>
          <w:p w14:paraId="5575366E" w14:textId="77777777" w:rsidR="00695AE2" w:rsidRPr="00503014" w:rsidRDefault="00695AE2" w:rsidP="00980493">
            <w:pPr>
              <w:rPr>
                <w:rFonts w:eastAsia="Calibri" w:cs="Calibri"/>
                <w:sz w:val="20"/>
                <w:szCs w:val="20"/>
              </w:rPr>
            </w:pPr>
          </w:p>
        </w:tc>
        <w:tc>
          <w:tcPr>
            <w:tcW w:w="2266" w:type="dxa"/>
          </w:tcPr>
          <w:p w14:paraId="0CB5EFD5" w14:textId="77777777" w:rsidR="00695AE2" w:rsidRPr="00503014" w:rsidRDefault="00695AE2" w:rsidP="00980493">
            <w:pPr>
              <w:rPr>
                <w:rFonts w:eastAsia="Calibri" w:cs="Calibri"/>
                <w:sz w:val="20"/>
                <w:szCs w:val="20"/>
              </w:rPr>
            </w:pPr>
          </w:p>
        </w:tc>
      </w:tr>
      <w:tr w:rsidR="00695AE2" w:rsidRPr="00503014" w14:paraId="3C5D832B" w14:textId="77777777" w:rsidTr="00980493">
        <w:tc>
          <w:tcPr>
            <w:tcW w:w="2265" w:type="dxa"/>
          </w:tcPr>
          <w:p w14:paraId="380E65A0" w14:textId="77777777" w:rsidR="00695AE2" w:rsidRPr="00503014" w:rsidRDefault="00695AE2" w:rsidP="00980493">
            <w:pPr>
              <w:jc w:val="center"/>
              <w:rPr>
                <w:rFonts w:eastAsia="Calibri" w:cs="Calibri"/>
                <w:sz w:val="20"/>
                <w:szCs w:val="20"/>
              </w:rPr>
            </w:pPr>
            <w:r w:rsidRPr="00503014">
              <w:rPr>
                <w:rFonts w:eastAsia="Calibri" w:cs="Calibri"/>
                <w:sz w:val="20"/>
                <w:szCs w:val="20"/>
              </w:rPr>
              <w:t>zastopanje po prvem odstavku 12. člena ZDOdv</w:t>
            </w:r>
          </w:p>
        </w:tc>
        <w:tc>
          <w:tcPr>
            <w:tcW w:w="1132" w:type="dxa"/>
          </w:tcPr>
          <w:p w14:paraId="1B5D8BDC" w14:textId="77777777" w:rsidR="00695AE2" w:rsidRPr="00503014" w:rsidRDefault="00695AE2" w:rsidP="00980493">
            <w:pPr>
              <w:jc w:val="center"/>
              <w:rPr>
                <w:rFonts w:eastAsia="Calibri" w:cs="Calibri"/>
                <w:sz w:val="20"/>
                <w:szCs w:val="20"/>
              </w:rPr>
            </w:pPr>
            <w:r w:rsidRPr="00503014">
              <w:rPr>
                <w:rFonts w:eastAsia="Calibri" w:cs="Calibri"/>
                <w:sz w:val="20"/>
                <w:szCs w:val="20"/>
              </w:rPr>
              <w:t>13.812</w:t>
            </w:r>
          </w:p>
        </w:tc>
        <w:tc>
          <w:tcPr>
            <w:tcW w:w="1133" w:type="dxa"/>
          </w:tcPr>
          <w:p w14:paraId="6ECB3D8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06035BC1"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49E39F27"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2EAA3C65" w14:textId="77777777" w:rsidTr="00980493">
        <w:tc>
          <w:tcPr>
            <w:tcW w:w="2265" w:type="dxa"/>
          </w:tcPr>
          <w:p w14:paraId="6A7DE6F4" w14:textId="77777777" w:rsidR="00695AE2" w:rsidRPr="00503014" w:rsidRDefault="00695AE2" w:rsidP="00980493">
            <w:pPr>
              <w:jc w:val="center"/>
              <w:rPr>
                <w:rFonts w:eastAsia="Calibri" w:cs="Calibri"/>
                <w:sz w:val="20"/>
                <w:szCs w:val="20"/>
              </w:rPr>
            </w:pPr>
            <w:r w:rsidRPr="00503014">
              <w:rPr>
                <w:rFonts w:eastAsia="Calibri" w:cs="Calibri"/>
                <w:sz w:val="20"/>
                <w:szCs w:val="20"/>
              </w:rPr>
              <w:t>zastopanje po drugem odstavku 12. člena ZDOdv</w:t>
            </w:r>
          </w:p>
        </w:tc>
        <w:tc>
          <w:tcPr>
            <w:tcW w:w="1132" w:type="dxa"/>
          </w:tcPr>
          <w:p w14:paraId="7B1212C7" w14:textId="77777777" w:rsidR="00695AE2" w:rsidRPr="00503014" w:rsidRDefault="00695AE2" w:rsidP="00980493">
            <w:pPr>
              <w:jc w:val="center"/>
              <w:rPr>
                <w:rFonts w:eastAsia="Calibri" w:cs="Calibri"/>
                <w:sz w:val="20"/>
                <w:szCs w:val="20"/>
              </w:rPr>
            </w:pPr>
            <w:r w:rsidRPr="00503014">
              <w:rPr>
                <w:rFonts w:eastAsia="Calibri" w:cs="Calibri"/>
                <w:sz w:val="20"/>
                <w:szCs w:val="20"/>
              </w:rPr>
              <w:t>1.697</w:t>
            </w:r>
          </w:p>
        </w:tc>
        <w:tc>
          <w:tcPr>
            <w:tcW w:w="1133" w:type="dxa"/>
          </w:tcPr>
          <w:p w14:paraId="7F674AF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38B3A42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5EAD051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7EBA923C" w14:textId="77777777" w:rsidTr="00980493">
        <w:tc>
          <w:tcPr>
            <w:tcW w:w="2265" w:type="dxa"/>
          </w:tcPr>
          <w:p w14:paraId="53DBC921" w14:textId="77777777" w:rsidR="00695AE2" w:rsidRPr="00503014" w:rsidRDefault="00695AE2" w:rsidP="00980493">
            <w:pPr>
              <w:jc w:val="center"/>
              <w:rPr>
                <w:rFonts w:eastAsia="Calibri" w:cs="Calibri"/>
                <w:sz w:val="20"/>
                <w:szCs w:val="20"/>
              </w:rPr>
            </w:pPr>
            <w:r w:rsidRPr="00503014">
              <w:rPr>
                <w:rFonts w:eastAsia="Calibri" w:cs="Calibri"/>
                <w:sz w:val="20"/>
                <w:szCs w:val="20"/>
              </w:rPr>
              <w:t>zastopanje po tretjem odstavku 12. člena ZDOdv</w:t>
            </w:r>
          </w:p>
        </w:tc>
        <w:tc>
          <w:tcPr>
            <w:tcW w:w="1132" w:type="dxa"/>
          </w:tcPr>
          <w:p w14:paraId="31BFDA0B" w14:textId="77777777" w:rsidR="00695AE2" w:rsidRPr="00503014" w:rsidRDefault="00695AE2" w:rsidP="00980493">
            <w:pPr>
              <w:jc w:val="center"/>
              <w:rPr>
                <w:rFonts w:eastAsia="Calibri" w:cs="Calibri"/>
                <w:sz w:val="20"/>
                <w:szCs w:val="20"/>
              </w:rPr>
            </w:pPr>
            <w:r w:rsidRPr="00503014">
              <w:rPr>
                <w:rFonts w:eastAsia="Calibri" w:cs="Calibri"/>
                <w:sz w:val="20"/>
                <w:szCs w:val="20"/>
              </w:rPr>
              <w:t>13</w:t>
            </w:r>
          </w:p>
        </w:tc>
        <w:tc>
          <w:tcPr>
            <w:tcW w:w="1133" w:type="dxa"/>
          </w:tcPr>
          <w:p w14:paraId="281CB6C8" w14:textId="77777777" w:rsidR="00695AE2" w:rsidRPr="00503014" w:rsidRDefault="00695AE2" w:rsidP="00980493">
            <w:pPr>
              <w:jc w:val="center"/>
              <w:rPr>
                <w:rFonts w:eastAsia="Calibri" w:cs="Calibri"/>
                <w:sz w:val="20"/>
                <w:szCs w:val="20"/>
              </w:rPr>
            </w:pPr>
            <w:r w:rsidRPr="00503014">
              <w:rPr>
                <w:rFonts w:eastAsia="Calibri" w:cs="Calibri"/>
                <w:sz w:val="20"/>
                <w:szCs w:val="20"/>
              </w:rPr>
              <w:t>5</w:t>
            </w:r>
          </w:p>
        </w:tc>
        <w:tc>
          <w:tcPr>
            <w:tcW w:w="2266" w:type="dxa"/>
          </w:tcPr>
          <w:p w14:paraId="709CE7E0" w14:textId="77777777" w:rsidR="00695AE2" w:rsidRPr="00503014" w:rsidRDefault="00695AE2" w:rsidP="00980493">
            <w:pPr>
              <w:jc w:val="center"/>
              <w:rPr>
                <w:rFonts w:eastAsia="Calibri" w:cs="Calibri"/>
                <w:sz w:val="20"/>
                <w:szCs w:val="20"/>
              </w:rPr>
            </w:pPr>
            <w:r w:rsidRPr="00503014">
              <w:rPr>
                <w:rFonts w:eastAsia="Calibri" w:cs="Calibri"/>
                <w:sz w:val="20"/>
                <w:szCs w:val="20"/>
              </w:rPr>
              <w:t>2</w:t>
            </w:r>
          </w:p>
        </w:tc>
        <w:tc>
          <w:tcPr>
            <w:tcW w:w="2266" w:type="dxa"/>
          </w:tcPr>
          <w:p w14:paraId="4E7878AE" w14:textId="77777777" w:rsidR="00695AE2" w:rsidRPr="00503014" w:rsidRDefault="00695AE2" w:rsidP="00980493">
            <w:pPr>
              <w:jc w:val="center"/>
              <w:rPr>
                <w:rFonts w:eastAsia="Calibri" w:cs="Calibri"/>
                <w:sz w:val="20"/>
                <w:szCs w:val="20"/>
              </w:rPr>
            </w:pPr>
            <w:r w:rsidRPr="00503014">
              <w:rPr>
                <w:rFonts w:eastAsia="Calibri" w:cs="Calibri"/>
                <w:sz w:val="20"/>
                <w:szCs w:val="20"/>
              </w:rPr>
              <w:t>3</w:t>
            </w:r>
          </w:p>
        </w:tc>
      </w:tr>
      <w:tr w:rsidR="00695AE2" w:rsidRPr="00503014" w14:paraId="3F6B6070" w14:textId="77777777" w:rsidTr="00980493">
        <w:tc>
          <w:tcPr>
            <w:tcW w:w="2265" w:type="dxa"/>
          </w:tcPr>
          <w:p w14:paraId="5688FEA2" w14:textId="77777777" w:rsidR="00695AE2" w:rsidRPr="00503014" w:rsidRDefault="00695AE2" w:rsidP="00980493">
            <w:pPr>
              <w:jc w:val="center"/>
              <w:rPr>
                <w:rFonts w:eastAsia="Calibri" w:cs="Calibri"/>
                <w:sz w:val="20"/>
                <w:szCs w:val="20"/>
              </w:rPr>
            </w:pPr>
            <w:r w:rsidRPr="00503014">
              <w:rPr>
                <w:rFonts w:eastAsia="Calibri" w:cs="Calibri"/>
                <w:sz w:val="20"/>
                <w:szCs w:val="20"/>
              </w:rPr>
              <w:t>zastopanje po 13. členu ZDOdv</w:t>
            </w:r>
          </w:p>
        </w:tc>
        <w:tc>
          <w:tcPr>
            <w:tcW w:w="1132" w:type="dxa"/>
          </w:tcPr>
          <w:p w14:paraId="609D69F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133" w:type="dxa"/>
          </w:tcPr>
          <w:p w14:paraId="11F7E049"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6D640E09"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327B4DFB"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229A9894" w14:textId="77777777" w:rsidTr="00980493">
        <w:tc>
          <w:tcPr>
            <w:tcW w:w="2265" w:type="dxa"/>
          </w:tcPr>
          <w:p w14:paraId="155F82C1" w14:textId="77777777" w:rsidR="00695AE2" w:rsidRPr="00503014" w:rsidRDefault="00695AE2" w:rsidP="00980493">
            <w:pPr>
              <w:jc w:val="center"/>
              <w:rPr>
                <w:rFonts w:eastAsia="Calibri" w:cs="Calibri"/>
                <w:sz w:val="20"/>
                <w:szCs w:val="20"/>
              </w:rPr>
            </w:pPr>
            <w:r w:rsidRPr="00503014">
              <w:rPr>
                <w:rFonts w:eastAsia="Calibri" w:cs="Calibri"/>
                <w:sz w:val="20"/>
                <w:szCs w:val="20"/>
              </w:rPr>
              <w:t>pravna mnenja po prvem odstavku 25. člena ZDOdv</w:t>
            </w:r>
          </w:p>
        </w:tc>
        <w:tc>
          <w:tcPr>
            <w:tcW w:w="1132" w:type="dxa"/>
          </w:tcPr>
          <w:p w14:paraId="0C27E655" w14:textId="77777777" w:rsidR="00695AE2" w:rsidRPr="00503014" w:rsidRDefault="00695AE2" w:rsidP="00980493">
            <w:pPr>
              <w:jc w:val="center"/>
              <w:rPr>
                <w:rFonts w:eastAsia="Calibri" w:cs="Calibri"/>
                <w:sz w:val="20"/>
                <w:szCs w:val="20"/>
              </w:rPr>
            </w:pPr>
            <w:r w:rsidRPr="00503014">
              <w:rPr>
                <w:rFonts w:eastAsia="Calibri" w:cs="Calibri"/>
                <w:sz w:val="20"/>
                <w:szCs w:val="20"/>
              </w:rPr>
              <w:t>98</w:t>
            </w:r>
          </w:p>
        </w:tc>
        <w:tc>
          <w:tcPr>
            <w:tcW w:w="1133" w:type="dxa"/>
          </w:tcPr>
          <w:p w14:paraId="71BBF18A"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522E30D8"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5114B618"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225C667B" w14:textId="77777777" w:rsidTr="00980493">
        <w:tc>
          <w:tcPr>
            <w:tcW w:w="2265" w:type="dxa"/>
          </w:tcPr>
          <w:p w14:paraId="1FDC21C9" w14:textId="77777777" w:rsidR="00695AE2" w:rsidRPr="00503014" w:rsidRDefault="00695AE2" w:rsidP="00980493">
            <w:pPr>
              <w:jc w:val="center"/>
              <w:rPr>
                <w:rFonts w:eastAsia="Calibri" w:cs="Calibri"/>
                <w:sz w:val="20"/>
                <w:szCs w:val="20"/>
              </w:rPr>
            </w:pPr>
            <w:r w:rsidRPr="00503014">
              <w:rPr>
                <w:rFonts w:eastAsia="Calibri" w:cs="Calibri"/>
                <w:sz w:val="20"/>
                <w:szCs w:val="20"/>
              </w:rPr>
              <w:t>pravna mnenja po drugem odstavku 25. člena ZDOdv</w:t>
            </w:r>
          </w:p>
        </w:tc>
        <w:tc>
          <w:tcPr>
            <w:tcW w:w="1132" w:type="dxa"/>
          </w:tcPr>
          <w:p w14:paraId="5B08E273" w14:textId="77777777" w:rsidR="00695AE2" w:rsidRPr="00503014" w:rsidRDefault="00695AE2" w:rsidP="00980493">
            <w:pPr>
              <w:jc w:val="center"/>
              <w:rPr>
                <w:rFonts w:eastAsia="Calibri" w:cs="Calibri"/>
                <w:sz w:val="20"/>
                <w:szCs w:val="20"/>
              </w:rPr>
            </w:pPr>
            <w:r w:rsidRPr="00503014">
              <w:rPr>
                <w:rFonts w:eastAsia="Calibri" w:cs="Calibri"/>
                <w:sz w:val="20"/>
                <w:szCs w:val="20"/>
              </w:rPr>
              <w:t>28</w:t>
            </w:r>
          </w:p>
        </w:tc>
        <w:tc>
          <w:tcPr>
            <w:tcW w:w="1133" w:type="dxa"/>
          </w:tcPr>
          <w:p w14:paraId="7EE44C1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1747E0E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2266" w:type="dxa"/>
          </w:tcPr>
          <w:p w14:paraId="3B8CC488"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607C4353" w14:textId="77777777" w:rsidTr="00980493">
        <w:tc>
          <w:tcPr>
            <w:tcW w:w="2265" w:type="dxa"/>
          </w:tcPr>
          <w:p w14:paraId="4DD444B0" w14:textId="77777777" w:rsidR="00695AE2" w:rsidRPr="00503014" w:rsidRDefault="00695AE2" w:rsidP="00980493">
            <w:pPr>
              <w:jc w:val="center"/>
              <w:rPr>
                <w:rFonts w:eastAsia="Calibri" w:cs="Calibri"/>
                <w:sz w:val="20"/>
                <w:szCs w:val="20"/>
              </w:rPr>
            </w:pPr>
            <w:r w:rsidRPr="00503014">
              <w:rPr>
                <w:rFonts w:eastAsia="Calibri" w:cs="Calibri"/>
                <w:sz w:val="20"/>
                <w:szCs w:val="20"/>
              </w:rPr>
              <w:lastRenderedPageBreak/>
              <w:t>pravna mnenja po 26. členu ZDOdv</w:t>
            </w:r>
          </w:p>
        </w:tc>
        <w:tc>
          <w:tcPr>
            <w:tcW w:w="1132" w:type="dxa"/>
          </w:tcPr>
          <w:p w14:paraId="635C0321"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133" w:type="dxa"/>
          </w:tcPr>
          <w:p w14:paraId="5BF0F81B" w14:textId="77777777" w:rsidR="00695AE2" w:rsidRPr="00503014" w:rsidRDefault="00695AE2" w:rsidP="00980493">
            <w:pPr>
              <w:jc w:val="center"/>
              <w:rPr>
                <w:rFonts w:eastAsia="Calibri" w:cs="Calibri"/>
                <w:sz w:val="20"/>
                <w:szCs w:val="20"/>
              </w:rPr>
            </w:pPr>
            <w:r w:rsidRPr="00503014">
              <w:rPr>
                <w:rFonts w:eastAsia="Calibri" w:cs="Calibri"/>
                <w:sz w:val="20"/>
                <w:szCs w:val="20"/>
              </w:rPr>
              <w:t>6</w:t>
            </w:r>
          </w:p>
        </w:tc>
        <w:tc>
          <w:tcPr>
            <w:tcW w:w="2266" w:type="dxa"/>
          </w:tcPr>
          <w:p w14:paraId="466B0BF5" w14:textId="77777777" w:rsidR="00695AE2" w:rsidRPr="00503014" w:rsidRDefault="00695AE2" w:rsidP="00980493">
            <w:pPr>
              <w:jc w:val="center"/>
              <w:rPr>
                <w:rFonts w:eastAsia="Calibri" w:cs="Calibri"/>
                <w:sz w:val="20"/>
                <w:szCs w:val="20"/>
              </w:rPr>
            </w:pPr>
            <w:r w:rsidRPr="00503014">
              <w:rPr>
                <w:rFonts w:eastAsia="Calibri" w:cs="Calibri"/>
                <w:sz w:val="20"/>
                <w:szCs w:val="20"/>
              </w:rPr>
              <w:t>3</w:t>
            </w:r>
          </w:p>
        </w:tc>
        <w:tc>
          <w:tcPr>
            <w:tcW w:w="2266" w:type="dxa"/>
          </w:tcPr>
          <w:p w14:paraId="13B6A247"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r>
    </w:tbl>
    <w:p w14:paraId="1A2FB693" w14:textId="77777777" w:rsidR="00695AE2" w:rsidRPr="00503014" w:rsidRDefault="00695AE2" w:rsidP="00695AE2">
      <w:pPr>
        <w:spacing w:line="240" w:lineRule="auto"/>
        <w:jc w:val="both"/>
        <w:rPr>
          <w:rFonts w:eastAsia="Calibri"/>
          <w:b/>
          <w:color w:val="007466"/>
          <w:sz w:val="20"/>
          <w:szCs w:val="20"/>
        </w:rPr>
      </w:pPr>
    </w:p>
    <w:p w14:paraId="337BDCB3" w14:textId="77777777" w:rsidR="00695AE2" w:rsidRPr="00503014" w:rsidRDefault="00695AE2" w:rsidP="00695AE2">
      <w:pPr>
        <w:spacing w:line="240" w:lineRule="auto"/>
        <w:jc w:val="both"/>
        <w:rPr>
          <w:rFonts w:eastAsia="Calibri"/>
          <w:bCs/>
          <w:color w:val="007466"/>
          <w:sz w:val="20"/>
          <w:szCs w:val="20"/>
        </w:rPr>
      </w:pPr>
      <w:r w:rsidRPr="00503014">
        <w:rPr>
          <w:rFonts w:eastAsia="Calibri"/>
          <w:bCs/>
          <w:color w:val="007466"/>
          <w:sz w:val="20"/>
          <w:szCs w:val="20"/>
        </w:rPr>
        <w:t>Pojasnilo k tabeli 12:</w:t>
      </w:r>
    </w:p>
    <w:p w14:paraId="31CE9AD1" w14:textId="77777777" w:rsidR="00695AE2" w:rsidRPr="00503014" w:rsidRDefault="00695AE2" w:rsidP="00695AE2">
      <w:pPr>
        <w:spacing w:line="240" w:lineRule="auto"/>
        <w:jc w:val="both"/>
        <w:rPr>
          <w:rFonts w:eastAsia="Calibri"/>
          <w:color w:val="007466"/>
          <w:sz w:val="20"/>
          <w:szCs w:val="20"/>
        </w:rPr>
      </w:pPr>
    </w:p>
    <w:p w14:paraId="5E160AF5" w14:textId="77777777" w:rsidR="00695AE2" w:rsidRPr="00503014" w:rsidRDefault="00695AE2" w:rsidP="00695AE2">
      <w:pPr>
        <w:spacing w:line="240" w:lineRule="auto"/>
        <w:jc w:val="both"/>
        <w:rPr>
          <w:rFonts w:eastAsia="Calibri"/>
          <w:b/>
        </w:rPr>
      </w:pPr>
      <w:r w:rsidRPr="00503014">
        <w:rPr>
          <w:rFonts w:eastAsia="Calibri"/>
          <w:sz w:val="20"/>
          <w:szCs w:val="20"/>
        </w:rPr>
        <w:t xml:space="preserve">Metodologija spremljanja statističnih podatkov na Državnem odvetništvu RS ne omogoča prikaza  podatka glede </w:t>
      </w:r>
      <w:r w:rsidRPr="00503014">
        <w:rPr>
          <w:rFonts w:eastAsia="Calibri"/>
          <w:bCs/>
          <w:sz w:val="20"/>
          <w:szCs w:val="20"/>
        </w:rPr>
        <w:t>zastopanja po prvem odstavku 12. člena ZDOdv</w:t>
      </w:r>
      <w:r w:rsidRPr="00503014">
        <w:rPr>
          <w:rFonts w:eastAsia="Calibri"/>
          <w:sz w:val="20"/>
          <w:szCs w:val="20"/>
        </w:rPr>
        <w:t xml:space="preserve">, v katerega so vključeni le sodni, ne pa tudi upravni postopki. Iz istega razloga tudi ni mogoče prikazati </w:t>
      </w:r>
      <w:r w:rsidRPr="00503014">
        <w:rPr>
          <w:rFonts w:eastAsia="Calibri"/>
          <w:bCs/>
          <w:sz w:val="20"/>
          <w:szCs w:val="20"/>
        </w:rPr>
        <w:t>podatkov za zastopanje po 13. členu ZDOdv</w:t>
      </w:r>
      <w:r w:rsidRPr="00503014">
        <w:rPr>
          <w:rFonts w:eastAsia="Calibri"/>
          <w:sz w:val="20"/>
          <w:szCs w:val="20"/>
        </w:rPr>
        <w:t>, v katerega so vključeni le upravni, ne pa tudi sodni postopki. Zaradi navedenega je v rubriki »zastopanje po 13. členu ZDOdv« vnesena vrednost 0 in so vsa zastopanja upoštevana v rubriki »zastopanje po prvem odstavku 12. člena ZDOdv«.</w:t>
      </w:r>
    </w:p>
    <w:p w14:paraId="0EAF3A57" w14:textId="77777777" w:rsidR="00695AE2" w:rsidRPr="00503014" w:rsidRDefault="00695AE2" w:rsidP="00695AE2">
      <w:pPr>
        <w:spacing w:line="240" w:lineRule="auto"/>
        <w:jc w:val="both"/>
        <w:rPr>
          <w:rFonts w:eastAsia="Calibri"/>
          <w:b/>
          <w:color w:val="007466"/>
        </w:rPr>
      </w:pPr>
    </w:p>
    <w:p w14:paraId="735DCD35"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Tabela 13: Zastopanje in oblikovanje pravnih mnenj na sedežu in na posameznem zunanjem oddelku</w:t>
      </w:r>
    </w:p>
    <w:p w14:paraId="70964D88" w14:textId="77777777" w:rsidR="00695AE2" w:rsidRPr="00503014" w:rsidRDefault="00695AE2" w:rsidP="00695AE2">
      <w:pPr>
        <w:spacing w:line="240" w:lineRule="auto"/>
        <w:jc w:val="both"/>
        <w:rPr>
          <w:rFonts w:eastAsia="Calibri"/>
          <w:b/>
          <w:color w:val="007466"/>
          <w:sz w:val="20"/>
          <w:szCs w:val="20"/>
        </w:rPr>
      </w:pPr>
    </w:p>
    <w:p w14:paraId="51294E2B"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Sedež Državnega odvetništva RS v Ljubljani</w:t>
      </w:r>
    </w:p>
    <w:p w14:paraId="38A8B9E3"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52"/>
        <w:gridCol w:w="1127"/>
        <w:gridCol w:w="1130"/>
        <w:gridCol w:w="2253"/>
        <w:gridCol w:w="2254"/>
      </w:tblGrid>
      <w:tr w:rsidR="00695AE2" w:rsidRPr="00503014" w14:paraId="0E794AD3" w14:textId="77777777" w:rsidTr="00980493">
        <w:tc>
          <w:tcPr>
            <w:tcW w:w="2252" w:type="dxa"/>
          </w:tcPr>
          <w:p w14:paraId="3BF01361"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57" w:type="dxa"/>
            <w:gridSpan w:val="2"/>
          </w:tcPr>
          <w:p w14:paraId="042448E2"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53" w:type="dxa"/>
          </w:tcPr>
          <w:p w14:paraId="7F0CB501"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54" w:type="dxa"/>
          </w:tcPr>
          <w:p w14:paraId="2588DC54"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2F0658FE" w14:textId="77777777" w:rsidTr="00980493">
        <w:tc>
          <w:tcPr>
            <w:tcW w:w="2252" w:type="dxa"/>
          </w:tcPr>
          <w:p w14:paraId="5E383EFE" w14:textId="77777777" w:rsidR="00695AE2" w:rsidRPr="00503014" w:rsidRDefault="00695AE2" w:rsidP="00980493">
            <w:pPr>
              <w:jc w:val="center"/>
              <w:rPr>
                <w:rFonts w:eastAsia="Calibri" w:cs="Calibri"/>
                <w:sz w:val="16"/>
                <w:szCs w:val="16"/>
              </w:rPr>
            </w:pPr>
          </w:p>
        </w:tc>
        <w:tc>
          <w:tcPr>
            <w:tcW w:w="1127" w:type="dxa"/>
          </w:tcPr>
          <w:p w14:paraId="2ED574E9"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0" w:type="dxa"/>
          </w:tcPr>
          <w:p w14:paraId="4DF2D1EE"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53" w:type="dxa"/>
          </w:tcPr>
          <w:p w14:paraId="776C75A5" w14:textId="77777777" w:rsidR="00695AE2" w:rsidRPr="00503014" w:rsidRDefault="00695AE2" w:rsidP="00980493">
            <w:pPr>
              <w:rPr>
                <w:rFonts w:eastAsia="Calibri" w:cs="Calibri"/>
                <w:sz w:val="16"/>
                <w:szCs w:val="16"/>
              </w:rPr>
            </w:pPr>
          </w:p>
        </w:tc>
        <w:tc>
          <w:tcPr>
            <w:tcW w:w="2254" w:type="dxa"/>
          </w:tcPr>
          <w:p w14:paraId="16EA2125" w14:textId="77777777" w:rsidR="00695AE2" w:rsidRPr="00503014" w:rsidRDefault="00695AE2" w:rsidP="00980493">
            <w:pPr>
              <w:rPr>
                <w:rFonts w:eastAsia="Calibri" w:cs="Calibri"/>
                <w:sz w:val="16"/>
                <w:szCs w:val="16"/>
              </w:rPr>
            </w:pPr>
          </w:p>
        </w:tc>
      </w:tr>
      <w:tr w:rsidR="00695AE2" w:rsidRPr="00503014" w14:paraId="44A80E20" w14:textId="77777777" w:rsidTr="00980493">
        <w:tc>
          <w:tcPr>
            <w:tcW w:w="2252" w:type="dxa"/>
          </w:tcPr>
          <w:p w14:paraId="2190C5DE"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27" w:type="dxa"/>
          </w:tcPr>
          <w:p w14:paraId="4A0394F6" w14:textId="77777777" w:rsidR="00695AE2" w:rsidRPr="00503014" w:rsidRDefault="00695AE2" w:rsidP="00980493">
            <w:pPr>
              <w:jc w:val="center"/>
              <w:rPr>
                <w:rFonts w:eastAsia="Calibri" w:cs="Calibri"/>
                <w:sz w:val="16"/>
                <w:szCs w:val="16"/>
              </w:rPr>
            </w:pPr>
            <w:r w:rsidRPr="00503014">
              <w:rPr>
                <w:rFonts w:eastAsia="Calibri" w:cs="Calibri"/>
                <w:sz w:val="16"/>
                <w:szCs w:val="16"/>
              </w:rPr>
              <w:t>4.998</w:t>
            </w:r>
          </w:p>
        </w:tc>
        <w:tc>
          <w:tcPr>
            <w:tcW w:w="1130" w:type="dxa"/>
          </w:tcPr>
          <w:p w14:paraId="06768DD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3" w:type="dxa"/>
          </w:tcPr>
          <w:p w14:paraId="0D2D31B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4" w:type="dxa"/>
          </w:tcPr>
          <w:p w14:paraId="19D9694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1839208" w14:textId="77777777" w:rsidTr="00980493">
        <w:tc>
          <w:tcPr>
            <w:tcW w:w="2252" w:type="dxa"/>
          </w:tcPr>
          <w:p w14:paraId="7E32B2D8"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27" w:type="dxa"/>
          </w:tcPr>
          <w:p w14:paraId="7A0404C6" w14:textId="77777777" w:rsidR="00695AE2" w:rsidRPr="00503014" w:rsidRDefault="00695AE2" w:rsidP="00980493">
            <w:pPr>
              <w:jc w:val="center"/>
              <w:rPr>
                <w:rFonts w:eastAsia="Calibri" w:cs="Calibri"/>
                <w:sz w:val="16"/>
                <w:szCs w:val="16"/>
              </w:rPr>
            </w:pPr>
            <w:r w:rsidRPr="00503014">
              <w:rPr>
                <w:rFonts w:eastAsia="Calibri" w:cs="Calibri"/>
                <w:sz w:val="16"/>
                <w:szCs w:val="16"/>
              </w:rPr>
              <w:t>696</w:t>
            </w:r>
          </w:p>
        </w:tc>
        <w:tc>
          <w:tcPr>
            <w:tcW w:w="1130" w:type="dxa"/>
          </w:tcPr>
          <w:p w14:paraId="073806F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3" w:type="dxa"/>
          </w:tcPr>
          <w:p w14:paraId="0B6FB58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4" w:type="dxa"/>
          </w:tcPr>
          <w:p w14:paraId="5794C62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1F8FA8FC" w14:textId="77777777" w:rsidTr="00980493">
        <w:tc>
          <w:tcPr>
            <w:tcW w:w="2252" w:type="dxa"/>
          </w:tcPr>
          <w:p w14:paraId="2F85DCAD"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27" w:type="dxa"/>
          </w:tcPr>
          <w:p w14:paraId="3D6FB34A" w14:textId="77777777" w:rsidR="00695AE2" w:rsidRPr="00503014" w:rsidRDefault="00695AE2" w:rsidP="00980493">
            <w:pPr>
              <w:jc w:val="center"/>
              <w:rPr>
                <w:rFonts w:eastAsia="Calibri" w:cs="Calibri"/>
                <w:sz w:val="16"/>
                <w:szCs w:val="16"/>
              </w:rPr>
            </w:pPr>
            <w:r w:rsidRPr="00503014">
              <w:rPr>
                <w:rFonts w:eastAsia="Calibri" w:cs="Calibri"/>
                <w:sz w:val="16"/>
                <w:szCs w:val="16"/>
              </w:rPr>
              <w:t>13</w:t>
            </w:r>
          </w:p>
        </w:tc>
        <w:tc>
          <w:tcPr>
            <w:tcW w:w="1130" w:type="dxa"/>
          </w:tcPr>
          <w:p w14:paraId="013DE615"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2253" w:type="dxa"/>
          </w:tcPr>
          <w:p w14:paraId="3EB0544C" w14:textId="77777777" w:rsidR="00695AE2" w:rsidRPr="00503014" w:rsidRDefault="00695AE2" w:rsidP="00980493">
            <w:pPr>
              <w:jc w:val="center"/>
              <w:rPr>
                <w:rFonts w:eastAsia="Calibri" w:cs="Calibri"/>
                <w:sz w:val="16"/>
                <w:szCs w:val="16"/>
              </w:rPr>
            </w:pPr>
            <w:r w:rsidRPr="00503014">
              <w:rPr>
                <w:rFonts w:eastAsia="Calibri" w:cs="Calibri"/>
                <w:sz w:val="16"/>
                <w:szCs w:val="16"/>
              </w:rPr>
              <w:t>2</w:t>
            </w:r>
          </w:p>
        </w:tc>
        <w:tc>
          <w:tcPr>
            <w:tcW w:w="2254" w:type="dxa"/>
          </w:tcPr>
          <w:p w14:paraId="0D9EC8F2" w14:textId="77777777" w:rsidR="00695AE2" w:rsidRPr="00503014" w:rsidRDefault="00695AE2" w:rsidP="00980493">
            <w:pPr>
              <w:jc w:val="center"/>
              <w:rPr>
                <w:rFonts w:eastAsia="Calibri" w:cs="Calibri"/>
                <w:sz w:val="16"/>
                <w:szCs w:val="16"/>
              </w:rPr>
            </w:pPr>
            <w:r w:rsidRPr="00503014">
              <w:rPr>
                <w:rFonts w:eastAsia="Calibri" w:cs="Calibri"/>
                <w:sz w:val="16"/>
                <w:szCs w:val="16"/>
              </w:rPr>
              <w:t xml:space="preserve">3 </w:t>
            </w:r>
          </w:p>
        </w:tc>
      </w:tr>
      <w:tr w:rsidR="00695AE2" w:rsidRPr="00503014" w14:paraId="7BAEECEE" w14:textId="77777777" w:rsidTr="00980493">
        <w:tc>
          <w:tcPr>
            <w:tcW w:w="2252" w:type="dxa"/>
          </w:tcPr>
          <w:p w14:paraId="65528072"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27" w:type="dxa"/>
          </w:tcPr>
          <w:p w14:paraId="2916786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0" w:type="dxa"/>
          </w:tcPr>
          <w:p w14:paraId="5E15928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3" w:type="dxa"/>
          </w:tcPr>
          <w:p w14:paraId="7CA25A9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4" w:type="dxa"/>
          </w:tcPr>
          <w:p w14:paraId="7B79689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1407A264" w14:textId="77777777" w:rsidTr="00980493">
        <w:tc>
          <w:tcPr>
            <w:tcW w:w="2252" w:type="dxa"/>
          </w:tcPr>
          <w:p w14:paraId="00C45296"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27" w:type="dxa"/>
          </w:tcPr>
          <w:p w14:paraId="06A0FC2B" w14:textId="77777777" w:rsidR="00695AE2" w:rsidRPr="00503014" w:rsidRDefault="00695AE2" w:rsidP="00980493">
            <w:pPr>
              <w:jc w:val="center"/>
              <w:rPr>
                <w:rFonts w:eastAsia="Calibri" w:cs="Calibri"/>
                <w:sz w:val="16"/>
                <w:szCs w:val="16"/>
              </w:rPr>
            </w:pPr>
            <w:r w:rsidRPr="00503014">
              <w:rPr>
                <w:rFonts w:eastAsia="Calibri" w:cs="Calibri"/>
                <w:sz w:val="16"/>
                <w:szCs w:val="16"/>
              </w:rPr>
              <w:t>97</w:t>
            </w:r>
          </w:p>
        </w:tc>
        <w:tc>
          <w:tcPr>
            <w:tcW w:w="1130" w:type="dxa"/>
          </w:tcPr>
          <w:p w14:paraId="68F6AF8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3" w:type="dxa"/>
          </w:tcPr>
          <w:p w14:paraId="5AB88BF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4" w:type="dxa"/>
          </w:tcPr>
          <w:p w14:paraId="74DE6CF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388E0473" w14:textId="77777777" w:rsidTr="00980493">
        <w:tc>
          <w:tcPr>
            <w:tcW w:w="2252" w:type="dxa"/>
          </w:tcPr>
          <w:p w14:paraId="03ED9BA4"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27" w:type="dxa"/>
          </w:tcPr>
          <w:p w14:paraId="4D7896BA" w14:textId="77777777" w:rsidR="00695AE2" w:rsidRPr="00503014" w:rsidRDefault="00695AE2" w:rsidP="00980493">
            <w:pPr>
              <w:jc w:val="center"/>
              <w:rPr>
                <w:rFonts w:eastAsia="Calibri" w:cs="Calibri"/>
                <w:sz w:val="16"/>
                <w:szCs w:val="16"/>
              </w:rPr>
            </w:pPr>
            <w:r w:rsidRPr="00503014">
              <w:rPr>
                <w:rFonts w:eastAsia="Calibri" w:cs="Calibri"/>
                <w:sz w:val="16"/>
                <w:szCs w:val="16"/>
              </w:rPr>
              <w:t>28</w:t>
            </w:r>
          </w:p>
        </w:tc>
        <w:tc>
          <w:tcPr>
            <w:tcW w:w="1130" w:type="dxa"/>
          </w:tcPr>
          <w:p w14:paraId="263B479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3" w:type="dxa"/>
          </w:tcPr>
          <w:p w14:paraId="4B366CE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54" w:type="dxa"/>
          </w:tcPr>
          <w:p w14:paraId="01FBEBB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78887EB" w14:textId="77777777" w:rsidTr="00980493">
        <w:tc>
          <w:tcPr>
            <w:tcW w:w="2252" w:type="dxa"/>
          </w:tcPr>
          <w:p w14:paraId="3B4D8220"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27" w:type="dxa"/>
          </w:tcPr>
          <w:p w14:paraId="2785E80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0" w:type="dxa"/>
          </w:tcPr>
          <w:p w14:paraId="57225B28" w14:textId="77777777" w:rsidR="00695AE2" w:rsidRPr="00503014" w:rsidRDefault="00695AE2" w:rsidP="00980493">
            <w:pPr>
              <w:jc w:val="center"/>
              <w:rPr>
                <w:rFonts w:eastAsia="Calibri" w:cs="Calibri"/>
                <w:sz w:val="16"/>
                <w:szCs w:val="16"/>
              </w:rPr>
            </w:pPr>
            <w:r w:rsidRPr="00503014">
              <w:rPr>
                <w:rFonts w:eastAsia="Calibri" w:cs="Calibri"/>
                <w:sz w:val="16"/>
                <w:szCs w:val="16"/>
              </w:rPr>
              <w:t>5</w:t>
            </w:r>
          </w:p>
        </w:tc>
        <w:tc>
          <w:tcPr>
            <w:tcW w:w="2253" w:type="dxa"/>
          </w:tcPr>
          <w:p w14:paraId="5C1003D7" w14:textId="77777777" w:rsidR="00695AE2" w:rsidRPr="00503014" w:rsidRDefault="00695AE2" w:rsidP="00980493">
            <w:pPr>
              <w:jc w:val="center"/>
              <w:rPr>
                <w:rFonts w:eastAsia="Calibri" w:cs="Calibri"/>
                <w:sz w:val="16"/>
                <w:szCs w:val="16"/>
              </w:rPr>
            </w:pPr>
            <w:r w:rsidRPr="00503014">
              <w:rPr>
                <w:rFonts w:eastAsia="Calibri" w:cs="Calibri"/>
                <w:sz w:val="16"/>
                <w:szCs w:val="16"/>
              </w:rPr>
              <w:t>3</w:t>
            </w:r>
          </w:p>
        </w:tc>
        <w:tc>
          <w:tcPr>
            <w:tcW w:w="2254" w:type="dxa"/>
          </w:tcPr>
          <w:p w14:paraId="6D70480A"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r>
    </w:tbl>
    <w:p w14:paraId="1BD30596" w14:textId="77777777" w:rsidR="00695AE2" w:rsidRPr="00503014" w:rsidRDefault="00695AE2" w:rsidP="00695AE2">
      <w:pPr>
        <w:spacing w:line="240" w:lineRule="auto"/>
        <w:jc w:val="both"/>
        <w:rPr>
          <w:rFonts w:eastAsia="Calibri"/>
          <w:b/>
          <w:color w:val="007466"/>
          <w:sz w:val="20"/>
          <w:szCs w:val="20"/>
        </w:rPr>
      </w:pPr>
    </w:p>
    <w:p w14:paraId="0989FC59"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Celju</w:t>
      </w:r>
    </w:p>
    <w:p w14:paraId="0DA2A64C"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7C78290E" w14:textId="77777777" w:rsidTr="00980493">
        <w:tc>
          <w:tcPr>
            <w:tcW w:w="2265" w:type="dxa"/>
          </w:tcPr>
          <w:p w14:paraId="33D25B6C"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2809FF59"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2295CD41"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67EFFADF"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58B3A070" w14:textId="77777777" w:rsidTr="00980493">
        <w:tc>
          <w:tcPr>
            <w:tcW w:w="2265" w:type="dxa"/>
          </w:tcPr>
          <w:p w14:paraId="28CBFB71" w14:textId="77777777" w:rsidR="00695AE2" w:rsidRPr="00503014" w:rsidRDefault="00695AE2" w:rsidP="00980493">
            <w:pPr>
              <w:jc w:val="center"/>
              <w:rPr>
                <w:rFonts w:eastAsia="Calibri" w:cs="Calibri"/>
                <w:sz w:val="16"/>
                <w:szCs w:val="16"/>
              </w:rPr>
            </w:pPr>
          </w:p>
        </w:tc>
        <w:tc>
          <w:tcPr>
            <w:tcW w:w="1132" w:type="dxa"/>
          </w:tcPr>
          <w:p w14:paraId="3479F38C"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4580FF00"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00C3853C" w14:textId="77777777" w:rsidR="00695AE2" w:rsidRPr="00503014" w:rsidRDefault="00695AE2" w:rsidP="00980493">
            <w:pPr>
              <w:rPr>
                <w:rFonts w:eastAsia="Calibri" w:cs="Calibri"/>
                <w:sz w:val="16"/>
                <w:szCs w:val="16"/>
              </w:rPr>
            </w:pPr>
          </w:p>
        </w:tc>
        <w:tc>
          <w:tcPr>
            <w:tcW w:w="2266" w:type="dxa"/>
          </w:tcPr>
          <w:p w14:paraId="67DB074A" w14:textId="77777777" w:rsidR="00695AE2" w:rsidRPr="00503014" w:rsidRDefault="00695AE2" w:rsidP="00980493">
            <w:pPr>
              <w:rPr>
                <w:rFonts w:eastAsia="Calibri" w:cs="Calibri"/>
                <w:sz w:val="16"/>
                <w:szCs w:val="16"/>
              </w:rPr>
            </w:pPr>
          </w:p>
        </w:tc>
      </w:tr>
      <w:tr w:rsidR="00695AE2" w:rsidRPr="00503014" w14:paraId="26199F93" w14:textId="77777777" w:rsidTr="00980493">
        <w:tc>
          <w:tcPr>
            <w:tcW w:w="2265" w:type="dxa"/>
          </w:tcPr>
          <w:p w14:paraId="7E1EC5F8"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7D9DC0C3" w14:textId="77777777" w:rsidR="00695AE2" w:rsidRPr="00503014" w:rsidRDefault="00695AE2" w:rsidP="00980493">
            <w:pPr>
              <w:jc w:val="center"/>
              <w:rPr>
                <w:rFonts w:eastAsia="Calibri" w:cs="Calibri"/>
                <w:sz w:val="16"/>
                <w:szCs w:val="16"/>
              </w:rPr>
            </w:pPr>
            <w:r w:rsidRPr="00503014">
              <w:rPr>
                <w:rFonts w:eastAsia="Calibri" w:cs="Calibri"/>
                <w:sz w:val="16"/>
                <w:szCs w:val="16"/>
              </w:rPr>
              <w:t>1.386</w:t>
            </w:r>
          </w:p>
        </w:tc>
        <w:tc>
          <w:tcPr>
            <w:tcW w:w="1133" w:type="dxa"/>
          </w:tcPr>
          <w:p w14:paraId="27F8FAD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5BBE9A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4FF02C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A3F8841" w14:textId="77777777" w:rsidTr="00980493">
        <w:tc>
          <w:tcPr>
            <w:tcW w:w="2265" w:type="dxa"/>
          </w:tcPr>
          <w:p w14:paraId="400B8EBD"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166FB551" w14:textId="77777777" w:rsidR="00695AE2" w:rsidRPr="00503014" w:rsidRDefault="00695AE2" w:rsidP="00980493">
            <w:pPr>
              <w:jc w:val="center"/>
              <w:rPr>
                <w:rFonts w:eastAsia="Calibri" w:cs="Calibri"/>
                <w:sz w:val="16"/>
                <w:szCs w:val="16"/>
              </w:rPr>
            </w:pPr>
            <w:r w:rsidRPr="00503014">
              <w:rPr>
                <w:rFonts w:eastAsia="Calibri" w:cs="Calibri"/>
                <w:sz w:val="16"/>
                <w:szCs w:val="16"/>
              </w:rPr>
              <w:t>191</w:t>
            </w:r>
          </w:p>
        </w:tc>
        <w:tc>
          <w:tcPr>
            <w:tcW w:w="1133" w:type="dxa"/>
          </w:tcPr>
          <w:p w14:paraId="568B90E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343F69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158E46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ECC6042" w14:textId="77777777" w:rsidTr="00980493">
        <w:tc>
          <w:tcPr>
            <w:tcW w:w="2265" w:type="dxa"/>
          </w:tcPr>
          <w:p w14:paraId="225B05F9"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1900EB9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5359BF7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5121A8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28FB98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70E68DA9" w14:textId="77777777" w:rsidTr="00980493">
        <w:tc>
          <w:tcPr>
            <w:tcW w:w="2265" w:type="dxa"/>
          </w:tcPr>
          <w:p w14:paraId="71958802"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108FB23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3B564D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0EB4D8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E0AD6F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5D05E3EC" w14:textId="77777777" w:rsidTr="00980493">
        <w:tc>
          <w:tcPr>
            <w:tcW w:w="2265" w:type="dxa"/>
          </w:tcPr>
          <w:p w14:paraId="57D57FDC"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3496F15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DB4747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EE4AA0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55AF21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670C988" w14:textId="77777777" w:rsidTr="00980493">
        <w:tc>
          <w:tcPr>
            <w:tcW w:w="2265" w:type="dxa"/>
          </w:tcPr>
          <w:p w14:paraId="4605BBD6"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6503D8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5F895BF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398F05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D49E20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58C040C1" w14:textId="77777777" w:rsidTr="00980493">
        <w:tc>
          <w:tcPr>
            <w:tcW w:w="2265" w:type="dxa"/>
          </w:tcPr>
          <w:p w14:paraId="0FF05FF1"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139D6BD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93F791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3153A9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075F83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6280FFBB" w14:textId="77777777" w:rsidR="00695AE2" w:rsidRPr="00503014" w:rsidRDefault="00695AE2" w:rsidP="00695AE2">
      <w:pPr>
        <w:spacing w:line="240" w:lineRule="auto"/>
        <w:jc w:val="both"/>
        <w:rPr>
          <w:rFonts w:eastAsia="Calibri"/>
          <w:b/>
          <w:color w:val="007466"/>
          <w:sz w:val="20"/>
          <w:szCs w:val="20"/>
        </w:rPr>
      </w:pPr>
    </w:p>
    <w:p w14:paraId="09DF9E0D"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Kopru</w:t>
      </w:r>
    </w:p>
    <w:p w14:paraId="62BF0886"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7746E5CD" w14:textId="77777777" w:rsidTr="00980493">
        <w:tc>
          <w:tcPr>
            <w:tcW w:w="2265" w:type="dxa"/>
          </w:tcPr>
          <w:p w14:paraId="55B6F889"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67698346"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55DDF6A9"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3F4C9041"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0C9B6F33" w14:textId="77777777" w:rsidTr="00980493">
        <w:tc>
          <w:tcPr>
            <w:tcW w:w="2265" w:type="dxa"/>
          </w:tcPr>
          <w:p w14:paraId="75EAE1A8" w14:textId="77777777" w:rsidR="00695AE2" w:rsidRPr="00503014" w:rsidRDefault="00695AE2" w:rsidP="00980493">
            <w:pPr>
              <w:jc w:val="center"/>
              <w:rPr>
                <w:rFonts w:eastAsia="Calibri" w:cs="Calibri"/>
                <w:sz w:val="16"/>
                <w:szCs w:val="16"/>
              </w:rPr>
            </w:pPr>
          </w:p>
        </w:tc>
        <w:tc>
          <w:tcPr>
            <w:tcW w:w="1132" w:type="dxa"/>
          </w:tcPr>
          <w:p w14:paraId="4EDFD15B"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7B6F7C7A"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7F074E26" w14:textId="77777777" w:rsidR="00695AE2" w:rsidRPr="00503014" w:rsidRDefault="00695AE2" w:rsidP="00980493">
            <w:pPr>
              <w:rPr>
                <w:rFonts w:eastAsia="Calibri" w:cs="Calibri"/>
                <w:sz w:val="16"/>
                <w:szCs w:val="16"/>
              </w:rPr>
            </w:pPr>
          </w:p>
        </w:tc>
        <w:tc>
          <w:tcPr>
            <w:tcW w:w="2266" w:type="dxa"/>
          </w:tcPr>
          <w:p w14:paraId="564E157E" w14:textId="77777777" w:rsidR="00695AE2" w:rsidRPr="00503014" w:rsidRDefault="00695AE2" w:rsidP="00980493">
            <w:pPr>
              <w:rPr>
                <w:rFonts w:eastAsia="Calibri" w:cs="Calibri"/>
                <w:sz w:val="16"/>
                <w:szCs w:val="16"/>
              </w:rPr>
            </w:pPr>
          </w:p>
        </w:tc>
      </w:tr>
      <w:tr w:rsidR="00695AE2" w:rsidRPr="00503014" w14:paraId="17E9CA09" w14:textId="77777777" w:rsidTr="00980493">
        <w:tc>
          <w:tcPr>
            <w:tcW w:w="2265" w:type="dxa"/>
          </w:tcPr>
          <w:p w14:paraId="4205A4A2"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6D89C206" w14:textId="77777777" w:rsidR="00695AE2" w:rsidRPr="00503014" w:rsidRDefault="00695AE2" w:rsidP="00980493">
            <w:pPr>
              <w:jc w:val="center"/>
              <w:rPr>
                <w:rFonts w:eastAsia="Calibri" w:cs="Calibri"/>
                <w:sz w:val="16"/>
                <w:szCs w:val="16"/>
              </w:rPr>
            </w:pPr>
            <w:r w:rsidRPr="00503014">
              <w:rPr>
                <w:rFonts w:eastAsia="Calibri" w:cs="Calibri"/>
                <w:sz w:val="16"/>
                <w:szCs w:val="16"/>
              </w:rPr>
              <w:t>948</w:t>
            </w:r>
          </w:p>
        </w:tc>
        <w:tc>
          <w:tcPr>
            <w:tcW w:w="1133" w:type="dxa"/>
          </w:tcPr>
          <w:p w14:paraId="58E564F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35EB96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3FACF2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BE41E0B" w14:textId="77777777" w:rsidTr="00980493">
        <w:tc>
          <w:tcPr>
            <w:tcW w:w="2265" w:type="dxa"/>
          </w:tcPr>
          <w:p w14:paraId="7EF87DF4"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1E04ECCF" w14:textId="77777777" w:rsidR="00695AE2" w:rsidRPr="00503014" w:rsidRDefault="00695AE2" w:rsidP="00980493">
            <w:pPr>
              <w:jc w:val="center"/>
              <w:rPr>
                <w:rFonts w:eastAsia="Calibri" w:cs="Calibri"/>
                <w:sz w:val="16"/>
                <w:szCs w:val="16"/>
              </w:rPr>
            </w:pPr>
            <w:r w:rsidRPr="00503014">
              <w:rPr>
                <w:rFonts w:eastAsia="Calibri" w:cs="Calibri"/>
                <w:sz w:val="16"/>
                <w:szCs w:val="16"/>
              </w:rPr>
              <w:t>84</w:t>
            </w:r>
          </w:p>
        </w:tc>
        <w:tc>
          <w:tcPr>
            <w:tcW w:w="1133" w:type="dxa"/>
          </w:tcPr>
          <w:p w14:paraId="3DFD7BB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080165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CE6C36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50B19D7" w14:textId="77777777" w:rsidTr="00980493">
        <w:tc>
          <w:tcPr>
            <w:tcW w:w="2265" w:type="dxa"/>
          </w:tcPr>
          <w:p w14:paraId="49613F9F"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32D2965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53DF8BA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1FDA15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A247E3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50248D79" w14:textId="77777777" w:rsidTr="00980493">
        <w:tc>
          <w:tcPr>
            <w:tcW w:w="2265" w:type="dxa"/>
          </w:tcPr>
          <w:p w14:paraId="35EB0B5F"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152013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0A8C931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DF4C3B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204E07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DAF6593" w14:textId="77777777" w:rsidTr="00980493">
        <w:tc>
          <w:tcPr>
            <w:tcW w:w="2265" w:type="dxa"/>
          </w:tcPr>
          <w:p w14:paraId="25543D0A"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2BB6798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2621D0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90019E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3EE07D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65149BC" w14:textId="77777777" w:rsidTr="00980493">
        <w:tc>
          <w:tcPr>
            <w:tcW w:w="2265" w:type="dxa"/>
          </w:tcPr>
          <w:p w14:paraId="1CD88129"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38DFC3A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B62D67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9CB189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F7AD53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24B03B7" w14:textId="77777777" w:rsidTr="00980493">
        <w:tc>
          <w:tcPr>
            <w:tcW w:w="2265" w:type="dxa"/>
          </w:tcPr>
          <w:p w14:paraId="37868D16" w14:textId="77777777" w:rsidR="00695AE2" w:rsidRPr="00503014" w:rsidRDefault="00695AE2" w:rsidP="00980493">
            <w:pPr>
              <w:jc w:val="center"/>
              <w:rPr>
                <w:rFonts w:eastAsia="Calibri" w:cs="Calibri"/>
                <w:sz w:val="16"/>
                <w:szCs w:val="16"/>
              </w:rPr>
            </w:pPr>
            <w:r w:rsidRPr="00503014">
              <w:rPr>
                <w:rFonts w:eastAsia="Calibri" w:cs="Calibri"/>
                <w:sz w:val="16"/>
                <w:szCs w:val="16"/>
              </w:rPr>
              <w:lastRenderedPageBreak/>
              <w:t>pravna mnenja po 26. členu ZDOdv</w:t>
            </w:r>
          </w:p>
        </w:tc>
        <w:tc>
          <w:tcPr>
            <w:tcW w:w="1132" w:type="dxa"/>
          </w:tcPr>
          <w:p w14:paraId="3FDF4C0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474638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01A708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15CDB0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72DA6676" w14:textId="77777777" w:rsidR="00695AE2" w:rsidRPr="00503014" w:rsidRDefault="00695AE2" w:rsidP="00695AE2">
      <w:pPr>
        <w:spacing w:line="240" w:lineRule="auto"/>
        <w:jc w:val="both"/>
        <w:rPr>
          <w:rFonts w:eastAsia="Calibri"/>
          <w:b/>
          <w:color w:val="007466"/>
          <w:sz w:val="20"/>
          <w:szCs w:val="20"/>
        </w:rPr>
      </w:pPr>
    </w:p>
    <w:p w14:paraId="3F99A026"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Kranju</w:t>
      </w:r>
    </w:p>
    <w:p w14:paraId="03A19F36"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10EBA64B" w14:textId="77777777" w:rsidTr="00980493">
        <w:tc>
          <w:tcPr>
            <w:tcW w:w="2265" w:type="dxa"/>
          </w:tcPr>
          <w:p w14:paraId="6A658014"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52EF7893"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47F17C2A"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16352C28"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49E95688" w14:textId="77777777" w:rsidTr="00980493">
        <w:tc>
          <w:tcPr>
            <w:tcW w:w="2265" w:type="dxa"/>
          </w:tcPr>
          <w:p w14:paraId="3B5741B8" w14:textId="77777777" w:rsidR="00695AE2" w:rsidRPr="00503014" w:rsidRDefault="00695AE2" w:rsidP="00980493">
            <w:pPr>
              <w:jc w:val="center"/>
              <w:rPr>
                <w:rFonts w:eastAsia="Calibri" w:cs="Calibri"/>
                <w:sz w:val="16"/>
                <w:szCs w:val="16"/>
              </w:rPr>
            </w:pPr>
          </w:p>
        </w:tc>
        <w:tc>
          <w:tcPr>
            <w:tcW w:w="1132" w:type="dxa"/>
          </w:tcPr>
          <w:p w14:paraId="1D810BB5"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7AAAECC0"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0A498554" w14:textId="77777777" w:rsidR="00695AE2" w:rsidRPr="00503014" w:rsidRDefault="00695AE2" w:rsidP="00980493">
            <w:pPr>
              <w:rPr>
                <w:rFonts w:eastAsia="Calibri" w:cs="Calibri"/>
                <w:sz w:val="16"/>
                <w:szCs w:val="16"/>
              </w:rPr>
            </w:pPr>
          </w:p>
        </w:tc>
        <w:tc>
          <w:tcPr>
            <w:tcW w:w="2266" w:type="dxa"/>
          </w:tcPr>
          <w:p w14:paraId="418C997E" w14:textId="77777777" w:rsidR="00695AE2" w:rsidRPr="00503014" w:rsidRDefault="00695AE2" w:rsidP="00980493">
            <w:pPr>
              <w:rPr>
                <w:rFonts w:eastAsia="Calibri" w:cs="Calibri"/>
                <w:sz w:val="16"/>
                <w:szCs w:val="16"/>
              </w:rPr>
            </w:pPr>
          </w:p>
        </w:tc>
      </w:tr>
      <w:tr w:rsidR="00695AE2" w:rsidRPr="00503014" w14:paraId="6E13C3DA" w14:textId="77777777" w:rsidTr="00980493">
        <w:tc>
          <w:tcPr>
            <w:tcW w:w="2265" w:type="dxa"/>
          </w:tcPr>
          <w:p w14:paraId="17A97E7E"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5C666E81" w14:textId="77777777" w:rsidR="00695AE2" w:rsidRPr="00503014" w:rsidRDefault="00695AE2" w:rsidP="00980493">
            <w:pPr>
              <w:jc w:val="center"/>
              <w:rPr>
                <w:rFonts w:eastAsia="Calibri" w:cs="Calibri"/>
                <w:sz w:val="16"/>
                <w:szCs w:val="16"/>
              </w:rPr>
            </w:pPr>
            <w:r w:rsidRPr="00503014">
              <w:rPr>
                <w:rFonts w:eastAsia="Calibri" w:cs="Calibri"/>
                <w:sz w:val="16"/>
                <w:szCs w:val="16"/>
              </w:rPr>
              <w:t>875</w:t>
            </w:r>
          </w:p>
        </w:tc>
        <w:tc>
          <w:tcPr>
            <w:tcW w:w="1133" w:type="dxa"/>
          </w:tcPr>
          <w:p w14:paraId="60AA36A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D00C00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0D387F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EDD92D2" w14:textId="77777777" w:rsidTr="00980493">
        <w:tc>
          <w:tcPr>
            <w:tcW w:w="2265" w:type="dxa"/>
          </w:tcPr>
          <w:p w14:paraId="074D7A16"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42514315" w14:textId="77777777" w:rsidR="00695AE2" w:rsidRPr="00503014" w:rsidRDefault="00695AE2" w:rsidP="00980493">
            <w:pPr>
              <w:jc w:val="center"/>
              <w:rPr>
                <w:rFonts w:eastAsia="Calibri" w:cs="Calibri"/>
                <w:sz w:val="16"/>
                <w:szCs w:val="16"/>
              </w:rPr>
            </w:pPr>
            <w:r w:rsidRPr="00503014">
              <w:rPr>
                <w:rFonts w:eastAsia="Calibri" w:cs="Calibri"/>
                <w:sz w:val="16"/>
                <w:szCs w:val="16"/>
              </w:rPr>
              <w:t>119</w:t>
            </w:r>
          </w:p>
        </w:tc>
        <w:tc>
          <w:tcPr>
            <w:tcW w:w="1133" w:type="dxa"/>
          </w:tcPr>
          <w:p w14:paraId="4287531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C8BB11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6156C0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9761EC8" w14:textId="77777777" w:rsidTr="00980493">
        <w:tc>
          <w:tcPr>
            <w:tcW w:w="2265" w:type="dxa"/>
          </w:tcPr>
          <w:p w14:paraId="05565324"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5BC03F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9449CE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84437E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C21D85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7520690C" w14:textId="77777777" w:rsidTr="00980493">
        <w:tc>
          <w:tcPr>
            <w:tcW w:w="2265" w:type="dxa"/>
          </w:tcPr>
          <w:p w14:paraId="5387C4EF"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1A9ADC5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203D57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8200FB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108AEA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D295CF2" w14:textId="77777777" w:rsidTr="00980493">
        <w:tc>
          <w:tcPr>
            <w:tcW w:w="2265" w:type="dxa"/>
          </w:tcPr>
          <w:p w14:paraId="776AD649"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58ABA22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B77D6A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F73B35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4B4F50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18E8F32A" w14:textId="77777777" w:rsidTr="00980493">
        <w:tc>
          <w:tcPr>
            <w:tcW w:w="2265" w:type="dxa"/>
          </w:tcPr>
          <w:p w14:paraId="46DF815C"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0772914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513BDEA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0D99DA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78232F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EC76866" w14:textId="77777777" w:rsidTr="00980493">
        <w:tc>
          <w:tcPr>
            <w:tcW w:w="2265" w:type="dxa"/>
          </w:tcPr>
          <w:p w14:paraId="3BC54642"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1A252E1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F64FEB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08CA9B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F56C4C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32FCE430" w14:textId="77777777" w:rsidR="00695AE2" w:rsidRPr="00503014" w:rsidRDefault="00695AE2" w:rsidP="00695AE2">
      <w:pPr>
        <w:spacing w:line="240" w:lineRule="auto"/>
        <w:jc w:val="both"/>
        <w:rPr>
          <w:rFonts w:eastAsia="Calibri"/>
          <w:b/>
          <w:color w:val="007466"/>
          <w:sz w:val="20"/>
          <w:szCs w:val="20"/>
        </w:rPr>
      </w:pPr>
    </w:p>
    <w:p w14:paraId="2ACAE071"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Mariboru</w:t>
      </w:r>
    </w:p>
    <w:p w14:paraId="44110676"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785A308B" w14:textId="77777777" w:rsidTr="00980493">
        <w:tc>
          <w:tcPr>
            <w:tcW w:w="2265" w:type="dxa"/>
          </w:tcPr>
          <w:p w14:paraId="5C31AFEC"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7936EB2A"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4AE8A2D1"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59BB0FCE"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03E47D8E" w14:textId="77777777" w:rsidTr="00980493">
        <w:tc>
          <w:tcPr>
            <w:tcW w:w="2265" w:type="dxa"/>
          </w:tcPr>
          <w:p w14:paraId="3705351D" w14:textId="77777777" w:rsidR="00695AE2" w:rsidRPr="00503014" w:rsidRDefault="00695AE2" w:rsidP="00980493">
            <w:pPr>
              <w:jc w:val="center"/>
              <w:rPr>
                <w:rFonts w:eastAsia="Calibri" w:cs="Calibri"/>
                <w:sz w:val="16"/>
                <w:szCs w:val="16"/>
              </w:rPr>
            </w:pPr>
          </w:p>
        </w:tc>
        <w:tc>
          <w:tcPr>
            <w:tcW w:w="1132" w:type="dxa"/>
          </w:tcPr>
          <w:p w14:paraId="5DD373AC"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14097B08"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4AC1AAD0" w14:textId="77777777" w:rsidR="00695AE2" w:rsidRPr="00503014" w:rsidRDefault="00695AE2" w:rsidP="00980493">
            <w:pPr>
              <w:rPr>
                <w:rFonts w:eastAsia="Calibri" w:cs="Calibri"/>
                <w:sz w:val="16"/>
                <w:szCs w:val="16"/>
              </w:rPr>
            </w:pPr>
          </w:p>
        </w:tc>
        <w:tc>
          <w:tcPr>
            <w:tcW w:w="2266" w:type="dxa"/>
          </w:tcPr>
          <w:p w14:paraId="02C2BD4A" w14:textId="77777777" w:rsidR="00695AE2" w:rsidRPr="00503014" w:rsidRDefault="00695AE2" w:rsidP="00980493">
            <w:pPr>
              <w:rPr>
                <w:rFonts w:eastAsia="Calibri" w:cs="Calibri"/>
                <w:sz w:val="16"/>
                <w:szCs w:val="16"/>
              </w:rPr>
            </w:pPr>
          </w:p>
        </w:tc>
      </w:tr>
      <w:tr w:rsidR="00695AE2" w:rsidRPr="00503014" w14:paraId="75D28B12" w14:textId="77777777" w:rsidTr="00980493">
        <w:tc>
          <w:tcPr>
            <w:tcW w:w="2265" w:type="dxa"/>
          </w:tcPr>
          <w:p w14:paraId="6FB15081"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006A643C" w14:textId="77777777" w:rsidR="00695AE2" w:rsidRPr="00503014" w:rsidRDefault="00695AE2" w:rsidP="00980493">
            <w:pPr>
              <w:jc w:val="center"/>
              <w:rPr>
                <w:rFonts w:eastAsia="Calibri" w:cs="Calibri"/>
                <w:sz w:val="16"/>
                <w:szCs w:val="16"/>
              </w:rPr>
            </w:pPr>
            <w:r w:rsidRPr="00503014">
              <w:rPr>
                <w:rFonts w:eastAsia="Calibri" w:cs="Calibri"/>
                <w:sz w:val="16"/>
                <w:szCs w:val="16"/>
              </w:rPr>
              <w:t>2.329</w:t>
            </w:r>
          </w:p>
        </w:tc>
        <w:tc>
          <w:tcPr>
            <w:tcW w:w="1133" w:type="dxa"/>
          </w:tcPr>
          <w:p w14:paraId="0C94146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7DFC5F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EBAF84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CF960A7" w14:textId="77777777" w:rsidTr="00980493">
        <w:tc>
          <w:tcPr>
            <w:tcW w:w="2265" w:type="dxa"/>
          </w:tcPr>
          <w:p w14:paraId="292E3590"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6CC9B13F" w14:textId="77777777" w:rsidR="00695AE2" w:rsidRPr="00503014" w:rsidRDefault="00695AE2" w:rsidP="00980493">
            <w:pPr>
              <w:jc w:val="center"/>
              <w:rPr>
                <w:rFonts w:eastAsia="Calibri" w:cs="Calibri"/>
                <w:sz w:val="16"/>
                <w:szCs w:val="16"/>
              </w:rPr>
            </w:pPr>
            <w:r w:rsidRPr="00503014">
              <w:rPr>
                <w:rFonts w:eastAsia="Calibri" w:cs="Calibri"/>
                <w:sz w:val="16"/>
                <w:szCs w:val="16"/>
              </w:rPr>
              <w:t>288</w:t>
            </w:r>
          </w:p>
        </w:tc>
        <w:tc>
          <w:tcPr>
            <w:tcW w:w="1133" w:type="dxa"/>
          </w:tcPr>
          <w:p w14:paraId="10A1B93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74B729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477A4C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71DAE9A" w14:textId="77777777" w:rsidTr="00980493">
        <w:tc>
          <w:tcPr>
            <w:tcW w:w="2265" w:type="dxa"/>
          </w:tcPr>
          <w:p w14:paraId="15FDB1E6"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409E861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C8C044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28C769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1AEB9E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100A5B25" w14:textId="77777777" w:rsidTr="00980493">
        <w:tc>
          <w:tcPr>
            <w:tcW w:w="2265" w:type="dxa"/>
          </w:tcPr>
          <w:p w14:paraId="58C016D2"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5C385E1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97D7B9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DFBC37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E85DA0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14C1D371" w14:textId="77777777" w:rsidTr="00980493">
        <w:tc>
          <w:tcPr>
            <w:tcW w:w="2265" w:type="dxa"/>
          </w:tcPr>
          <w:p w14:paraId="7857660A"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4BF29866"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1133" w:type="dxa"/>
          </w:tcPr>
          <w:p w14:paraId="34CD6A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76F3A7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1235D6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EB7FFB3" w14:textId="77777777" w:rsidTr="00980493">
        <w:tc>
          <w:tcPr>
            <w:tcW w:w="2265" w:type="dxa"/>
          </w:tcPr>
          <w:p w14:paraId="6AD945ED"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2C5C97E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73D184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DD8D93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313192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A978F3B" w14:textId="77777777" w:rsidTr="00980493">
        <w:tc>
          <w:tcPr>
            <w:tcW w:w="2265" w:type="dxa"/>
          </w:tcPr>
          <w:p w14:paraId="43D94168"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00AF194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5869CB94" w14:textId="77777777" w:rsidR="00695AE2" w:rsidRPr="00503014" w:rsidRDefault="00695AE2" w:rsidP="00980493">
            <w:pPr>
              <w:jc w:val="center"/>
              <w:rPr>
                <w:rFonts w:eastAsia="Calibri" w:cs="Calibri"/>
                <w:sz w:val="16"/>
                <w:szCs w:val="16"/>
              </w:rPr>
            </w:pPr>
            <w:r w:rsidRPr="00503014">
              <w:rPr>
                <w:rFonts w:eastAsia="Calibri" w:cs="Calibri"/>
                <w:sz w:val="16"/>
                <w:szCs w:val="16"/>
              </w:rPr>
              <w:t>1</w:t>
            </w:r>
          </w:p>
        </w:tc>
        <w:tc>
          <w:tcPr>
            <w:tcW w:w="2266" w:type="dxa"/>
          </w:tcPr>
          <w:p w14:paraId="6DB3C03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3E2B07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335E9C68" w14:textId="77777777" w:rsidR="00695AE2" w:rsidRPr="00503014" w:rsidRDefault="00695AE2" w:rsidP="00695AE2">
      <w:pPr>
        <w:spacing w:line="240" w:lineRule="auto"/>
        <w:jc w:val="both"/>
        <w:rPr>
          <w:rFonts w:eastAsia="Calibri"/>
          <w:sz w:val="20"/>
          <w:szCs w:val="20"/>
        </w:rPr>
      </w:pPr>
    </w:p>
    <w:p w14:paraId="4FA310AE"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Murski Soboti</w:t>
      </w:r>
    </w:p>
    <w:p w14:paraId="3DC3C751"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54F75439" w14:textId="77777777" w:rsidTr="00980493">
        <w:tc>
          <w:tcPr>
            <w:tcW w:w="2265" w:type="dxa"/>
          </w:tcPr>
          <w:p w14:paraId="1AC23BAE"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2878401A"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284000A3"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3A6522DD"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0B9911B3" w14:textId="77777777" w:rsidTr="00980493">
        <w:tc>
          <w:tcPr>
            <w:tcW w:w="2265" w:type="dxa"/>
          </w:tcPr>
          <w:p w14:paraId="2F66E3AD" w14:textId="77777777" w:rsidR="00695AE2" w:rsidRPr="00503014" w:rsidRDefault="00695AE2" w:rsidP="00980493">
            <w:pPr>
              <w:jc w:val="center"/>
              <w:rPr>
                <w:rFonts w:eastAsia="Calibri" w:cs="Calibri"/>
                <w:sz w:val="16"/>
                <w:szCs w:val="16"/>
              </w:rPr>
            </w:pPr>
          </w:p>
        </w:tc>
        <w:tc>
          <w:tcPr>
            <w:tcW w:w="1132" w:type="dxa"/>
          </w:tcPr>
          <w:p w14:paraId="19393CF1"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43E39BE7"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0DE0C928" w14:textId="77777777" w:rsidR="00695AE2" w:rsidRPr="00503014" w:rsidRDefault="00695AE2" w:rsidP="00980493">
            <w:pPr>
              <w:rPr>
                <w:rFonts w:eastAsia="Calibri" w:cs="Calibri"/>
                <w:sz w:val="16"/>
                <w:szCs w:val="16"/>
              </w:rPr>
            </w:pPr>
          </w:p>
        </w:tc>
        <w:tc>
          <w:tcPr>
            <w:tcW w:w="2266" w:type="dxa"/>
          </w:tcPr>
          <w:p w14:paraId="0391CE04" w14:textId="77777777" w:rsidR="00695AE2" w:rsidRPr="00503014" w:rsidRDefault="00695AE2" w:rsidP="00980493">
            <w:pPr>
              <w:rPr>
                <w:rFonts w:eastAsia="Calibri" w:cs="Calibri"/>
                <w:sz w:val="16"/>
                <w:szCs w:val="16"/>
              </w:rPr>
            </w:pPr>
          </w:p>
        </w:tc>
      </w:tr>
      <w:tr w:rsidR="00695AE2" w:rsidRPr="00503014" w14:paraId="732A2DF6" w14:textId="77777777" w:rsidTr="00980493">
        <w:tc>
          <w:tcPr>
            <w:tcW w:w="2265" w:type="dxa"/>
          </w:tcPr>
          <w:p w14:paraId="0A48B3E2"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22298CE4" w14:textId="77777777" w:rsidR="00695AE2" w:rsidRPr="00503014" w:rsidRDefault="00695AE2" w:rsidP="00980493">
            <w:pPr>
              <w:jc w:val="center"/>
              <w:rPr>
                <w:rFonts w:eastAsia="Calibri" w:cs="Calibri"/>
                <w:sz w:val="16"/>
                <w:szCs w:val="16"/>
              </w:rPr>
            </w:pPr>
            <w:r w:rsidRPr="00503014">
              <w:rPr>
                <w:rFonts w:eastAsia="Calibri" w:cs="Calibri"/>
                <w:sz w:val="16"/>
                <w:szCs w:val="16"/>
              </w:rPr>
              <w:t>1.088</w:t>
            </w:r>
          </w:p>
        </w:tc>
        <w:tc>
          <w:tcPr>
            <w:tcW w:w="1133" w:type="dxa"/>
          </w:tcPr>
          <w:p w14:paraId="2F0ECB9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5A6162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FABF6D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CD145B0" w14:textId="77777777" w:rsidTr="00980493">
        <w:tc>
          <w:tcPr>
            <w:tcW w:w="2265" w:type="dxa"/>
          </w:tcPr>
          <w:p w14:paraId="3432209E"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021A16C2" w14:textId="77777777" w:rsidR="00695AE2" w:rsidRPr="00503014" w:rsidRDefault="00695AE2" w:rsidP="00980493">
            <w:pPr>
              <w:jc w:val="center"/>
              <w:rPr>
                <w:rFonts w:eastAsia="Calibri" w:cs="Calibri"/>
                <w:sz w:val="16"/>
                <w:szCs w:val="16"/>
              </w:rPr>
            </w:pPr>
            <w:r w:rsidRPr="00503014">
              <w:rPr>
                <w:rFonts w:eastAsia="Calibri" w:cs="Calibri"/>
                <w:sz w:val="16"/>
                <w:szCs w:val="16"/>
              </w:rPr>
              <w:t>91</w:t>
            </w:r>
          </w:p>
        </w:tc>
        <w:tc>
          <w:tcPr>
            <w:tcW w:w="1133" w:type="dxa"/>
          </w:tcPr>
          <w:p w14:paraId="3DE7BD4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E5564D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D09D23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FD97AA9" w14:textId="77777777" w:rsidTr="00980493">
        <w:tc>
          <w:tcPr>
            <w:tcW w:w="2265" w:type="dxa"/>
          </w:tcPr>
          <w:p w14:paraId="336B715E"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3BE8E38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706CF38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EC855B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68C4FA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36CAC70" w14:textId="77777777" w:rsidTr="00980493">
        <w:tc>
          <w:tcPr>
            <w:tcW w:w="2265" w:type="dxa"/>
          </w:tcPr>
          <w:p w14:paraId="654384ED"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6A4F68A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036E2EA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501672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1E042B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C7F7906" w14:textId="77777777" w:rsidTr="00980493">
        <w:tc>
          <w:tcPr>
            <w:tcW w:w="2265" w:type="dxa"/>
          </w:tcPr>
          <w:p w14:paraId="5B2040D8"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7F64777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C48A1C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973C92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9F9BAC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8A886C1" w14:textId="77777777" w:rsidTr="00980493">
        <w:tc>
          <w:tcPr>
            <w:tcW w:w="2265" w:type="dxa"/>
          </w:tcPr>
          <w:p w14:paraId="5152CA5F"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702A8DA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2B8841A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54AF6A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7E49EA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3F972E0" w14:textId="77777777" w:rsidTr="00980493">
        <w:tc>
          <w:tcPr>
            <w:tcW w:w="2265" w:type="dxa"/>
          </w:tcPr>
          <w:p w14:paraId="64465228"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78CAC3A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5C02EC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8CED41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1AA793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13B8B5D3" w14:textId="77777777" w:rsidR="00695AE2" w:rsidRPr="00503014" w:rsidRDefault="00695AE2" w:rsidP="00695AE2">
      <w:pPr>
        <w:spacing w:line="240" w:lineRule="auto"/>
        <w:jc w:val="both"/>
        <w:rPr>
          <w:rFonts w:eastAsia="Calibri"/>
          <w:b/>
          <w:color w:val="007466"/>
          <w:sz w:val="20"/>
          <w:szCs w:val="20"/>
        </w:rPr>
      </w:pPr>
    </w:p>
    <w:p w14:paraId="30241DD6"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Novi Gorici</w:t>
      </w:r>
    </w:p>
    <w:p w14:paraId="74995C30"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4A3CB534" w14:textId="77777777" w:rsidTr="00980493">
        <w:tc>
          <w:tcPr>
            <w:tcW w:w="2265" w:type="dxa"/>
          </w:tcPr>
          <w:p w14:paraId="3A72A3E6"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5B067390"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218C4051"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1C8C3793"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35B1D9D4" w14:textId="77777777" w:rsidTr="00980493">
        <w:tc>
          <w:tcPr>
            <w:tcW w:w="2265" w:type="dxa"/>
          </w:tcPr>
          <w:p w14:paraId="16006B94" w14:textId="77777777" w:rsidR="00695AE2" w:rsidRPr="00503014" w:rsidRDefault="00695AE2" w:rsidP="00980493">
            <w:pPr>
              <w:jc w:val="center"/>
              <w:rPr>
                <w:rFonts w:eastAsia="Calibri" w:cs="Calibri"/>
                <w:sz w:val="16"/>
                <w:szCs w:val="16"/>
              </w:rPr>
            </w:pPr>
          </w:p>
        </w:tc>
        <w:tc>
          <w:tcPr>
            <w:tcW w:w="1132" w:type="dxa"/>
          </w:tcPr>
          <w:p w14:paraId="292BBE85"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0E38BF2C"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320AC012" w14:textId="77777777" w:rsidR="00695AE2" w:rsidRPr="00503014" w:rsidRDefault="00695AE2" w:rsidP="00980493">
            <w:pPr>
              <w:rPr>
                <w:rFonts w:eastAsia="Calibri" w:cs="Calibri"/>
                <w:sz w:val="16"/>
                <w:szCs w:val="16"/>
              </w:rPr>
            </w:pPr>
          </w:p>
        </w:tc>
        <w:tc>
          <w:tcPr>
            <w:tcW w:w="2266" w:type="dxa"/>
          </w:tcPr>
          <w:p w14:paraId="61773825" w14:textId="77777777" w:rsidR="00695AE2" w:rsidRPr="00503014" w:rsidRDefault="00695AE2" w:rsidP="00980493">
            <w:pPr>
              <w:rPr>
                <w:rFonts w:eastAsia="Calibri" w:cs="Calibri"/>
                <w:sz w:val="16"/>
                <w:szCs w:val="16"/>
              </w:rPr>
            </w:pPr>
          </w:p>
        </w:tc>
      </w:tr>
      <w:tr w:rsidR="00695AE2" w:rsidRPr="00503014" w14:paraId="76B3FB8E" w14:textId="77777777" w:rsidTr="00980493">
        <w:tc>
          <w:tcPr>
            <w:tcW w:w="2265" w:type="dxa"/>
          </w:tcPr>
          <w:p w14:paraId="02FE738F"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76A3EABF" w14:textId="77777777" w:rsidR="00695AE2" w:rsidRPr="00503014" w:rsidRDefault="00695AE2" w:rsidP="00980493">
            <w:pPr>
              <w:jc w:val="center"/>
              <w:rPr>
                <w:rFonts w:eastAsia="Calibri" w:cs="Calibri"/>
                <w:sz w:val="16"/>
                <w:szCs w:val="16"/>
              </w:rPr>
            </w:pPr>
            <w:r w:rsidRPr="00503014">
              <w:rPr>
                <w:rFonts w:eastAsia="Calibri" w:cs="Calibri"/>
                <w:sz w:val="16"/>
                <w:szCs w:val="16"/>
              </w:rPr>
              <w:t>467</w:t>
            </w:r>
          </w:p>
        </w:tc>
        <w:tc>
          <w:tcPr>
            <w:tcW w:w="1133" w:type="dxa"/>
          </w:tcPr>
          <w:p w14:paraId="09718B4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3F86D1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C7D1C5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120C1E0" w14:textId="77777777" w:rsidTr="00980493">
        <w:tc>
          <w:tcPr>
            <w:tcW w:w="2265" w:type="dxa"/>
          </w:tcPr>
          <w:p w14:paraId="71C67643"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65B3D5F5" w14:textId="77777777" w:rsidR="00695AE2" w:rsidRPr="00503014" w:rsidRDefault="00695AE2" w:rsidP="00980493">
            <w:pPr>
              <w:jc w:val="center"/>
              <w:rPr>
                <w:rFonts w:eastAsia="Calibri" w:cs="Calibri"/>
                <w:sz w:val="16"/>
                <w:szCs w:val="16"/>
              </w:rPr>
            </w:pPr>
            <w:r w:rsidRPr="00503014">
              <w:rPr>
                <w:rFonts w:eastAsia="Calibri" w:cs="Calibri"/>
                <w:sz w:val="16"/>
                <w:szCs w:val="16"/>
              </w:rPr>
              <w:t>51</w:t>
            </w:r>
          </w:p>
        </w:tc>
        <w:tc>
          <w:tcPr>
            <w:tcW w:w="1133" w:type="dxa"/>
          </w:tcPr>
          <w:p w14:paraId="3F240E5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5460BF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B4715E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B6B35D3" w14:textId="77777777" w:rsidTr="00980493">
        <w:tc>
          <w:tcPr>
            <w:tcW w:w="2265" w:type="dxa"/>
          </w:tcPr>
          <w:p w14:paraId="60BA5842" w14:textId="77777777" w:rsidR="00695AE2" w:rsidRPr="00503014" w:rsidRDefault="00695AE2" w:rsidP="00980493">
            <w:pPr>
              <w:jc w:val="center"/>
              <w:rPr>
                <w:rFonts w:eastAsia="Calibri" w:cs="Calibri"/>
                <w:sz w:val="16"/>
                <w:szCs w:val="16"/>
              </w:rPr>
            </w:pPr>
            <w:r w:rsidRPr="00503014">
              <w:rPr>
                <w:rFonts w:eastAsia="Calibri" w:cs="Calibri"/>
                <w:sz w:val="16"/>
                <w:szCs w:val="16"/>
              </w:rPr>
              <w:lastRenderedPageBreak/>
              <w:t>zastopanje po tretjem odstavku 12. člena ZDOdv</w:t>
            </w:r>
          </w:p>
        </w:tc>
        <w:tc>
          <w:tcPr>
            <w:tcW w:w="1132" w:type="dxa"/>
          </w:tcPr>
          <w:p w14:paraId="67D8CA6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02DA6C8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081271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5C681B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F3C58C6" w14:textId="77777777" w:rsidTr="00980493">
        <w:tc>
          <w:tcPr>
            <w:tcW w:w="2265" w:type="dxa"/>
          </w:tcPr>
          <w:p w14:paraId="0AFCD285"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2024FD5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6173E2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4B858A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F2EBE0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0A110D8A" w14:textId="77777777" w:rsidTr="00980493">
        <w:tc>
          <w:tcPr>
            <w:tcW w:w="2265" w:type="dxa"/>
          </w:tcPr>
          <w:p w14:paraId="39267C0C"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1471A33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668F3A1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FB363C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007E60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4E964187" w14:textId="77777777" w:rsidTr="00980493">
        <w:tc>
          <w:tcPr>
            <w:tcW w:w="2265" w:type="dxa"/>
          </w:tcPr>
          <w:p w14:paraId="4B411CEE"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1BFFC05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3D826FF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00E56E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129E07F"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7C12D2D3" w14:textId="77777777" w:rsidTr="00980493">
        <w:tc>
          <w:tcPr>
            <w:tcW w:w="2265" w:type="dxa"/>
          </w:tcPr>
          <w:p w14:paraId="755CA644"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7E6370D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7EBF45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209958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4BA59C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792ED6F2" w14:textId="77777777" w:rsidR="00695AE2" w:rsidRPr="00503014" w:rsidRDefault="00695AE2" w:rsidP="00695AE2">
      <w:pPr>
        <w:spacing w:line="240" w:lineRule="auto"/>
        <w:jc w:val="both"/>
        <w:rPr>
          <w:rFonts w:eastAsia="Calibri"/>
          <w:b/>
          <w:color w:val="007466"/>
          <w:sz w:val="20"/>
          <w:szCs w:val="20"/>
        </w:rPr>
      </w:pPr>
    </w:p>
    <w:p w14:paraId="14F8EA24"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v Novem mestu</w:t>
      </w:r>
    </w:p>
    <w:p w14:paraId="2C3B3408"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682F188B" w14:textId="77777777" w:rsidTr="00980493">
        <w:tc>
          <w:tcPr>
            <w:tcW w:w="2265" w:type="dxa"/>
          </w:tcPr>
          <w:p w14:paraId="7647DF49"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3E4DDF31"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4C783563"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3AA507F5"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0045F3A4" w14:textId="77777777" w:rsidTr="00980493">
        <w:tc>
          <w:tcPr>
            <w:tcW w:w="2265" w:type="dxa"/>
          </w:tcPr>
          <w:p w14:paraId="71CD84D4" w14:textId="77777777" w:rsidR="00695AE2" w:rsidRPr="00503014" w:rsidRDefault="00695AE2" w:rsidP="00980493">
            <w:pPr>
              <w:jc w:val="center"/>
              <w:rPr>
                <w:rFonts w:eastAsia="Calibri" w:cs="Calibri"/>
                <w:sz w:val="16"/>
                <w:szCs w:val="16"/>
              </w:rPr>
            </w:pPr>
          </w:p>
        </w:tc>
        <w:tc>
          <w:tcPr>
            <w:tcW w:w="1132" w:type="dxa"/>
          </w:tcPr>
          <w:p w14:paraId="746DAE47"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2EC3BDF9"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265BCDC1" w14:textId="77777777" w:rsidR="00695AE2" w:rsidRPr="00503014" w:rsidRDefault="00695AE2" w:rsidP="00980493">
            <w:pPr>
              <w:rPr>
                <w:rFonts w:eastAsia="Calibri" w:cs="Calibri"/>
                <w:sz w:val="16"/>
                <w:szCs w:val="16"/>
              </w:rPr>
            </w:pPr>
          </w:p>
        </w:tc>
        <w:tc>
          <w:tcPr>
            <w:tcW w:w="2266" w:type="dxa"/>
          </w:tcPr>
          <w:p w14:paraId="2AF125DA" w14:textId="77777777" w:rsidR="00695AE2" w:rsidRPr="00503014" w:rsidRDefault="00695AE2" w:rsidP="00980493">
            <w:pPr>
              <w:rPr>
                <w:rFonts w:eastAsia="Calibri" w:cs="Calibri"/>
                <w:sz w:val="16"/>
                <w:szCs w:val="16"/>
              </w:rPr>
            </w:pPr>
          </w:p>
        </w:tc>
      </w:tr>
      <w:tr w:rsidR="00695AE2" w:rsidRPr="00503014" w14:paraId="1A9F078A" w14:textId="77777777" w:rsidTr="00980493">
        <w:tc>
          <w:tcPr>
            <w:tcW w:w="2265" w:type="dxa"/>
          </w:tcPr>
          <w:p w14:paraId="16A08D15"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28512271" w14:textId="77777777" w:rsidR="00695AE2" w:rsidRPr="00503014" w:rsidRDefault="00695AE2" w:rsidP="00980493">
            <w:pPr>
              <w:jc w:val="center"/>
              <w:rPr>
                <w:rFonts w:eastAsia="Calibri" w:cs="Calibri"/>
                <w:sz w:val="16"/>
                <w:szCs w:val="16"/>
              </w:rPr>
            </w:pPr>
            <w:r w:rsidRPr="00503014">
              <w:rPr>
                <w:rFonts w:eastAsia="Calibri" w:cs="Calibri"/>
                <w:sz w:val="16"/>
                <w:szCs w:val="16"/>
              </w:rPr>
              <w:t>1.018</w:t>
            </w:r>
          </w:p>
        </w:tc>
        <w:tc>
          <w:tcPr>
            <w:tcW w:w="1133" w:type="dxa"/>
          </w:tcPr>
          <w:p w14:paraId="4BA319A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B1C0E7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E6382D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79180FB1" w14:textId="77777777" w:rsidTr="00980493">
        <w:tc>
          <w:tcPr>
            <w:tcW w:w="2265" w:type="dxa"/>
          </w:tcPr>
          <w:p w14:paraId="61F0EAA9"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726731B4" w14:textId="77777777" w:rsidR="00695AE2" w:rsidRPr="00503014" w:rsidRDefault="00695AE2" w:rsidP="00980493">
            <w:pPr>
              <w:jc w:val="center"/>
              <w:rPr>
                <w:rFonts w:eastAsia="Calibri" w:cs="Calibri"/>
                <w:sz w:val="16"/>
                <w:szCs w:val="16"/>
              </w:rPr>
            </w:pPr>
            <w:r w:rsidRPr="00503014">
              <w:rPr>
                <w:rFonts w:eastAsia="Calibri" w:cs="Calibri"/>
                <w:sz w:val="16"/>
                <w:szCs w:val="16"/>
              </w:rPr>
              <w:t>81</w:t>
            </w:r>
          </w:p>
        </w:tc>
        <w:tc>
          <w:tcPr>
            <w:tcW w:w="1133" w:type="dxa"/>
          </w:tcPr>
          <w:p w14:paraId="7BEABE33"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778F957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A653E6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3CD1944" w14:textId="77777777" w:rsidTr="00980493">
        <w:tc>
          <w:tcPr>
            <w:tcW w:w="2265" w:type="dxa"/>
          </w:tcPr>
          <w:p w14:paraId="2B1EF96E"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5E53BBD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D59060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B4866B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398B10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B1C86B0" w14:textId="77777777" w:rsidTr="00980493">
        <w:tc>
          <w:tcPr>
            <w:tcW w:w="2265" w:type="dxa"/>
          </w:tcPr>
          <w:p w14:paraId="0E4EFB81"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0713476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09A5FA9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F8BBFC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F4953B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1A8141D" w14:textId="77777777" w:rsidTr="00980493">
        <w:tc>
          <w:tcPr>
            <w:tcW w:w="2265" w:type="dxa"/>
          </w:tcPr>
          <w:p w14:paraId="4068029A"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7138A0B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247B67D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D4BCCF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5003177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7DA138B2" w14:textId="77777777" w:rsidTr="00980493">
        <w:tc>
          <w:tcPr>
            <w:tcW w:w="2265" w:type="dxa"/>
          </w:tcPr>
          <w:p w14:paraId="481854E2"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687D2C5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251B792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A0280D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3D15852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9880125" w14:textId="77777777" w:rsidTr="00980493">
        <w:tc>
          <w:tcPr>
            <w:tcW w:w="2265" w:type="dxa"/>
          </w:tcPr>
          <w:p w14:paraId="2D091294"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501A92C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267EB6EA"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63BECD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3F92EE0"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61A0C401" w14:textId="77777777" w:rsidR="00695AE2" w:rsidRPr="00503014" w:rsidRDefault="00695AE2" w:rsidP="00695AE2">
      <w:pPr>
        <w:spacing w:line="240" w:lineRule="auto"/>
        <w:jc w:val="both"/>
        <w:rPr>
          <w:rFonts w:eastAsia="Calibri"/>
          <w:b/>
          <w:color w:val="006674"/>
          <w:sz w:val="20"/>
          <w:szCs w:val="20"/>
        </w:rPr>
      </w:pPr>
    </w:p>
    <w:p w14:paraId="6F8C32DA"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Zunanji oddelek Državnega odvetništva RS na Ptuju</w:t>
      </w:r>
    </w:p>
    <w:p w14:paraId="7087C2E3" w14:textId="77777777" w:rsidR="00695AE2" w:rsidRPr="00503014" w:rsidRDefault="00695AE2" w:rsidP="00695AE2">
      <w:pPr>
        <w:spacing w:line="240" w:lineRule="auto"/>
        <w:jc w:val="both"/>
        <w:rPr>
          <w:rFonts w:eastAsia="Calibri"/>
          <w:b/>
          <w:color w:val="007466"/>
          <w:sz w:val="20"/>
          <w:szCs w:val="20"/>
        </w:rPr>
      </w:pPr>
    </w:p>
    <w:tbl>
      <w:tblPr>
        <w:tblStyle w:val="Tabelamrea2"/>
        <w:tblW w:w="0" w:type="auto"/>
        <w:tblLook w:val="04A0" w:firstRow="1" w:lastRow="0" w:firstColumn="1" w:lastColumn="0" w:noHBand="0" w:noVBand="1"/>
      </w:tblPr>
      <w:tblGrid>
        <w:gridCol w:w="2265"/>
        <w:gridCol w:w="1132"/>
        <w:gridCol w:w="1133"/>
        <w:gridCol w:w="2266"/>
        <w:gridCol w:w="2266"/>
      </w:tblGrid>
      <w:tr w:rsidR="00695AE2" w:rsidRPr="00503014" w14:paraId="65C92EBF" w14:textId="77777777" w:rsidTr="00980493">
        <w:tc>
          <w:tcPr>
            <w:tcW w:w="2265" w:type="dxa"/>
          </w:tcPr>
          <w:p w14:paraId="234C7BAC" w14:textId="77777777" w:rsidR="00695AE2" w:rsidRPr="00503014" w:rsidRDefault="00695AE2" w:rsidP="00980493">
            <w:pPr>
              <w:jc w:val="center"/>
              <w:rPr>
                <w:rFonts w:eastAsia="Calibri" w:cs="Calibri"/>
                <w:sz w:val="16"/>
                <w:szCs w:val="16"/>
              </w:rPr>
            </w:pPr>
            <w:r w:rsidRPr="00503014">
              <w:rPr>
                <w:rFonts w:eastAsia="Calibri" w:cs="Calibri"/>
                <w:sz w:val="16"/>
                <w:szCs w:val="16"/>
              </w:rPr>
              <w:t>področje dela</w:t>
            </w:r>
          </w:p>
        </w:tc>
        <w:tc>
          <w:tcPr>
            <w:tcW w:w="2265" w:type="dxa"/>
            <w:gridSpan w:val="2"/>
          </w:tcPr>
          <w:p w14:paraId="48313D0A"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vloženih</w:t>
            </w:r>
          </w:p>
        </w:tc>
        <w:tc>
          <w:tcPr>
            <w:tcW w:w="2266" w:type="dxa"/>
          </w:tcPr>
          <w:p w14:paraId="23FF9462"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ugodenih predlogov</w:t>
            </w:r>
          </w:p>
        </w:tc>
        <w:tc>
          <w:tcPr>
            <w:tcW w:w="2266" w:type="dxa"/>
          </w:tcPr>
          <w:p w14:paraId="1EEC2EB9" w14:textId="77777777" w:rsidR="00695AE2" w:rsidRPr="00503014" w:rsidRDefault="00695AE2" w:rsidP="00980493">
            <w:pPr>
              <w:jc w:val="center"/>
              <w:rPr>
                <w:rFonts w:eastAsia="Calibri" w:cs="Calibri"/>
                <w:sz w:val="16"/>
                <w:szCs w:val="16"/>
              </w:rPr>
            </w:pPr>
            <w:r w:rsidRPr="00503014">
              <w:rPr>
                <w:rFonts w:eastAsia="Calibri" w:cs="Calibri"/>
                <w:sz w:val="16"/>
                <w:szCs w:val="16"/>
              </w:rPr>
              <w:t>število odklonjenih predlogov</w:t>
            </w:r>
          </w:p>
        </w:tc>
      </w:tr>
      <w:tr w:rsidR="00695AE2" w:rsidRPr="00503014" w14:paraId="7036149B" w14:textId="77777777" w:rsidTr="00980493">
        <w:tc>
          <w:tcPr>
            <w:tcW w:w="2265" w:type="dxa"/>
          </w:tcPr>
          <w:p w14:paraId="7213306C" w14:textId="77777777" w:rsidR="00695AE2" w:rsidRPr="00503014" w:rsidRDefault="00695AE2" w:rsidP="00980493">
            <w:pPr>
              <w:jc w:val="center"/>
              <w:rPr>
                <w:rFonts w:eastAsia="Calibri" w:cs="Calibri"/>
                <w:sz w:val="16"/>
                <w:szCs w:val="16"/>
              </w:rPr>
            </w:pPr>
          </w:p>
        </w:tc>
        <w:tc>
          <w:tcPr>
            <w:tcW w:w="1132" w:type="dxa"/>
          </w:tcPr>
          <w:p w14:paraId="653593AC" w14:textId="77777777" w:rsidR="00695AE2" w:rsidRPr="00503014" w:rsidRDefault="00695AE2" w:rsidP="00980493">
            <w:pPr>
              <w:jc w:val="center"/>
              <w:rPr>
                <w:rFonts w:eastAsia="Calibri" w:cs="Calibri"/>
                <w:sz w:val="16"/>
                <w:szCs w:val="16"/>
              </w:rPr>
            </w:pPr>
            <w:r w:rsidRPr="00503014">
              <w:rPr>
                <w:rFonts w:eastAsia="Calibri" w:cs="Calibri"/>
                <w:sz w:val="16"/>
                <w:szCs w:val="16"/>
              </w:rPr>
              <w:t>zahtev</w:t>
            </w:r>
          </w:p>
        </w:tc>
        <w:tc>
          <w:tcPr>
            <w:tcW w:w="1133" w:type="dxa"/>
          </w:tcPr>
          <w:p w14:paraId="536F11D0" w14:textId="77777777" w:rsidR="00695AE2" w:rsidRPr="00503014" w:rsidRDefault="00695AE2" w:rsidP="00980493">
            <w:pPr>
              <w:jc w:val="center"/>
              <w:rPr>
                <w:rFonts w:eastAsia="Calibri" w:cs="Calibri"/>
                <w:sz w:val="16"/>
                <w:szCs w:val="16"/>
              </w:rPr>
            </w:pPr>
            <w:r w:rsidRPr="00503014">
              <w:rPr>
                <w:rFonts w:eastAsia="Calibri" w:cs="Calibri"/>
                <w:sz w:val="16"/>
                <w:szCs w:val="16"/>
              </w:rPr>
              <w:t>predlogov</w:t>
            </w:r>
          </w:p>
        </w:tc>
        <w:tc>
          <w:tcPr>
            <w:tcW w:w="2266" w:type="dxa"/>
          </w:tcPr>
          <w:p w14:paraId="670B3AB7" w14:textId="77777777" w:rsidR="00695AE2" w:rsidRPr="00503014" w:rsidRDefault="00695AE2" w:rsidP="00980493">
            <w:pPr>
              <w:rPr>
                <w:rFonts w:eastAsia="Calibri" w:cs="Calibri"/>
                <w:sz w:val="16"/>
                <w:szCs w:val="16"/>
              </w:rPr>
            </w:pPr>
          </w:p>
        </w:tc>
        <w:tc>
          <w:tcPr>
            <w:tcW w:w="2266" w:type="dxa"/>
          </w:tcPr>
          <w:p w14:paraId="34D87CBC" w14:textId="77777777" w:rsidR="00695AE2" w:rsidRPr="00503014" w:rsidRDefault="00695AE2" w:rsidP="00980493">
            <w:pPr>
              <w:rPr>
                <w:rFonts w:eastAsia="Calibri" w:cs="Calibri"/>
                <w:sz w:val="16"/>
                <w:szCs w:val="16"/>
              </w:rPr>
            </w:pPr>
          </w:p>
        </w:tc>
      </w:tr>
      <w:tr w:rsidR="00695AE2" w:rsidRPr="00503014" w14:paraId="4453DA21" w14:textId="77777777" w:rsidTr="00980493">
        <w:tc>
          <w:tcPr>
            <w:tcW w:w="2265" w:type="dxa"/>
          </w:tcPr>
          <w:p w14:paraId="65C1761E"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prvem odstavku 12. člena ZDOdv</w:t>
            </w:r>
          </w:p>
        </w:tc>
        <w:tc>
          <w:tcPr>
            <w:tcW w:w="1132" w:type="dxa"/>
          </w:tcPr>
          <w:p w14:paraId="49DD47D2" w14:textId="77777777" w:rsidR="00695AE2" w:rsidRPr="00503014" w:rsidRDefault="00695AE2" w:rsidP="00980493">
            <w:pPr>
              <w:jc w:val="center"/>
              <w:rPr>
                <w:rFonts w:eastAsia="Calibri" w:cs="Calibri"/>
                <w:sz w:val="16"/>
                <w:szCs w:val="16"/>
              </w:rPr>
            </w:pPr>
            <w:r w:rsidRPr="00503014">
              <w:rPr>
                <w:rFonts w:eastAsia="Calibri" w:cs="Calibri"/>
                <w:sz w:val="16"/>
                <w:szCs w:val="16"/>
              </w:rPr>
              <w:t>703</w:t>
            </w:r>
          </w:p>
        </w:tc>
        <w:tc>
          <w:tcPr>
            <w:tcW w:w="1133" w:type="dxa"/>
          </w:tcPr>
          <w:p w14:paraId="491924D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4A75F5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4016387"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28476AC2" w14:textId="77777777" w:rsidTr="00980493">
        <w:tc>
          <w:tcPr>
            <w:tcW w:w="2265" w:type="dxa"/>
          </w:tcPr>
          <w:p w14:paraId="5FE404A5"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drugem odstavku 12. člena ZDOdv</w:t>
            </w:r>
          </w:p>
        </w:tc>
        <w:tc>
          <w:tcPr>
            <w:tcW w:w="1132" w:type="dxa"/>
          </w:tcPr>
          <w:p w14:paraId="499313EB" w14:textId="77777777" w:rsidR="00695AE2" w:rsidRPr="00503014" w:rsidRDefault="00695AE2" w:rsidP="00980493">
            <w:pPr>
              <w:jc w:val="center"/>
              <w:rPr>
                <w:rFonts w:eastAsia="Calibri" w:cs="Calibri"/>
                <w:sz w:val="16"/>
                <w:szCs w:val="16"/>
              </w:rPr>
            </w:pPr>
            <w:r w:rsidRPr="00503014">
              <w:rPr>
                <w:rFonts w:eastAsia="Calibri" w:cs="Calibri"/>
                <w:sz w:val="16"/>
                <w:szCs w:val="16"/>
              </w:rPr>
              <w:t>96</w:t>
            </w:r>
          </w:p>
        </w:tc>
        <w:tc>
          <w:tcPr>
            <w:tcW w:w="1133" w:type="dxa"/>
          </w:tcPr>
          <w:p w14:paraId="2A70006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5CB5332"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443635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7F92A6DC" w14:textId="77777777" w:rsidTr="00980493">
        <w:tc>
          <w:tcPr>
            <w:tcW w:w="2265" w:type="dxa"/>
          </w:tcPr>
          <w:p w14:paraId="56D76001"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tretjem odstavku 12. člena ZDOdv</w:t>
            </w:r>
          </w:p>
        </w:tc>
        <w:tc>
          <w:tcPr>
            <w:tcW w:w="1132" w:type="dxa"/>
          </w:tcPr>
          <w:p w14:paraId="1F8AE3CD"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2E51F65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964D47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C37465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512CFB32" w14:textId="77777777" w:rsidTr="00980493">
        <w:tc>
          <w:tcPr>
            <w:tcW w:w="2265" w:type="dxa"/>
          </w:tcPr>
          <w:p w14:paraId="381840A8" w14:textId="77777777" w:rsidR="00695AE2" w:rsidRPr="00503014" w:rsidRDefault="00695AE2" w:rsidP="00980493">
            <w:pPr>
              <w:jc w:val="center"/>
              <w:rPr>
                <w:rFonts w:eastAsia="Calibri" w:cs="Calibri"/>
                <w:sz w:val="16"/>
                <w:szCs w:val="16"/>
              </w:rPr>
            </w:pPr>
            <w:r w:rsidRPr="00503014">
              <w:rPr>
                <w:rFonts w:eastAsia="Calibri" w:cs="Calibri"/>
                <w:sz w:val="16"/>
                <w:szCs w:val="16"/>
              </w:rPr>
              <w:t>zastopanje po 13. členu ZDOdv</w:t>
            </w:r>
          </w:p>
        </w:tc>
        <w:tc>
          <w:tcPr>
            <w:tcW w:w="1132" w:type="dxa"/>
          </w:tcPr>
          <w:p w14:paraId="157534E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C7AC9B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D998F35"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717A54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394797D4" w14:textId="77777777" w:rsidTr="00980493">
        <w:tc>
          <w:tcPr>
            <w:tcW w:w="2265" w:type="dxa"/>
          </w:tcPr>
          <w:p w14:paraId="45AD9BE8"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prvem odstavku 25. člena ZDOdv</w:t>
            </w:r>
          </w:p>
        </w:tc>
        <w:tc>
          <w:tcPr>
            <w:tcW w:w="1132" w:type="dxa"/>
          </w:tcPr>
          <w:p w14:paraId="3042FEF4"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153BB12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E080F31"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063BA578"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144FB904" w14:textId="77777777" w:rsidTr="00980493">
        <w:tc>
          <w:tcPr>
            <w:tcW w:w="2265" w:type="dxa"/>
          </w:tcPr>
          <w:p w14:paraId="0A987271"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drugem odstavku 25. člena ZDOdv</w:t>
            </w:r>
          </w:p>
        </w:tc>
        <w:tc>
          <w:tcPr>
            <w:tcW w:w="1132" w:type="dxa"/>
          </w:tcPr>
          <w:p w14:paraId="156B0509"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45ACF5A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1758B0C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40839DF6"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r w:rsidR="00695AE2" w:rsidRPr="00503014" w14:paraId="6388CE97" w14:textId="77777777" w:rsidTr="00980493">
        <w:tc>
          <w:tcPr>
            <w:tcW w:w="2265" w:type="dxa"/>
          </w:tcPr>
          <w:p w14:paraId="51798F57" w14:textId="77777777" w:rsidR="00695AE2" w:rsidRPr="00503014" w:rsidRDefault="00695AE2" w:rsidP="00980493">
            <w:pPr>
              <w:jc w:val="center"/>
              <w:rPr>
                <w:rFonts w:eastAsia="Calibri" w:cs="Calibri"/>
                <w:sz w:val="16"/>
                <w:szCs w:val="16"/>
              </w:rPr>
            </w:pPr>
            <w:r w:rsidRPr="00503014">
              <w:rPr>
                <w:rFonts w:eastAsia="Calibri" w:cs="Calibri"/>
                <w:sz w:val="16"/>
                <w:szCs w:val="16"/>
              </w:rPr>
              <w:t>pravna mnenja po 26. členu ZDOdv</w:t>
            </w:r>
          </w:p>
        </w:tc>
        <w:tc>
          <w:tcPr>
            <w:tcW w:w="1132" w:type="dxa"/>
          </w:tcPr>
          <w:p w14:paraId="3F7CE1F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1133" w:type="dxa"/>
          </w:tcPr>
          <w:p w14:paraId="34F6512C"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6894C98B"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c>
          <w:tcPr>
            <w:tcW w:w="2266" w:type="dxa"/>
          </w:tcPr>
          <w:p w14:paraId="2F04BB0E" w14:textId="77777777" w:rsidR="00695AE2" w:rsidRPr="00503014" w:rsidRDefault="00695AE2" w:rsidP="00980493">
            <w:pPr>
              <w:jc w:val="center"/>
              <w:rPr>
                <w:rFonts w:eastAsia="Calibri" w:cs="Calibri"/>
                <w:sz w:val="16"/>
                <w:szCs w:val="16"/>
              </w:rPr>
            </w:pPr>
            <w:r w:rsidRPr="00503014">
              <w:rPr>
                <w:rFonts w:eastAsia="Calibri" w:cs="Calibri"/>
                <w:sz w:val="16"/>
                <w:szCs w:val="16"/>
              </w:rPr>
              <w:t>0</w:t>
            </w:r>
          </w:p>
        </w:tc>
      </w:tr>
    </w:tbl>
    <w:p w14:paraId="126A7424" w14:textId="77777777" w:rsidR="00695AE2" w:rsidRPr="00211C3D" w:rsidRDefault="00695AE2" w:rsidP="00695AE2">
      <w:pPr>
        <w:pStyle w:val="Jasna"/>
        <w:rPr>
          <w:sz w:val="36"/>
          <w:szCs w:val="36"/>
        </w:rPr>
      </w:pPr>
      <w:bookmarkStart w:id="490" w:name="_Toc168844906"/>
      <w:bookmarkStart w:id="491" w:name="_Toc191561901"/>
    </w:p>
    <w:p w14:paraId="18F6312B" w14:textId="77777777" w:rsidR="00695AE2" w:rsidRPr="00503014" w:rsidRDefault="00695AE2" w:rsidP="00695AE2">
      <w:pPr>
        <w:pStyle w:val="Naslov1"/>
        <w:ind w:left="0" w:firstLine="0"/>
        <w:rPr>
          <w:rFonts w:eastAsia="Times New Roman"/>
        </w:rPr>
      </w:pPr>
      <w:bookmarkStart w:id="492" w:name="_Toc223093898"/>
      <w:r w:rsidRPr="00503014">
        <w:rPr>
          <w:rFonts w:eastAsia="Times New Roman"/>
        </w:rPr>
        <w:t>ZASTOPANJE PRED TUJIMI SODIŠČI IN TUJIMI ARBITRAŽAMI TER MEDNARODNIMI SODIŠČI IN MEDNARODNIMI ARBITRAŽAMI</w:t>
      </w:r>
      <w:bookmarkEnd w:id="490"/>
      <w:bookmarkEnd w:id="491"/>
      <w:bookmarkEnd w:id="492"/>
    </w:p>
    <w:p w14:paraId="37C8F8EB" w14:textId="77777777" w:rsidR="00695AE2" w:rsidRPr="00211C3D" w:rsidRDefault="00695AE2" w:rsidP="00695AE2">
      <w:pPr>
        <w:pStyle w:val="Jasna"/>
        <w:rPr>
          <w:sz w:val="36"/>
          <w:szCs w:val="36"/>
        </w:rPr>
      </w:pPr>
    </w:p>
    <w:p w14:paraId="34020EFC"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 xml:space="preserve">Zastopanje pred tujimi sodišči in tujimi arbitražami ZDOdv ureja 2. oddelku, zastopanje pred mednarodnimi sodišči in mednarodnimi arbitražami pa je urejeno v 3. oddelku ZDOdv, ki poleg splošne določbe o zastopanju Republike Slovenije pred mednarodnimi sodišči in mednarodnimi arbitražami vsebuje tudi določbe o sozastopniku, izvrševanju finančnih obveznosti v zvezi s postopki pred Evropskim sodiščem za človekove pravice ter o sodelovanju Državnega odvetništva RS v postopkih izvrševanja sodb Evropskega sodišča za človekove pravice. </w:t>
      </w:r>
    </w:p>
    <w:p w14:paraId="4E05BB8D"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p>
    <w:p w14:paraId="4CF9008A"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lastRenderedPageBreak/>
        <w:t xml:space="preserve">Za zastopanje pred tujimi sodišči in tujimi arbitražami ter zastopanje pred mednarodnimi sodišči in mednarodnimi arbitražami 42. člen ZDOdv določa izključno pristojnost sedeža Državnega odvetništva RS v Ljubljani. </w:t>
      </w:r>
    </w:p>
    <w:p w14:paraId="079692B1" w14:textId="77777777" w:rsidR="00695AE2" w:rsidRPr="00503014" w:rsidRDefault="00695AE2" w:rsidP="00695AE2">
      <w:pPr>
        <w:spacing w:line="240" w:lineRule="auto"/>
        <w:jc w:val="both"/>
        <w:rPr>
          <w:rFonts w:eastAsia="Calibri"/>
          <w:b/>
          <w:bCs/>
          <w:color w:val="007466"/>
        </w:rPr>
      </w:pPr>
    </w:p>
    <w:p w14:paraId="36863AA3" w14:textId="77777777" w:rsidR="00695AE2" w:rsidRPr="00503014" w:rsidRDefault="00695AE2" w:rsidP="00695AE2">
      <w:pPr>
        <w:spacing w:line="240" w:lineRule="auto"/>
        <w:jc w:val="both"/>
        <w:rPr>
          <w:rFonts w:eastAsia="Calibri"/>
          <w:b/>
          <w:bCs/>
          <w:color w:val="007466"/>
          <w:sz w:val="20"/>
          <w:szCs w:val="20"/>
        </w:rPr>
      </w:pPr>
      <w:bookmarkStart w:id="493" w:name="_Hlk93997597"/>
      <w:r w:rsidRPr="00503014">
        <w:rPr>
          <w:rFonts w:eastAsia="Calibri"/>
          <w:b/>
          <w:bCs/>
          <w:color w:val="007466"/>
          <w:sz w:val="20"/>
          <w:szCs w:val="20"/>
        </w:rPr>
        <w:t xml:space="preserve">Tabela 14: Zastopanje pred tujimi sodišči in tujimi arbitražami ter mednarodnimi sodišči in mednarodnimi arbitražami </w:t>
      </w:r>
    </w:p>
    <w:p w14:paraId="56844ABE" w14:textId="77777777" w:rsidR="00695AE2" w:rsidRPr="00503014" w:rsidRDefault="00695AE2" w:rsidP="00695AE2">
      <w:pPr>
        <w:spacing w:line="240" w:lineRule="auto"/>
        <w:jc w:val="both"/>
        <w:rPr>
          <w:rFonts w:eastAsia="Calibri"/>
          <w:b/>
          <w:bCs/>
          <w:color w:val="007466"/>
          <w:sz w:val="20"/>
          <w:szCs w:val="20"/>
        </w:rPr>
      </w:pPr>
    </w:p>
    <w:tbl>
      <w:tblPr>
        <w:tblStyle w:val="Tabelamrea2"/>
        <w:tblW w:w="0" w:type="auto"/>
        <w:tblLook w:val="04A0" w:firstRow="1" w:lastRow="0" w:firstColumn="1" w:lastColumn="0" w:noHBand="0" w:noVBand="1"/>
      </w:tblPr>
      <w:tblGrid>
        <w:gridCol w:w="1506"/>
        <w:gridCol w:w="1504"/>
        <w:gridCol w:w="1499"/>
        <w:gridCol w:w="1500"/>
        <w:gridCol w:w="1506"/>
        <w:gridCol w:w="1501"/>
      </w:tblGrid>
      <w:tr w:rsidR="00695AE2" w:rsidRPr="00503014" w14:paraId="0E94C93F" w14:textId="77777777" w:rsidTr="00980493">
        <w:tc>
          <w:tcPr>
            <w:tcW w:w="1506" w:type="dxa"/>
          </w:tcPr>
          <w:p w14:paraId="2C343876" w14:textId="77777777" w:rsidR="00695AE2" w:rsidRPr="00503014" w:rsidRDefault="00695AE2" w:rsidP="00980493">
            <w:pPr>
              <w:jc w:val="center"/>
              <w:rPr>
                <w:rFonts w:eastAsia="Times New Roman" w:cs="Calibri"/>
                <w:sz w:val="20"/>
                <w:szCs w:val="20"/>
              </w:rPr>
            </w:pPr>
            <w:bookmarkStart w:id="494" w:name="_Hlk154081355"/>
            <w:bookmarkEnd w:id="493"/>
            <w:r w:rsidRPr="00503014">
              <w:rPr>
                <w:rFonts w:eastAsia="Times New Roman" w:cs="Calibri"/>
                <w:sz w:val="20"/>
                <w:szCs w:val="20"/>
              </w:rPr>
              <w:t>sodišče</w:t>
            </w:r>
          </w:p>
        </w:tc>
        <w:tc>
          <w:tcPr>
            <w:tcW w:w="1504" w:type="dxa"/>
          </w:tcPr>
          <w:p w14:paraId="6A66CDBF"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prenesenih odprtih zadev</w:t>
            </w:r>
          </w:p>
        </w:tc>
        <w:tc>
          <w:tcPr>
            <w:tcW w:w="1499" w:type="dxa"/>
          </w:tcPr>
          <w:p w14:paraId="04F01226"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letni pripad zadev</w:t>
            </w:r>
          </w:p>
        </w:tc>
        <w:tc>
          <w:tcPr>
            <w:tcW w:w="1500" w:type="dxa"/>
          </w:tcPr>
          <w:p w14:paraId="08F4F5A7"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zadeve v delu skupaj</w:t>
            </w:r>
          </w:p>
        </w:tc>
        <w:tc>
          <w:tcPr>
            <w:tcW w:w="1506" w:type="dxa"/>
          </w:tcPr>
          <w:p w14:paraId="3880C3D6"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zaključenih zadev</w:t>
            </w:r>
          </w:p>
        </w:tc>
        <w:tc>
          <w:tcPr>
            <w:tcW w:w="1501" w:type="dxa"/>
          </w:tcPr>
          <w:p w14:paraId="3EE5BD1D"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odprtih zadev na dan 31.12.</w:t>
            </w:r>
          </w:p>
        </w:tc>
      </w:tr>
      <w:tr w:rsidR="00695AE2" w:rsidRPr="00503014" w14:paraId="20F47C77" w14:textId="77777777" w:rsidTr="00980493">
        <w:tc>
          <w:tcPr>
            <w:tcW w:w="1506" w:type="dxa"/>
          </w:tcPr>
          <w:p w14:paraId="7CF922D7" w14:textId="77777777" w:rsidR="00695AE2" w:rsidRPr="00503014" w:rsidRDefault="00695AE2" w:rsidP="00980493">
            <w:pPr>
              <w:rPr>
                <w:rFonts w:eastAsia="Calibri" w:cs="Calibri"/>
                <w:sz w:val="20"/>
                <w:szCs w:val="20"/>
              </w:rPr>
            </w:pPr>
            <w:r w:rsidRPr="00503014">
              <w:rPr>
                <w:rFonts w:eastAsia="Calibri" w:cs="Calibri"/>
                <w:sz w:val="20"/>
                <w:szCs w:val="20"/>
              </w:rPr>
              <w:t>tuja sodišča</w:t>
            </w:r>
          </w:p>
        </w:tc>
        <w:tc>
          <w:tcPr>
            <w:tcW w:w="1504" w:type="dxa"/>
          </w:tcPr>
          <w:p w14:paraId="7CBA91B4" w14:textId="77777777" w:rsidR="00695AE2" w:rsidRPr="00503014" w:rsidRDefault="00695AE2" w:rsidP="00980493">
            <w:pPr>
              <w:jc w:val="center"/>
              <w:rPr>
                <w:rFonts w:eastAsia="Calibri" w:cs="Calibri"/>
                <w:sz w:val="20"/>
                <w:szCs w:val="20"/>
              </w:rPr>
            </w:pPr>
            <w:r w:rsidRPr="00503014">
              <w:rPr>
                <w:rFonts w:eastAsia="Calibri" w:cs="Calibri"/>
                <w:sz w:val="20"/>
                <w:szCs w:val="20"/>
              </w:rPr>
              <w:t>79</w:t>
            </w:r>
          </w:p>
        </w:tc>
        <w:tc>
          <w:tcPr>
            <w:tcW w:w="1499" w:type="dxa"/>
          </w:tcPr>
          <w:p w14:paraId="1C74B37C" w14:textId="77777777" w:rsidR="00695AE2" w:rsidRPr="00503014" w:rsidRDefault="00695AE2" w:rsidP="00980493">
            <w:pPr>
              <w:jc w:val="center"/>
              <w:rPr>
                <w:rFonts w:eastAsia="Calibri" w:cs="Calibri"/>
                <w:sz w:val="20"/>
                <w:szCs w:val="20"/>
              </w:rPr>
            </w:pPr>
            <w:r w:rsidRPr="00503014">
              <w:rPr>
                <w:rFonts w:eastAsia="Calibri" w:cs="Calibri"/>
                <w:sz w:val="20"/>
                <w:szCs w:val="20"/>
              </w:rPr>
              <w:t>3</w:t>
            </w:r>
          </w:p>
        </w:tc>
        <w:tc>
          <w:tcPr>
            <w:tcW w:w="1500" w:type="dxa"/>
          </w:tcPr>
          <w:p w14:paraId="441650B9" w14:textId="77777777" w:rsidR="00695AE2" w:rsidRPr="00503014" w:rsidRDefault="00695AE2" w:rsidP="00980493">
            <w:pPr>
              <w:jc w:val="center"/>
              <w:rPr>
                <w:rFonts w:eastAsia="Calibri" w:cs="Calibri"/>
                <w:sz w:val="20"/>
                <w:szCs w:val="20"/>
              </w:rPr>
            </w:pPr>
            <w:r w:rsidRPr="00503014">
              <w:rPr>
                <w:rFonts w:eastAsia="Calibri" w:cs="Calibri"/>
                <w:sz w:val="20"/>
                <w:szCs w:val="20"/>
              </w:rPr>
              <w:t>82</w:t>
            </w:r>
          </w:p>
        </w:tc>
        <w:tc>
          <w:tcPr>
            <w:tcW w:w="1506" w:type="dxa"/>
          </w:tcPr>
          <w:p w14:paraId="27239749" w14:textId="77777777" w:rsidR="00695AE2" w:rsidRPr="00503014" w:rsidRDefault="00695AE2" w:rsidP="00980493">
            <w:pPr>
              <w:jc w:val="center"/>
              <w:rPr>
                <w:rFonts w:eastAsia="Calibri" w:cs="Calibri"/>
                <w:sz w:val="20"/>
                <w:szCs w:val="20"/>
              </w:rPr>
            </w:pPr>
            <w:r w:rsidRPr="00503014">
              <w:rPr>
                <w:rFonts w:eastAsia="Calibri" w:cs="Calibri"/>
                <w:sz w:val="20"/>
                <w:szCs w:val="20"/>
              </w:rPr>
              <w:t>11</w:t>
            </w:r>
          </w:p>
        </w:tc>
        <w:tc>
          <w:tcPr>
            <w:tcW w:w="1501" w:type="dxa"/>
          </w:tcPr>
          <w:p w14:paraId="1B6F8957" w14:textId="77777777" w:rsidR="00695AE2" w:rsidRPr="00503014" w:rsidRDefault="00695AE2" w:rsidP="00980493">
            <w:pPr>
              <w:jc w:val="center"/>
              <w:rPr>
                <w:rFonts w:eastAsia="Calibri" w:cs="Calibri"/>
                <w:sz w:val="20"/>
                <w:szCs w:val="20"/>
              </w:rPr>
            </w:pPr>
            <w:r w:rsidRPr="00503014">
              <w:rPr>
                <w:rFonts w:eastAsia="Calibri" w:cs="Calibri"/>
                <w:sz w:val="20"/>
                <w:szCs w:val="20"/>
              </w:rPr>
              <w:t>71</w:t>
            </w:r>
          </w:p>
        </w:tc>
      </w:tr>
      <w:tr w:rsidR="00695AE2" w:rsidRPr="00503014" w14:paraId="6C0BAB0B" w14:textId="77777777" w:rsidTr="00980493">
        <w:tc>
          <w:tcPr>
            <w:tcW w:w="1506" w:type="dxa"/>
          </w:tcPr>
          <w:p w14:paraId="5E579B00" w14:textId="77777777" w:rsidR="00695AE2" w:rsidRPr="00503014" w:rsidRDefault="00695AE2" w:rsidP="00980493">
            <w:pPr>
              <w:rPr>
                <w:rFonts w:eastAsia="Calibri" w:cs="Calibri"/>
                <w:sz w:val="20"/>
                <w:szCs w:val="20"/>
              </w:rPr>
            </w:pPr>
            <w:r w:rsidRPr="00503014">
              <w:rPr>
                <w:rFonts w:eastAsia="Calibri" w:cs="Calibri"/>
                <w:sz w:val="20"/>
                <w:szCs w:val="20"/>
              </w:rPr>
              <w:t>tuje arbitraže</w:t>
            </w:r>
          </w:p>
        </w:tc>
        <w:tc>
          <w:tcPr>
            <w:tcW w:w="1504" w:type="dxa"/>
          </w:tcPr>
          <w:p w14:paraId="61E22A9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499" w:type="dxa"/>
          </w:tcPr>
          <w:p w14:paraId="3C87AEC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0" w:type="dxa"/>
          </w:tcPr>
          <w:p w14:paraId="3C49DC2B"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6" w:type="dxa"/>
          </w:tcPr>
          <w:p w14:paraId="7890347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1" w:type="dxa"/>
          </w:tcPr>
          <w:p w14:paraId="4F3980B6"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r w:rsidR="00695AE2" w:rsidRPr="00503014" w14:paraId="7A9D65EF" w14:textId="77777777" w:rsidTr="00980493">
        <w:tc>
          <w:tcPr>
            <w:tcW w:w="1506" w:type="dxa"/>
          </w:tcPr>
          <w:p w14:paraId="16ADB88A" w14:textId="77777777" w:rsidR="00695AE2" w:rsidRPr="00503014" w:rsidRDefault="00695AE2" w:rsidP="00980493">
            <w:pPr>
              <w:rPr>
                <w:rFonts w:eastAsia="Calibri" w:cs="Calibri"/>
                <w:sz w:val="20"/>
                <w:szCs w:val="20"/>
              </w:rPr>
            </w:pPr>
            <w:r w:rsidRPr="00503014">
              <w:rPr>
                <w:rFonts w:eastAsia="Calibri" w:cs="Calibri"/>
                <w:sz w:val="20"/>
                <w:szCs w:val="20"/>
              </w:rPr>
              <w:t>ESČP</w:t>
            </w:r>
          </w:p>
        </w:tc>
        <w:tc>
          <w:tcPr>
            <w:tcW w:w="1504" w:type="dxa"/>
          </w:tcPr>
          <w:p w14:paraId="218D3D35" w14:textId="77777777" w:rsidR="00695AE2" w:rsidRPr="00503014" w:rsidRDefault="00695AE2" w:rsidP="00980493">
            <w:pPr>
              <w:jc w:val="center"/>
              <w:rPr>
                <w:rFonts w:eastAsia="Calibri" w:cs="Calibri"/>
                <w:sz w:val="20"/>
                <w:szCs w:val="20"/>
              </w:rPr>
            </w:pPr>
            <w:r w:rsidRPr="00503014">
              <w:rPr>
                <w:rFonts w:eastAsia="Calibri" w:cs="Calibri"/>
                <w:sz w:val="20"/>
                <w:szCs w:val="20"/>
              </w:rPr>
              <w:t>34</w:t>
            </w:r>
          </w:p>
        </w:tc>
        <w:tc>
          <w:tcPr>
            <w:tcW w:w="1499" w:type="dxa"/>
          </w:tcPr>
          <w:p w14:paraId="4271E123" w14:textId="77777777" w:rsidR="00695AE2" w:rsidRPr="00503014" w:rsidRDefault="00695AE2" w:rsidP="00980493">
            <w:pPr>
              <w:jc w:val="center"/>
              <w:rPr>
                <w:rFonts w:eastAsia="Calibri" w:cs="Calibri"/>
                <w:sz w:val="20"/>
                <w:szCs w:val="20"/>
              </w:rPr>
            </w:pPr>
            <w:r w:rsidRPr="00503014">
              <w:rPr>
                <w:rFonts w:eastAsia="Calibri" w:cs="Calibri"/>
                <w:sz w:val="20"/>
                <w:szCs w:val="20"/>
              </w:rPr>
              <w:t>19</w:t>
            </w:r>
          </w:p>
        </w:tc>
        <w:tc>
          <w:tcPr>
            <w:tcW w:w="1500" w:type="dxa"/>
          </w:tcPr>
          <w:p w14:paraId="25D6CF1D" w14:textId="77777777" w:rsidR="00695AE2" w:rsidRPr="00503014" w:rsidRDefault="00695AE2" w:rsidP="00980493">
            <w:pPr>
              <w:jc w:val="center"/>
              <w:rPr>
                <w:rFonts w:eastAsia="Calibri" w:cs="Calibri"/>
                <w:sz w:val="20"/>
                <w:szCs w:val="20"/>
              </w:rPr>
            </w:pPr>
            <w:r w:rsidRPr="00503014">
              <w:rPr>
                <w:rFonts w:eastAsia="Calibri" w:cs="Calibri"/>
                <w:sz w:val="20"/>
                <w:szCs w:val="20"/>
              </w:rPr>
              <w:t>53</w:t>
            </w:r>
          </w:p>
        </w:tc>
        <w:tc>
          <w:tcPr>
            <w:tcW w:w="1506" w:type="dxa"/>
          </w:tcPr>
          <w:p w14:paraId="3CD44561" w14:textId="77777777" w:rsidR="00695AE2" w:rsidRPr="00503014" w:rsidRDefault="00695AE2" w:rsidP="00980493">
            <w:pPr>
              <w:jc w:val="center"/>
              <w:rPr>
                <w:rFonts w:eastAsia="Calibri" w:cs="Calibri"/>
                <w:sz w:val="20"/>
                <w:szCs w:val="20"/>
              </w:rPr>
            </w:pPr>
            <w:r w:rsidRPr="00503014">
              <w:rPr>
                <w:rFonts w:eastAsia="Calibri" w:cs="Calibri"/>
                <w:sz w:val="20"/>
                <w:szCs w:val="20"/>
              </w:rPr>
              <w:t>17</w:t>
            </w:r>
          </w:p>
        </w:tc>
        <w:tc>
          <w:tcPr>
            <w:tcW w:w="1501" w:type="dxa"/>
          </w:tcPr>
          <w:p w14:paraId="36767CC5" w14:textId="77777777" w:rsidR="00695AE2" w:rsidRPr="00503014" w:rsidRDefault="00695AE2" w:rsidP="00980493">
            <w:pPr>
              <w:jc w:val="center"/>
              <w:rPr>
                <w:rFonts w:eastAsia="Calibri" w:cs="Calibri"/>
                <w:sz w:val="20"/>
                <w:szCs w:val="20"/>
              </w:rPr>
            </w:pPr>
            <w:r w:rsidRPr="00503014">
              <w:rPr>
                <w:rFonts w:eastAsia="Calibri" w:cs="Calibri"/>
                <w:sz w:val="20"/>
                <w:szCs w:val="20"/>
              </w:rPr>
              <w:t>36</w:t>
            </w:r>
          </w:p>
        </w:tc>
      </w:tr>
      <w:tr w:rsidR="00695AE2" w:rsidRPr="00503014" w14:paraId="39F2C833" w14:textId="77777777" w:rsidTr="00980493">
        <w:tc>
          <w:tcPr>
            <w:tcW w:w="1506" w:type="dxa"/>
          </w:tcPr>
          <w:p w14:paraId="035C6FE6" w14:textId="77777777" w:rsidR="00695AE2" w:rsidRPr="00503014" w:rsidRDefault="00695AE2" w:rsidP="00980493">
            <w:pPr>
              <w:rPr>
                <w:rFonts w:eastAsia="Calibri" w:cs="Calibri"/>
                <w:sz w:val="20"/>
                <w:szCs w:val="20"/>
              </w:rPr>
            </w:pPr>
            <w:r w:rsidRPr="00503014">
              <w:rPr>
                <w:rFonts w:eastAsia="Calibri" w:cs="Calibri"/>
                <w:sz w:val="20"/>
                <w:szCs w:val="20"/>
              </w:rPr>
              <w:t>Sodišče EU</w:t>
            </w:r>
          </w:p>
        </w:tc>
        <w:tc>
          <w:tcPr>
            <w:tcW w:w="1504" w:type="dxa"/>
          </w:tcPr>
          <w:p w14:paraId="0C3D7797" w14:textId="77777777" w:rsidR="00695AE2" w:rsidRPr="00503014" w:rsidRDefault="00695AE2" w:rsidP="00980493">
            <w:pPr>
              <w:jc w:val="center"/>
              <w:rPr>
                <w:rFonts w:eastAsia="Calibri" w:cs="Calibri"/>
                <w:sz w:val="20"/>
                <w:szCs w:val="20"/>
              </w:rPr>
            </w:pPr>
            <w:r w:rsidRPr="00503014">
              <w:rPr>
                <w:rFonts w:eastAsia="Calibri" w:cs="Calibri"/>
                <w:sz w:val="20"/>
                <w:szCs w:val="20"/>
              </w:rPr>
              <w:t>622</w:t>
            </w:r>
          </w:p>
        </w:tc>
        <w:tc>
          <w:tcPr>
            <w:tcW w:w="1499" w:type="dxa"/>
          </w:tcPr>
          <w:p w14:paraId="2D2195B4" w14:textId="77777777" w:rsidR="00695AE2" w:rsidRPr="00503014" w:rsidRDefault="00695AE2" w:rsidP="00980493">
            <w:pPr>
              <w:jc w:val="center"/>
              <w:rPr>
                <w:rFonts w:eastAsia="Calibri" w:cs="Calibri"/>
                <w:sz w:val="20"/>
                <w:szCs w:val="20"/>
              </w:rPr>
            </w:pPr>
            <w:r w:rsidRPr="00503014">
              <w:rPr>
                <w:rFonts w:eastAsia="Calibri" w:cs="Calibri"/>
                <w:sz w:val="20"/>
                <w:szCs w:val="20"/>
              </w:rPr>
              <w:t>513</w:t>
            </w:r>
          </w:p>
        </w:tc>
        <w:tc>
          <w:tcPr>
            <w:tcW w:w="1500" w:type="dxa"/>
          </w:tcPr>
          <w:p w14:paraId="7C78D68E" w14:textId="77777777" w:rsidR="00695AE2" w:rsidRPr="00503014" w:rsidRDefault="00695AE2" w:rsidP="00980493">
            <w:pPr>
              <w:jc w:val="center"/>
              <w:rPr>
                <w:rFonts w:eastAsia="Calibri" w:cs="Calibri"/>
                <w:sz w:val="20"/>
                <w:szCs w:val="20"/>
              </w:rPr>
            </w:pPr>
            <w:r w:rsidRPr="00503014">
              <w:rPr>
                <w:rFonts w:eastAsia="Calibri" w:cs="Calibri"/>
                <w:sz w:val="20"/>
                <w:szCs w:val="20"/>
              </w:rPr>
              <w:t>1.135</w:t>
            </w:r>
          </w:p>
        </w:tc>
        <w:tc>
          <w:tcPr>
            <w:tcW w:w="1506" w:type="dxa"/>
          </w:tcPr>
          <w:p w14:paraId="42CC0052" w14:textId="77777777" w:rsidR="00695AE2" w:rsidRPr="00503014" w:rsidRDefault="00695AE2" w:rsidP="00980493">
            <w:pPr>
              <w:jc w:val="center"/>
              <w:rPr>
                <w:rFonts w:eastAsia="Calibri" w:cs="Calibri"/>
                <w:sz w:val="20"/>
                <w:szCs w:val="20"/>
              </w:rPr>
            </w:pPr>
            <w:r w:rsidRPr="00503014">
              <w:rPr>
                <w:rFonts w:eastAsia="Calibri" w:cs="Calibri"/>
                <w:sz w:val="20"/>
                <w:szCs w:val="20"/>
              </w:rPr>
              <w:t>463</w:t>
            </w:r>
          </w:p>
        </w:tc>
        <w:tc>
          <w:tcPr>
            <w:tcW w:w="1501" w:type="dxa"/>
          </w:tcPr>
          <w:p w14:paraId="273511A6" w14:textId="77777777" w:rsidR="00695AE2" w:rsidRPr="00503014" w:rsidRDefault="00695AE2" w:rsidP="00980493">
            <w:pPr>
              <w:jc w:val="center"/>
              <w:rPr>
                <w:rFonts w:eastAsia="Calibri" w:cs="Calibri"/>
                <w:sz w:val="20"/>
                <w:szCs w:val="20"/>
              </w:rPr>
            </w:pPr>
            <w:r w:rsidRPr="00503014">
              <w:rPr>
                <w:rFonts w:eastAsia="Calibri" w:cs="Calibri"/>
                <w:sz w:val="20"/>
                <w:szCs w:val="20"/>
              </w:rPr>
              <w:t>672</w:t>
            </w:r>
          </w:p>
        </w:tc>
      </w:tr>
      <w:tr w:rsidR="00695AE2" w:rsidRPr="00503014" w14:paraId="7AB3E566" w14:textId="77777777" w:rsidTr="00980493">
        <w:tc>
          <w:tcPr>
            <w:tcW w:w="1506" w:type="dxa"/>
          </w:tcPr>
          <w:p w14:paraId="31F71D87" w14:textId="77777777" w:rsidR="00695AE2" w:rsidRPr="00503014" w:rsidRDefault="00695AE2" w:rsidP="00980493">
            <w:pPr>
              <w:rPr>
                <w:rFonts w:eastAsia="Calibri" w:cs="Calibri"/>
                <w:sz w:val="20"/>
                <w:szCs w:val="20"/>
              </w:rPr>
            </w:pPr>
            <w:r w:rsidRPr="00503014">
              <w:rPr>
                <w:rFonts w:eastAsia="Calibri" w:cs="Calibri"/>
                <w:sz w:val="20"/>
                <w:szCs w:val="20"/>
              </w:rPr>
              <w:t>Splošno sodišče EU</w:t>
            </w:r>
          </w:p>
        </w:tc>
        <w:tc>
          <w:tcPr>
            <w:tcW w:w="1504" w:type="dxa"/>
          </w:tcPr>
          <w:p w14:paraId="70348514" w14:textId="77777777" w:rsidR="00695AE2" w:rsidRPr="00503014" w:rsidRDefault="00695AE2" w:rsidP="00980493">
            <w:pPr>
              <w:jc w:val="center"/>
              <w:rPr>
                <w:rFonts w:eastAsia="Calibri" w:cs="Calibri"/>
                <w:sz w:val="20"/>
                <w:szCs w:val="20"/>
              </w:rPr>
            </w:pPr>
            <w:r w:rsidRPr="00503014">
              <w:rPr>
                <w:rFonts w:eastAsia="Calibri" w:cs="Calibri"/>
                <w:sz w:val="20"/>
                <w:szCs w:val="20"/>
              </w:rPr>
              <w:t>131</w:t>
            </w:r>
          </w:p>
        </w:tc>
        <w:tc>
          <w:tcPr>
            <w:tcW w:w="1499" w:type="dxa"/>
          </w:tcPr>
          <w:p w14:paraId="29E24395" w14:textId="77777777" w:rsidR="00695AE2" w:rsidRPr="00503014" w:rsidRDefault="00695AE2" w:rsidP="00980493">
            <w:pPr>
              <w:jc w:val="center"/>
              <w:rPr>
                <w:rFonts w:eastAsia="Calibri" w:cs="Calibri"/>
                <w:sz w:val="20"/>
                <w:szCs w:val="20"/>
              </w:rPr>
            </w:pPr>
            <w:r w:rsidRPr="00503014">
              <w:rPr>
                <w:rFonts w:eastAsia="Calibri" w:cs="Calibri"/>
                <w:sz w:val="20"/>
                <w:szCs w:val="20"/>
              </w:rPr>
              <w:t>705</w:t>
            </w:r>
          </w:p>
        </w:tc>
        <w:tc>
          <w:tcPr>
            <w:tcW w:w="1500" w:type="dxa"/>
          </w:tcPr>
          <w:p w14:paraId="68477395" w14:textId="77777777" w:rsidR="00695AE2" w:rsidRPr="00503014" w:rsidRDefault="00695AE2" w:rsidP="00980493">
            <w:pPr>
              <w:jc w:val="center"/>
              <w:rPr>
                <w:rFonts w:eastAsia="Calibri" w:cs="Calibri"/>
                <w:sz w:val="20"/>
                <w:szCs w:val="20"/>
              </w:rPr>
            </w:pPr>
            <w:r w:rsidRPr="00503014">
              <w:rPr>
                <w:rFonts w:eastAsia="Calibri" w:cs="Calibri"/>
                <w:sz w:val="20"/>
                <w:szCs w:val="20"/>
              </w:rPr>
              <w:t>836</w:t>
            </w:r>
          </w:p>
        </w:tc>
        <w:tc>
          <w:tcPr>
            <w:tcW w:w="1506" w:type="dxa"/>
          </w:tcPr>
          <w:p w14:paraId="182A0DC6" w14:textId="77777777" w:rsidR="00695AE2" w:rsidRPr="00503014" w:rsidRDefault="00695AE2" w:rsidP="00980493">
            <w:pPr>
              <w:jc w:val="center"/>
              <w:rPr>
                <w:rFonts w:eastAsia="Calibri" w:cs="Calibri"/>
                <w:sz w:val="20"/>
                <w:szCs w:val="20"/>
              </w:rPr>
            </w:pPr>
            <w:r w:rsidRPr="00503014">
              <w:rPr>
                <w:rFonts w:eastAsia="Calibri" w:cs="Calibri"/>
                <w:sz w:val="20"/>
                <w:szCs w:val="20"/>
              </w:rPr>
              <w:t>748</w:t>
            </w:r>
          </w:p>
        </w:tc>
        <w:tc>
          <w:tcPr>
            <w:tcW w:w="1501" w:type="dxa"/>
          </w:tcPr>
          <w:p w14:paraId="205F14F6" w14:textId="77777777" w:rsidR="00695AE2" w:rsidRPr="00503014" w:rsidRDefault="00695AE2" w:rsidP="00980493">
            <w:pPr>
              <w:jc w:val="center"/>
              <w:rPr>
                <w:rFonts w:eastAsia="Calibri" w:cs="Calibri"/>
                <w:sz w:val="20"/>
                <w:szCs w:val="20"/>
              </w:rPr>
            </w:pPr>
            <w:r w:rsidRPr="00503014">
              <w:rPr>
                <w:rFonts w:eastAsia="Calibri" w:cs="Calibri"/>
                <w:sz w:val="20"/>
                <w:szCs w:val="20"/>
              </w:rPr>
              <w:t>88</w:t>
            </w:r>
          </w:p>
        </w:tc>
      </w:tr>
      <w:tr w:rsidR="00695AE2" w:rsidRPr="00503014" w14:paraId="024DD60A" w14:textId="77777777" w:rsidTr="00980493">
        <w:tc>
          <w:tcPr>
            <w:tcW w:w="1506" w:type="dxa"/>
          </w:tcPr>
          <w:p w14:paraId="6274778F" w14:textId="77777777" w:rsidR="00695AE2" w:rsidRPr="00503014" w:rsidRDefault="00695AE2" w:rsidP="00980493">
            <w:pPr>
              <w:rPr>
                <w:rFonts w:eastAsia="Calibri" w:cs="Calibri"/>
                <w:sz w:val="20"/>
                <w:szCs w:val="20"/>
              </w:rPr>
            </w:pPr>
            <w:r w:rsidRPr="00503014">
              <w:rPr>
                <w:rFonts w:eastAsia="Calibri" w:cs="Calibri"/>
                <w:sz w:val="20"/>
                <w:szCs w:val="20"/>
              </w:rPr>
              <w:t>Sodišče EFTA</w:t>
            </w:r>
          </w:p>
        </w:tc>
        <w:tc>
          <w:tcPr>
            <w:tcW w:w="1504" w:type="dxa"/>
          </w:tcPr>
          <w:p w14:paraId="291B8C61" w14:textId="77777777" w:rsidR="00695AE2" w:rsidRPr="00503014" w:rsidRDefault="00695AE2" w:rsidP="00980493">
            <w:pPr>
              <w:jc w:val="center"/>
              <w:rPr>
                <w:rFonts w:eastAsia="Calibri" w:cs="Calibri"/>
                <w:sz w:val="20"/>
                <w:szCs w:val="20"/>
              </w:rPr>
            </w:pPr>
            <w:r w:rsidRPr="00503014">
              <w:rPr>
                <w:rFonts w:eastAsia="Calibri" w:cs="Calibri"/>
                <w:sz w:val="20"/>
                <w:szCs w:val="20"/>
              </w:rPr>
              <w:t>28</w:t>
            </w:r>
          </w:p>
        </w:tc>
        <w:tc>
          <w:tcPr>
            <w:tcW w:w="1499" w:type="dxa"/>
          </w:tcPr>
          <w:p w14:paraId="20E54081" w14:textId="77777777" w:rsidR="00695AE2" w:rsidRPr="00503014" w:rsidRDefault="00695AE2" w:rsidP="00980493">
            <w:pPr>
              <w:jc w:val="center"/>
              <w:rPr>
                <w:rFonts w:eastAsia="Calibri" w:cs="Calibri"/>
                <w:sz w:val="20"/>
                <w:szCs w:val="20"/>
              </w:rPr>
            </w:pPr>
            <w:r w:rsidRPr="00503014">
              <w:rPr>
                <w:rFonts w:eastAsia="Calibri" w:cs="Calibri"/>
                <w:sz w:val="20"/>
                <w:szCs w:val="20"/>
              </w:rPr>
              <w:t>29</w:t>
            </w:r>
          </w:p>
        </w:tc>
        <w:tc>
          <w:tcPr>
            <w:tcW w:w="1500" w:type="dxa"/>
          </w:tcPr>
          <w:p w14:paraId="15E8517C" w14:textId="77777777" w:rsidR="00695AE2" w:rsidRPr="00503014" w:rsidRDefault="00695AE2" w:rsidP="00980493">
            <w:pPr>
              <w:jc w:val="center"/>
              <w:rPr>
                <w:rFonts w:eastAsia="Calibri" w:cs="Calibri"/>
                <w:sz w:val="20"/>
                <w:szCs w:val="20"/>
              </w:rPr>
            </w:pPr>
            <w:r w:rsidRPr="00503014">
              <w:rPr>
                <w:rFonts w:eastAsia="Calibri" w:cs="Calibri"/>
                <w:sz w:val="20"/>
                <w:szCs w:val="20"/>
              </w:rPr>
              <w:t>57</w:t>
            </w:r>
          </w:p>
        </w:tc>
        <w:tc>
          <w:tcPr>
            <w:tcW w:w="1506" w:type="dxa"/>
          </w:tcPr>
          <w:p w14:paraId="0C8AB381" w14:textId="77777777" w:rsidR="00695AE2" w:rsidRPr="00503014" w:rsidRDefault="00695AE2" w:rsidP="00980493">
            <w:pPr>
              <w:jc w:val="center"/>
              <w:rPr>
                <w:rFonts w:eastAsia="Calibri" w:cs="Calibri"/>
                <w:sz w:val="20"/>
                <w:szCs w:val="20"/>
              </w:rPr>
            </w:pPr>
            <w:r w:rsidRPr="00503014">
              <w:rPr>
                <w:rFonts w:eastAsia="Calibri" w:cs="Calibri"/>
                <w:sz w:val="20"/>
                <w:szCs w:val="20"/>
              </w:rPr>
              <w:t>33</w:t>
            </w:r>
          </w:p>
        </w:tc>
        <w:tc>
          <w:tcPr>
            <w:tcW w:w="1501" w:type="dxa"/>
          </w:tcPr>
          <w:p w14:paraId="40150AD8" w14:textId="77777777" w:rsidR="00695AE2" w:rsidRPr="00503014" w:rsidRDefault="00695AE2" w:rsidP="00980493">
            <w:pPr>
              <w:jc w:val="center"/>
              <w:rPr>
                <w:rFonts w:eastAsia="Calibri" w:cs="Calibri"/>
                <w:sz w:val="20"/>
                <w:szCs w:val="20"/>
              </w:rPr>
            </w:pPr>
            <w:r w:rsidRPr="00503014">
              <w:rPr>
                <w:rFonts w:eastAsia="Calibri" w:cs="Calibri"/>
                <w:sz w:val="20"/>
                <w:szCs w:val="20"/>
              </w:rPr>
              <w:t>24</w:t>
            </w:r>
          </w:p>
        </w:tc>
      </w:tr>
      <w:tr w:rsidR="00695AE2" w:rsidRPr="00503014" w14:paraId="25836420" w14:textId="77777777" w:rsidTr="00980493">
        <w:tc>
          <w:tcPr>
            <w:tcW w:w="1506" w:type="dxa"/>
          </w:tcPr>
          <w:p w14:paraId="7F1901BD" w14:textId="77777777" w:rsidR="00695AE2" w:rsidRPr="00503014" w:rsidRDefault="00695AE2" w:rsidP="00980493">
            <w:pPr>
              <w:rPr>
                <w:rFonts w:eastAsia="Calibri" w:cs="Calibri"/>
                <w:sz w:val="20"/>
                <w:szCs w:val="20"/>
              </w:rPr>
            </w:pPr>
            <w:r w:rsidRPr="00503014">
              <w:rPr>
                <w:rFonts w:eastAsia="Calibri" w:cs="Calibri"/>
                <w:sz w:val="20"/>
                <w:szCs w:val="20"/>
              </w:rPr>
              <w:t>druga mednarodna sodišča</w:t>
            </w:r>
          </w:p>
        </w:tc>
        <w:tc>
          <w:tcPr>
            <w:tcW w:w="1504" w:type="dxa"/>
          </w:tcPr>
          <w:p w14:paraId="7D64B422" w14:textId="77777777" w:rsidR="00695AE2" w:rsidRPr="00503014" w:rsidRDefault="00695AE2" w:rsidP="00980493">
            <w:pPr>
              <w:jc w:val="center"/>
              <w:rPr>
                <w:rFonts w:eastAsia="Calibri" w:cs="Calibri"/>
                <w:sz w:val="20"/>
                <w:szCs w:val="20"/>
              </w:rPr>
            </w:pPr>
            <w:r w:rsidRPr="00503014">
              <w:rPr>
                <w:rFonts w:eastAsia="Calibri" w:cs="Calibri"/>
                <w:sz w:val="20"/>
                <w:szCs w:val="20"/>
              </w:rPr>
              <w:t>2</w:t>
            </w:r>
          </w:p>
        </w:tc>
        <w:tc>
          <w:tcPr>
            <w:tcW w:w="1499" w:type="dxa"/>
          </w:tcPr>
          <w:p w14:paraId="1B5F72AA"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500" w:type="dxa"/>
          </w:tcPr>
          <w:p w14:paraId="37BEB668" w14:textId="77777777" w:rsidR="00695AE2" w:rsidRPr="00503014" w:rsidRDefault="00695AE2" w:rsidP="00980493">
            <w:pPr>
              <w:jc w:val="center"/>
              <w:rPr>
                <w:rFonts w:eastAsia="Calibri" w:cs="Calibri"/>
                <w:sz w:val="20"/>
                <w:szCs w:val="20"/>
              </w:rPr>
            </w:pPr>
            <w:r w:rsidRPr="00503014">
              <w:rPr>
                <w:rFonts w:eastAsia="Calibri" w:cs="Calibri"/>
                <w:sz w:val="20"/>
                <w:szCs w:val="20"/>
              </w:rPr>
              <w:t>3</w:t>
            </w:r>
          </w:p>
        </w:tc>
        <w:tc>
          <w:tcPr>
            <w:tcW w:w="1506" w:type="dxa"/>
          </w:tcPr>
          <w:p w14:paraId="2A6874A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1" w:type="dxa"/>
          </w:tcPr>
          <w:p w14:paraId="0450A981" w14:textId="77777777" w:rsidR="00695AE2" w:rsidRPr="00503014" w:rsidRDefault="00695AE2" w:rsidP="00980493">
            <w:pPr>
              <w:jc w:val="center"/>
              <w:rPr>
                <w:rFonts w:eastAsia="Calibri" w:cs="Calibri"/>
                <w:sz w:val="20"/>
                <w:szCs w:val="20"/>
              </w:rPr>
            </w:pPr>
            <w:r w:rsidRPr="00503014">
              <w:rPr>
                <w:rFonts w:eastAsia="Calibri" w:cs="Calibri"/>
                <w:sz w:val="20"/>
                <w:szCs w:val="20"/>
              </w:rPr>
              <w:t>3</w:t>
            </w:r>
          </w:p>
        </w:tc>
      </w:tr>
      <w:tr w:rsidR="00695AE2" w:rsidRPr="00503014" w14:paraId="0670C8E0" w14:textId="77777777" w:rsidTr="00980493">
        <w:tc>
          <w:tcPr>
            <w:tcW w:w="1506" w:type="dxa"/>
          </w:tcPr>
          <w:p w14:paraId="3CA4E42F" w14:textId="77777777" w:rsidR="00695AE2" w:rsidRPr="00503014" w:rsidRDefault="00695AE2" w:rsidP="00980493">
            <w:pPr>
              <w:rPr>
                <w:rFonts w:eastAsia="Calibri" w:cs="Calibri"/>
                <w:sz w:val="20"/>
                <w:szCs w:val="20"/>
              </w:rPr>
            </w:pPr>
            <w:r w:rsidRPr="00503014">
              <w:rPr>
                <w:rFonts w:eastAsia="Calibri" w:cs="Calibri"/>
                <w:sz w:val="20"/>
                <w:szCs w:val="20"/>
              </w:rPr>
              <w:t>ICSID arbitraže</w:t>
            </w:r>
          </w:p>
        </w:tc>
        <w:tc>
          <w:tcPr>
            <w:tcW w:w="1504" w:type="dxa"/>
          </w:tcPr>
          <w:p w14:paraId="1CD2C0A2" w14:textId="77777777" w:rsidR="00695AE2" w:rsidRPr="00503014" w:rsidRDefault="00695AE2" w:rsidP="00980493">
            <w:pPr>
              <w:jc w:val="center"/>
              <w:rPr>
                <w:rFonts w:eastAsia="Calibri" w:cs="Calibri"/>
                <w:sz w:val="20"/>
                <w:szCs w:val="20"/>
              </w:rPr>
            </w:pPr>
            <w:r w:rsidRPr="00503014">
              <w:rPr>
                <w:rFonts w:eastAsia="Calibri" w:cs="Calibri"/>
                <w:sz w:val="20"/>
                <w:szCs w:val="20"/>
              </w:rPr>
              <w:t>4</w:t>
            </w:r>
          </w:p>
        </w:tc>
        <w:tc>
          <w:tcPr>
            <w:tcW w:w="1499" w:type="dxa"/>
          </w:tcPr>
          <w:p w14:paraId="5C34CD5C"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0" w:type="dxa"/>
          </w:tcPr>
          <w:p w14:paraId="70B71956" w14:textId="77777777" w:rsidR="00695AE2" w:rsidRPr="00503014" w:rsidRDefault="00695AE2" w:rsidP="00980493">
            <w:pPr>
              <w:jc w:val="center"/>
              <w:rPr>
                <w:rFonts w:eastAsia="Calibri" w:cs="Calibri"/>
                <w:sz w:val="20"/>
                <w:szCs w:val="20"/>
              </w:rPr>
            </w:pPr>
            <w:r w:rsidRPr="00503014">
              <w:rPr>
                <w:rFonts w:eastAsia="Calibri" w:cs="Calibri"/>
                <w:sz w:val="20"/>
                <w:szCs w:val="20"/>
              </w:rPr>
              <w:t>4</w:t>
            </w:r>
          </w:p>
        </w:tc>
        <w:tc>
          <w:tcPr>
            <w:tcW w:w="1506" w:type="dxa"/>
          </w:tcPr>
          <w:p w14:paraId="3B53ED0E"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1" w:type="dxa"/>
          </w:tcPr>
          <w:p w14:paraId="1DBA12D2" w14:textId="77777777" w:rsidR="00695AE2" w:rsidRPr="00503014" w:rsidRDefault="00695AE2" w:rsidP="00980493">
            <w:pPr>
              <w:jc w:val="center"/>
              <w:rPr>
                <w:rFonts w:eastAsia="Calibri" w:cs="Calibri"/>
                <w:sz w:val="20"/>
                <w:szCs w:val="20"/>
              </w:rPr>
            </w:pPr>
            <w:r w:rsidRPr="00503014">
              <w:rPr>
                <w:rFonts w:eastAsia="Calibri" w:cs="Calibri"/>
                <w:sz w:val="20"/>
                <w:szCs w:val="20"/>
              </w:rPr>
              <w:t>4</w:t>
            </w:r>
          </w:p>
        </w:tc>
      </w:tr>
      <w:tr w:rsidR="00695AE2" w:rsidRPr="00503014" w14:paraId="33E3D1E0" w14:textId="77777777" w:rsidTr="00980493">
        <w:tc>
          <w:tcPr>
            <w:tcW w:w="1506" w:type="dxa"/>
          </w:tcPr>
          <w:p w14:paraId="2FD6F0E6" w14:textId="77777777" w:rsidR="00695AE2" w:rsidRPr="00503014" w:rsidRDefault="00695AE2" w:rsidP="00980493">
            <w:pPr>
              <w:rPr>
                <w:rFonts w:eastAsia="Calibri" w:cs="Calibri"/>
                <w:sz w:val="20"/>
                <w:szCs w:val="20"/>
              </w:rPr>
            </w:pPr>
            <w:r w:rsidRPr="00503014">
              <w:rPr>
                <w:rFonts w:eastAsia="Calibri" w:cs="Calibri"/>
                <w:sz w:val="20"/>
                <w:szCs w:val="20"/>
              </w:rPr>
              <w:t>druge mednarodne arbitraže</w:t>
            </w:r>
          </w:p>
        </w:tc>
        <w:tc>
          <w:tcPr>
            <w:tcW w:w="1504" w:type="dxa"/>
          </w:tcPr>
          <w:p w14:paraId="63E471E2"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499" w:type="dxa"/>
          </w:tcPr>
          <w:p w14:paraId="4DF1CC22"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0" w:type="dxa"/>
          </w:tcPr>
          <w:p w14:paraId="503116CF"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6" w:type="dxa"/>
          </w:tcPr>
          <w:p w14:paraId="0644D09B"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1501" w:type="dxa"/>
          </w:tcPr>
          <w:p w14:paraId="19036FC7"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r>
    </w:tbl>
    <w:p w14:paraId="45F75B23" w14:textId="77777777" w:rsidR="00695AE2" w:rsidRPr="00211C3D" w:rsidRDefault="00695AE2" w:rsidP="00695AE2">
      <w:pPr>
        <w:pStyle w:val="Jasna"/>
        <w:rPr>
          <w:sz w:val="36"/>
          <w:szCs w:val="36"/>
        </w:rPr>
      </w:pPr>
      <w:bookmarkStart w:id="495" w:name="_Toc168844907"/>
      <w:bookmarkStart w:id="496" w:name="_Toc191561902"/>
      <w:bookmarkEnd w:id="494"/>
    </w:p>
    <w:p w14:paraId="3D70229C" w14:textId="77777777" w:rsidR="00695AE2" w:rsidRPr="00503014" w:rsidRDefault="00695AE2" w:rsidP="00695AE2">
      <w:pPr>
        <w:pStyle w:val="Naslov1"/>
        <w:rPr>
          <w:rFonts w:eastAsia="Times New Roman"/>
        </w:rPr>
      </w:pPr>
      <w:bookmarkStart w:id="497" w:name="_Toc223093899"/>
      <w:r w:rsidRPr="00503014">
        <w:rPr>
          <w:rFonts w:eastAsia="Times New Roman"/>
        </w:rPr>
        <w:t>ZADEVE, V KATERIH JE BILO VLOŽENO PRAVNO SREDSTVO</w:t>
      </w:r>
      <w:bookmarkEnd w:id="495"/>
      <w:bookmarkEnd w:id="496"/>
      <w:bookmarkEnd w:id="497"/>
    </w:p>
    <w:p w14:paraId="11EC8CCC" w14:textId="77777777" w:rsidR="00695AE2" w:rsidRPr="00503014" w:rsidRDefault="00695AE2" w:rsidP="00695AE2">
      <w:pPr>
        <w:spacing w:line="240" w:lineRule="auto"/>
        <w:rPr>
          <w:rFonts w:eastAsia="Calibri"/>
          <w:sz w:val="36"/>
          <w:szCs w:val="36"/>
        </w:rPr>
      </w:pPr>
    </w:p>
    <w:p w14:paraId="3AE22495"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r w:rsidRPr="00503014">
        <w:rPr>
          <w:rFonts w:eastAsia="Calibri"/>
          <w:color w:val="000000"/>
        </w:rPr>
        <w:t xml:space="preserve">Državno odvetništvo RS je v letu 2025 vložilo skupno 915 pravnih sredstev, kar je 9,50 odstotka manj kot v letu 2024, ko jih je vložilo 1.011. </w:t>
      </w:r>
    </w:p>
    <w:p w14:paraId="10A243FF"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3C173546"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rPr>
      </w:pPr>
      <w:r w:rsidRPr="00503014">
        <w:rPr>
          <w:rFonts w:eastAsia="Calibri"/>
        </w:rPr>
        <w:t xml:space="preserve">V letu 2025 je Državno odvetništvo RS v zvezi z vloženimi rednimi in izrednimi pravnimi sredstvi prejelo naslednje odločitve glede pravnega sredstva: </w:t>
      </w:r>
    </w:p>
    <w:p w14:paraId="61639BA4" w14:textId="77777777" w:rsidR="00695AE2" w:rsidRPr="00503014" w:rsidRDefault="00695AE2" w:rsidP="00695AE2">
      <w:pPr>
        <w:numPr>
          <w:ilvl w:val="0"/>
          <w:numId w:val="118"/>
        </w:numPr>
        <w:tabs>
          <w:tab w:val="left" w:pos="283"/>
        </w:tabs>
        <w:autoSpaceDE w:val="0"/>
        <w:autoSpaceDN w:val="0"/>
        <w:adjustRightInd w:val="0"/>
        <w:spacing w:after="160" w:line="240" w:lineRule="auto"/>
        <w:ind w:left="714" w:hanging="357"/>
        <w:contextualSpacing/>
        <w:jc w:val="both"/>
        <w:textAlignment w:val="center"/>
        <w:rPr>
          <w:rFonts w:eastAsia="Calibri"/>
        </w:rPr>
      </w:pPr>
      <w:r w:rsidRPr="00503014">
        <w:rPr>
          <w:rFonts w:eastAsia="Calibri"/>
        </w:rPr>
        <w:t xml:space="preserve">317 vloženih pravnih sredstev je bilo zavrnjenih kot neutemeljenih, kar je 29,40 odstotka manj kot v letu 2024, ko je bilo zavrnjenih 449 pravnih sredstev, </w:t>
      </w:r>
    </w:p>
    <w:p w14:paraId="4556BAEB" w14:textId="77777777" w:rsidR="00695AE2" w:rsidRPr="00503014" w:rsidRDefault="00695AE2" w:rsidP="00695AE2">
      <w:pPr>
        <w:numPr>
          <w:ilvl w:val="0"/>
          <w:numId w:val="118"/>
        </w:numPr>
        <w:tabs>
          <w:tab w:val="left" w:pos="283"/>
        </w:tabs>
        <w:autoSpaceDE w:val="0"/>
        <w:autoSpaceDN w:val="0"/>
        <w:adjustRightInd w:val="0"/>
        <w:spacing w:after="160" w:line="240" w:lineRule="auto"/>
        <w:ind w:left="714" w:hanging="357"/>
        <w:contextualSpacing/>
        <w:jc w:val="both"/>
        <w:textAlignment w:val="center"/>
        <w:rPr>
          <w:rFonts w:eastAsia="Calibri"/>
        </w:rPr>
      </w:pPr>
      <w:r w:rsidRPr="00503014">
        <w:rPr>
          <w:rFonts w:eastAsia="Calibri"/>
        </w:rPr>
        <w:t xml:space="preserve">27 vloženih pravnih sredstev je bilo zavrženih, kar je 32,50 odstotka manj kot leta 2024, ko jih je bilo zavrženih 40, </w:t>
      </w:r>
    </w:p>
    <w:p w14:paraId="2B4DA922" w14:textId="77777777" w:rsidR="00695AE2" w:rsidRPr="00503014" w:rsidRDefault="00695AE2" w:rsidP="00695AE2">
      <w:pPr>
        <w:numPr>
          <w:ilvl w:val="0"/>
          <w:numId w:val="118"/>
        </w:numPr>
        <w:tabs>
          <w:tab w:val="left" w:pos="283"/>
        </w:tabs>
        <w:autoSpaceDE w:val="0"/>
        <w:autoSpaceDN w:val="0"/>
        <w:adjustRightInd w:val="0"/>
        <w:spacing w:after="160" w:line="240" w:lineRule="auto"/>
        <w:ind w:left="714" w:hanging="357"/>
        <w:contextualSpacing/>
        <w:jc w:val="both"/>
        <w:textAlignment w:val="center"/>
        <w:rPr>
          <w:rFonts w:eastAsia="Calibri"/>
        </w:rPr>
      </w:pPr>
      <w:r w:rsidRPr="00503014">
        <w:rPr>
          <w:rFonts w:eastAsia="Calibri"/>
        </w:rPr>
        <w:t xml:space="preserve">176 vloženim pravnim sredstvom je bilo ugodeno, kar je 12,44 odstotka manj kot leta 2024, ko je bilo ugodeno 201 pravnim sredstvom. </w:t>
      </w:r>
    </w:p>
    <w:p w14:paraId="5D5E3612" w14:textId="77777777" w:rsidR="00695AE2" w:rsidRPr="00503014"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24D3DA4" w14:textId="77777777" w:rsidR="00695AE2" w:rsidRPr="00503014" w:rsidRDefault="00695AE2" w:rsidP="00695AE2">
      <w:pPr>
        <w:spacing w:line="240" w:lineRule="auto"/>
        <w:jc w:val="both"/>
        <w:rPr>
          <w:rFonts w:eastAsia="Calibri"/>
          <w:b/>
          <w:color w:val="007466"/>
          <w:sz w:val="20"/>
          <w:szCs w:val="20"/>
        </w:rPr>
      </w:pPr>
      <w:r w:rsidRPr="00503014">
        <w:rPr>
          <w:rFonts w:eastAsia="Calibri"/>
          <w:b/>
          <w:color w:val="007466"/>
          <w:sz w:val="20"/>
          <w:szCs w:val="20"/>
        </w:rPr>
        <w:t>Tabela 15: Pravna sredstva in odločitev o pravnem sredstvu</w:t>
      </w:r>
    </w:p>
    <w:p w14:paraId="68425BAC" w14:textId="77777777" w:rsidR="00695AE2" w:rsidRPr="00503014" w:rsidRDefault="00695AE2" w:rsidP="00695AE2">
      <w:pPr>
        <w:spacing w:line="240" w:lineRule="auto"/>
        <w:jc w:val="both"/>
        <w:rPr>
          <w:rFonts w:eastAsia="Calibri"/>
          <w:b/>
          <w:color w:val="007466"/>
          <w:sz w:val="20"/>
          <w:szCs w:val="20"/>
        </w:rPr>
      </w:pPr>
    </w:p>
    <w:tbl>
      <w:tblPr>
        <w:tblStyle w:val="Tabelamrea2"/>
        <w:tblW w:w="9660" w:type="dxa"/>
        <w:tblLook w:val="04A0" w:firstRow="1" w:lastRow="0" w:firstColumn="1" w:lastColumn="0" w:noHBand="0" w:noVBand="1"/>
      </w:tblPr>
      <w:tblGrid>
        <w:gridCol w:w="2476"/>
        <w:gridCol w:w="1389"/>
        <w:gridCol w:w="1389"/>
        <w:gridCol w:w="1391"/>
        <w:gridCol w:w="1065"/>
        <w:gridCol w:w="990"/>
        <w:gridCol w:w="960"/>
      </w:tblGrid>
      <w:tr w:rsidR="00695AE2" w:rsidRPr="00503014" w14:paraId="4FBDDFC6" w14:textId="77777777" w:rsidTr="00980493">
        <w:tc>
          <w:tcPr>
            <w:tcW w:w="2476" w:type="dxa"/>
          </w:tcPr>
          <w:p w14:paraId="54C3BDF0"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državno odvetništvo</w:t>
            </w:r>
          </w:p>
        </w:tc>
        <w:tc>
          <w:tcPr>
            <w:tcW w:w="1389" w:type="dxa"/>
          </w:tcPr>
          <w:p w14:paraId="745A729B"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zadev, v katerih je bilo vloženo redno pravno sredstvo</w:t>
            </w:r>
          </w:p>
        </w:tc>
        <w:tc>
          <w:tcPr>
            <w:tcW w:w="1389" w:type="dxa"/>
          </w:tcPr>
          <w:p w14:paraId="4CEB9D05"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število zadev, v katerih je bilo vloženo izredno pravno sredstvo</w:t>
            </w:r>
          </w:p>
        </w:tc>
        <w:tc>
          <w:tcPr>
            <w:tcW w:w="1391" w:type="dxa"/>
          </w:tcPr>
          <w:p w14:paraId="05F39446"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skupaj vloženih pravnih sredstev</w:t>
            </w:r>
          </w:p>
        </w:tc>
        <w:tc>
          <w:tcPr>
            <w:tcW w:w="3015" w:type="dxa"/>
            <w:gridSpan w:val="3"/>
          </w:tcPr>
          <w:p w14:paraId="6C8BF188" w14:textId="77777777" w:rsidR="00695AE2" w:rsidRPr="00503014" w:rsidRDefault="00695AE2" w:rsidP="00980493">
            <w:pPr>
              <w:jc w:val="center"/>
              <w:rPr>
                <w:rFonts w:eastAsia="Times New Roman" w:cs="Calibri"/>
                <w:sz w:val="20"/>
                <w:szCs w:val="20"/>
              </w:rPr>
            </w:pPr>
            <w:r w:rsidRPr="00503014">
              <w:rPr>
                <w:rFonts w:eastAsia="Times New Roman" w:cs="Calibri"/>
                <w:sz w:val="20"/>
                <w:szCs w:val="20"/>
              </w:rPr>
              <w:t>odločitev o pravnem sredstvu</w:t>
            </w:r>
          </w:p>
        </w:tc>
      </w:tr>
      <w:tr w:rsidR="00695AE2" w:rsidRPr="00503014" w14:paraId="27E71CBA" w14:textId="77777777" w:rsidTr="00980493">
        <w:tc>
          <w:tcPr>
            <w:tcW w:w="2476" w:type="dxa"/>
          </w:tcPr>
          <w:p w14:paraId="423E8206" w14:textId="77777777" w:rsidR="00695AE2" w:rsidRPr="00503014" w:rsidRDefault="00695AE2" w:rsidP="00980493">
            <w:pPr>
              <w:rPr>
                <w:rFonts w:eastAsia="Calibri" w:cs="Calibri"/>
                <w:sz w:val="20"/>
                <w:szCs w:val="20"/>
              </w:rPr>
            </w:pPr>
          </w:p>
        </w:tc>
        <w:tc>
          <w:tcPr>
            <w:tcW w:w="1389" w:type="dxa"/>
          </w:tcPr>
          <w:p w14:paraId="730F0AE0" w14:textId="77777777" w:rsidR="00695AE2" w:rsidRPr="00503014" w:rsidRDefault="00695AE2" w:rsidP="00980493">
            <w:pPr>
              <w:rPr>
                <w:rFonts w:eastAsia="Calibri" w:cs="Calibri"/>
                <w:sz w:val="20"/>
                <w:szCs w:val="20"/>
              </w:rPr>
            </w:pPr>
          </w:p>
        </w:tc>
        <w:tc>
          <w:tcPr>
            <w:tcW w:w="1389" w:type="dxa"/>
          </w:tcPr>
          <w:p w14:paraId="23212664" w14:textId="77777777" w:rsidR="00695AE2" w:rsidRPr="00503014" w:rsidRDefault="00695AE2" w:rsidP="00980493">
            <w:pPr>
              <w:rPr>
                <w:rFonts w:eastAsia="Calibri" w:cs="Calibri"/>
                <w:sz w:val="20"/>
                <w:szCs w:val="20"/>
              </w:rPr>
            </w:pPr>
          </w:p>
        </w:tc>
        <w:tc>
          <w:tcPr>
            <w:tcW w:w="1391" w:type="dxa"/>
          </w:tcPr>
          <w:p w14:paraId="49CA9D46" w14:textId="77777777" w:rsidR="00695AE2" w:rsidRPr="00503014" w:rsidRDefault="00695AE2" w:rsidP="00980493">
            <w:pPr>
              <w:rPr>
                <w:rFonts w:eastAsia="Calibri" w:cs="Calibri"/>
                <w:sz w:val="20"/>
                <w:szCs w:val="20"/>
              </w:rPr>
            </w:pPr>
          </w:p>
        </w:tc>
        <w:tc>
          <w:tcPr>
            <w:tcW w:w="1065" w:type="dxa"/>
          </w:tcPr>
          <w:p w14:paraId="7D006330" w14:textId="77777777" w:rsidR="00695AE2" w:rsidRPr="00503014" w:rsidRDefault="00695AE2" w:rsidP="00980493">
            <w:pPr>
              <w:rPr>
                <w:rFonts w:eastAsia="Calibri" w:cs="Calibri"/>
                <w:sz w:val="20"/>
                <w:szCs w:val="20"/>
              </w:rPr>
            </w:pPr>
            <w:r w:rsidRPr="00503014">
              <w:rPr>
                <w:rFonts w:eastAsia="Calibri" w:cs="Calibri"/>
                <w:sz w:val="20"/>
                <w:szCs w:val="20"/>
              </w:rPr>
              <w:t>zavrnjeno</w:t>
            </w:r>
          </w:p>
        </w:tc>
        <w:tc>
          <w:tcPr>
            <w:tcW w:w="990" w:type="dxa"/>
          </w:tcPr>
          <w:p w14:paraId="12EA23B3" w14:textId="77777777" w:rsidR="00695AE2" w:rsidRPr="00503014" w:rsidRDefault="00695AE2" w:rsidP="00980493">
            <w:pPr>
              <w:rPr>
                <w:rFonts w:eastAsia="Calibri" w:cs="Calibri"/>
                <w:sz w:val="20"/>
                <w:szCs w:val="20"/>
              </w:rPr>
            </w:pPr>
            <w:r w:rsidRPr="00503014">
              <w:rPr>
                <w:rFonts w:eastAsia="Calibri" w:cs="Calibri"/>
                <w:sz w:val="20"/>
                <w:szCs w:val="20"/>
              </w:rPr>
              <w:t>zavrženo</w:t>
            </w:r>
          </w:p>
        </w:tc>
        <w:tc>
          <w:tcPr>
            <w:tcW w:w="960" w:type="dxa"/>
          </w:tcPr>
          <w:p w14:paraId="3B6835DC" w14:textId="77777777" w:rsidR="00695AE2" w:rsidRPr="00503014" w:rsidRDefault="00695AE2" w:rsidP="00980493">
            <w:pPr>
              <w:rPr>
                <w:rFonts w:eastAsia="Calibri" w:cs="Calibri"/>
                <w:sz w:val="20"/>
                <w:szCs w:val="20"/>
              </w:rPr>
            </w:pPr>
            <w:r w:rsidRPr="00503014">
              <w:rPr>
                <w:rFonts w:eastAsia="Calibri" w:cs="Calibri"/>
                <w:sz w:val="20"/>
                <w:szCs w:val="20"/>
              </w:rPr>
              <w:t>ugodeno</w:t>
            </w:r>
          </w:p>
        </w:tc>
      </w:tr>
      <w:tr w:rsidR="00695AE2" w:rsidRPr="00503014" w14:paraId="49407C2C" w14:textId="77777777" w:rsidTr="00980493">
        <w:tc>
          <w:tcPr>
            <w:tcW w:w="2476" w:type="dxa"/>
          </w:tcPr>
          <w:p w14:paraId="6845E34F" w14:textId="77777777" w:rsidR="00695AE2" w:rsidRPr="00503014" w:rsidRDefault="00695AE2" w:rsidP="00980493">
            <w:pPr>
              <w:rPr>
                <w:rFonts w:eastAsia="Calibri" w:cs="Calibri"/>
                <w:sz w:val="20"/>
                <w:szCs w:val="20"/>
              </w:rPr>
            </w:pPr>
            <w:r w:rsidRPr="00503014">
              <w:rPr>
                <w:rFonts w:eastAsia="Calibri" w:cs="Calibri"/>
                <w:sz w:val="20"/>
                <w:szCs w:val="20"/>
              </w:rPr>
              <w:t>sedež v Ljubljani</w:t>
            </w:r>
          </w:p>
        </w:tc>
        <w:tc>
          <w:tcPr>
            <w:tcW w:w="1389" w:type="dxa"/>
          </w:tcPr>
          <w:p w14:paraId="5C2E4270" w14:textId="77777777" w:rsidR="00695AE2" w:rsidRPr="00503014" w:rsidRDefault="00695AE2" w:rsidP="00980493">
            <w:pPr>
              <w:jc w:val="center"/>
              <w:rPr>
                <w:rFonts w:eastAsia="Calibri" w:cs="Calibri"/>
                <w:sz w:val="20"/>
                <w:szCs w:val="20"/>
              </w:rPr>
            </w:pPr>
            <w:r w:rsidRPr="00503014">
              <w:rPr>
                <w:rFonts w:eastAsia="Calibri" w:cs="Calibri"/>
                <w:sz w:val="20"/>
                <w:szCs w:val="20"/>
              </w:rPr>
              <w:t>408</w:t>
            </w:r>
          </w:p>
        </w:tc>
        <w:tc>
          <w:tcPr>
            <w:tcW w:w="1389" w:type="dxa"/>
          </w:tcPr>
          <w:p w14:paraId="75B79C60" w14:textId="77777777" w:rsidR="00695AE2" w:rsidRPr="00503014" w:rsidRDefault="00695AE2" w:rsidP="00980493">
            <w:pPr>
              <w:jc w:val="center"/>
              <w:rPr>
                <w:rFonts w:eastAsia="Calibri" w:cs="Calibri"/>
                <w:sz w:val="20"/>
                <w:szCs w:val="20"/>
              </w:rPr>
            </w:pPr>
            <w:r w:rsidRPr="00503014">
              <w:rPr>
                <w:rFonts w:eastAsia="Calibri" w:cs="Calibri"/>
                <w:sz w:val="20"/>
                <w:szCs w:val="20"/>
              </w:rPr>
              <w:t>45</w:t>
            </w:r>
          </w:p>
        </w:tc>
        <w:tc>
          <w:tcPr>
            <w:tcW w:w="1391" w:type="dxa"/>
          </w:tcPr>
          <w:p w14:paraId="1FF6F8FA" w14:textId="77777777" w:rsidR="00695AE2" w:rsidRPr="00503014" w:rsidRDefault="00695AE2" w:rsidP="00980493">
            <w:pPr>
              <w:jc w:val="center"/>
              <w:rPr>
                <w:rFonts w:eastAsia="Calibri" w:cs="Calibri"/>
                <w:sz w:val="20"/>
                <w:szCs w:val="20"/>
              </w:rPr>
            </w:pPr>
            <w:r w:rsidRPr="00503014">
              <w:rPr>
                <w:rFonts w:eastAsia="Calibri" w:cs="Calibri"/>
                <w:sz w:val="20"/>
                <w:szCs w:val="20"/>
              </w:rPr>
              <w:t>453</w:t>
            </w:r>
          </w:p>
        </w:tc>
        <w:tc>
          <w:tcPr>
            <w:tcW w:w="1065" w:type="dxa"/>
          </w:tcPr>
          <w:p w14:paraId="60BA4A16" w14:textId="77777777" w:rsidR="00695AE2" w:rsidRPr="00503014" w:rsidRDefault="00695AE2" w:rsidP="00980493">
            <w:pPr>
              <w:jc w:val="center"/>
              <w:rPr>
                <w:rFonts w:eastAsia="Calibri" w:cs="Calibri"/>
                <w:sz w:val="20"/>
                <w:szCs w:val="20"/>
              </w:rPr>
            </w:pPr>
            <w:r w:rsidRPr="00503014">
              <w:rPr>
                <w:rFonts w:eastAsia="Calibri" w:cs="Calibri"/>
                <w:sz w:val="20"/>
                <w:szCs w:val="20"/>
              </w:rPr>
              <w:t>138</w:t>
            </w:r>
          </w:p>
        </w:tc>
        <w:tc>
          <w:tcPr>
            <w:tcW w:w="990" w:type="dxa"/>
          </w:tcPr>
          <w:p w14:paraId="65B921D4" w14:textId="77777777" w:rsidR="00695AE2" w:rsidRPr="00503014" w:rsidRDefault="00695AE2" w:rsidP="00980493">
            <w:pPr>
              <w:jc w:val="center"/>
              <w:rPr>
                <w:rFonts w:eastAsia="Calibri" w:cs="Calibri"/>
                <w:sz w:val="20"/>
                <w:szCs w:val="20"/>
              </w:rPr>
            </w:pPr>
            <w:r w:rsidRPr="00503014">
              <w:rPr>
                <w:rFonts w:eastAsia="Calibri" w:cs="Calibri"/>
                <w:sz w:val="20"/>
                <w:szCs w:val="20"/>
              </w:rPr>
              <w:t>12</w:t>
            </w:r>
          </w:p>
        </w:tc>
        <w:tc>
          <w:tcPr>
            <w:tcW w:w="960" w:type="dxa"/>
          </w:tcPr>
          <w:p w14:paraId="0A53BB2E" w14:textId="77777777" w:rsidR="00695AE2" w:rsidRPr="00503014" w:rsidRDefault="00695AE2" w:rsidP="00980493">
            <w:pPr>
              <w:jc w:val="center"/>
              <w:rPr>
                <w:rFonts w:eastAsia="Calibri" w:cs="Calibri"/>
                <w:sz w:val="20"/>
                <w:szCs w:val="20"/>
              </w:rPr>
            </w:pPr>
            <w:r w:rsidRPr="00503014">
              <w:rPr>
                <w:rFonts w:eastAsia="Calibri" w:cs="Calibri"/>
                <w:sz w:val="20"/>
                <w:szCs w:val="20"/>
              </w:rPr>
              <w:t>80</w:t>
            </w:r>
          </w:p>
        </w:tc>
      </w:tr>
      <w:tr w:rsidR="00695AE2" w:rsidRPr="00503014" w14:paraId="4DF57CFA" w14:textId="77777777" w:rsidTr="00980493">
        <w:tc>
          <w:tcPr>
            <w:tcW w:w="2476" w:type="dxa"/>
          </w:tcPr>
          <w:p w14:paraId="49E8811F" w14:textId="77777777" w:rsidR="00695AE2" w:rsidRPr="00503014" w:rsidRDefault="00695AE2" w:rsidP="00980493">
            <w:pPr>
              <w:rPr>
                <w:rFonts w:eastAsia="Calibri" w:cs="Calibri"/>
                <w:sz w:val="20"/>
                <w:szCs w:val="20"/>
              </w:rPr>
            </w:pPr>
            <w:r w:rsidRPr="00503014">
              <w:rPr>
                <w:rFonts w:eastAsia="Calibri" w:cs="Calibri"/>
                <w:sz w:val="20"/>
                <w:szCs w:val="20"/>
              </w:rPr>
              <w:t>zunanji oddelek v Mariboru</w:t>
            </w:r>
          </w:p>
        </w:tc>
        <w:tc>
          <w:tcPr>
            <w:tcW w:w="1389" w:type="dxa"/>
          </w:tcPr>
          <w:p w14:paraId="77AE53A1" w14:textId="77777777" w:rsidR="00695AE2" w:rsidRPr="00503014" w:rsidRDefault="00695AE2" w:rsidP="00980493">
            <w:pPr>
              <w:jc w:val="center"/>
              <w:rPr>
                <w:rFonts w:eastAsia="Calibri" w:cs="Calibri"/>
                <w:sz w:val="20"/>
                <w:szCs w:val="20"/>
              </w:rPr>
            </w:pPr>
            <w:r w:rsidRPr="00503014">
              <w:rPr>
                <w:rFonts w:eastAsia="Calibri" w:cs="Calibri"/>
                <w:sz w:val="20"/>
                <w:szCs w:val="20"/>
              </w:rPr>
              <w:t>132</w:t>
            </w:r>
          </w:p>
        </w:tc>
        <w:tc>
          <w:tcPr>
            <w:tcW w:w="1389" w:type="dxa"/>
          </w:tcPr>
          <w:p w14:paraId="75CB51BA" w14:textId="77777777" w:rsidR="00695AE2" w:rsidRPr="00503014" w:rsidRDefault="00695AE2" w:rsidP="00980493">
            <w:pPr>
              <w:jc w:val="center"/>
              <w:rPr>
                <w:rFonts w:eastAsia="Calibri" w:cs="Calibri"/>
                <w:sz w:val="20"/>
                <w:szCs w:val="20"/>
              </w:rPr>
            </w:pPr>
            <w:r w:rsidRPr="00503014">
              <w:rPr>
                <w:rFonts w:eastAsia="Calibri" w:cs="Calibri"/>
                <w:sz w:val="20"/>
                <w:szCs w:val="20"/>
              </w:rPr>
              <w:t>11</w:t>
            </w:r>
          </w:p>
        </w:tc>
        <w:tc>
          <w:tcPr>
            <w:tcW w:w="1391" w:type="dxa"/>
          </w:tcPr>
          <w:p w14:paraId="140B51B9" w14:textId="77777777" w:rsidR="00695AE2" w:rsidRPr="00503014" w:rsidRDefault="00695AE2" w:rsidP="00980493">
            <w:pPr>
              <w:jc w:val="center"/>
              <w:rPr>
                <w:rFonts w:eastAsia="Calibri" w:cs="Calibri"/>
                <w:sz w:val="20"/>
                <w:szCs w:val="20"/>
              </w:rPr>
            </w:pPr>
            <w:r w:rsidRPr="00503014">
              <w:rPr>
                <w:rFonts w:eastAsia="Calibri" w:cs="Calibri"/>
                <w:sz w:val="20"/>
                <w:szCs w:val="20"/>
              </w:rPr>
              <w:t>143</w:t>
            </w:r>
          </w:p>
        </w:tc>
        <w:tc>
          <w:tcPr>
            <w:tcW w:w="1065" w:type="dxa"/>
          </w:tcPr>
          <w:p w14:paraId="114AD125" w14:textId="77777777" w:rsidR="00695AE2" w:rsidRPr="00503014" w:rsidRDefault="00695AE2" w:rsidP="00980493">
            <w:pPr>
              <w:jc w:val="center"/>
              <w:rPr>
                <w:rFonts w:eastAsia="Calibri" w:cs="Calibri"/>
                <w:sz w:val="20"/>
                <w:szCs w:val="20"/>
              </w:rPr>
            </w:pPr>
            <w:r w:rsidRPr="00503014">
              <w:rPr>
                <w:rFonts w:eastAsia="Calibri" w:cs="Calibri"/>
                <w:sz w:val="20"/>
                <w:szCs w:val="20"/>
              </w:rPr>
              <w:t>96</w:t>
            </w:r>
          </w:p>
        </w:tc>
        <w:tc>
          <w:tcPr>
            <w:tcW w:w="990" w:type="dxa"/>
          </w:tcPr>
          <w:p w14:paraId="7E462EFC" w14:textId="77777777" w:rsidR="00695AE2" w:rsidRPr="00503014" w:rsidRDefault="00695AE2" w:rsidP="00980493">
            <w:pPr>
              <w:jc w:val="center"/>
              <w:rPr>
                <w:rFonts w:eastAsia="Calibri" w:cs="Calibri"/>
                <w:sz w:val="20"/>
                <w:szCs w:val="20"/>
              </w:rPr>
            </w:pPr>
            <w:r w:rsidRPr="00503014">
              <w:rPr>
                <w:rFonts w:eastAsia="Calibri" w:cs="Calibri"/>
                <w:sz w:val="20"/>
                <w:szCs w:val="20"/>
              </w:rPr>
              <w:t>15</w:t>
            </w:r>
          </w:p>
        </w:tc>
        <w:tc>
          <w:tcPr>
            <w:tcW w:w="960" w:type="dxa"/>
          </w:tcPr>
          <w:p w14:paraId="658582BD" w14:textId="77777777" w:rsidR="00695AE2" w:rsidRPr="00503014" w:rsidRDefault="00695AE2" w:rsidP="00980493">
            <w:pPr>
              <w:jc w:val="center"/>
              <w:rPr>
                <w:rFonts w:eastAsia="Calibri" w:cs="Calibri"/>
                <w:sz w:val="20"/>
                <w:szCs w:val="20"/>
              </w:rPr>
            </w:pPr>
            <w:r w:rsidRPr="00503014">
              <w:rPr>
                <w:rFonts w:eastAsia="Calibri" w:cs="Calibri"/>
                <w:sz w:val="20"/>
                <w:szCs w:val="20"/>
              </w:rPr>
              <w:t>46</w:t>
            </w:r>
          </w:p>
        </w:tc>
      </w:tr>
      <w:tr w:rsidR="00695AE2" w:rsidRPr="00503014" w14:paraId="3685D67A" w14:textId="77777777" w:rsidTr="00980493">
        <w:tc>
          <w:tcPr>
            <w:tcW w:w="2476" w:type="dxa"/>
          </w:tcPr>
          <w:p w14:paraId="5DC8675F" w14:textId="77777777" w:rsidR="00695AE2" w:rsidRPr="00503014" w:rsidRDefault="00695AE2" w:rsidP="00980493">
            <w:pPr>
              <w:rPr>
                <w:rFonts w:eastAsia="Calibri" w:cs="Calibri"/>
                <w:sz w:val="20"/>
                <w:szCs w:val="20"/>
              </w:rPr>
            </w:pPr>
            <w:r w:rsidRPr="00503014">
              <w:rPr>
                <w:rFonts w:eastAsia="Calibri" w:cs="Calibri"/>
                <w:sz w:val="20"/>
                <w:szCs w:val="20"/>
              </w:rPr>
              <w:t>zunanji oddelek v Celju</w:t>
            </w:r>
          </w:p>
        </w:tc>
        <w:tc>
          <w:tcPr>
            <w:tcW w:w="1389" w:type="dxa"/>
          </w:tcPr>
          <w:p w14:paraId="6C329E92" w14:textId="77777777" w:rsidR="00695AE2" w:rsidRPr="00503014" w:rsidRDefault="00695AE2" w:rsidP="00980493">
            <w:pPr>
              <w:jc w:val="center"/>
              <w:rPr>
                <w:rFonts w:eastAsia="Calibri" w:cs="Calibri"/>
                <w:sz w:val="20"/>
                <w:szCs w:val="20"/>
              </w:rPr>
            </w:pPr>
            <w:r w:rsidRPr="00503014">
              <w:rPr>
                <w:rFonts w:eastAsia="Calibri" w:cs="Calibri"/>
                <w:sz w:val="20"/>
                <w:szCs w:val="20"/>
              </w:rPr>
              <w:t>67</w:t>
            </w:r>
          </w:p>
        </w:tc>
        <w:tc>
          <w:tcPr>
            <w:tcW w:w="1389" w:type="dxa"/>
          </w:tcPr>
          <w:p w14:paraId="6CFA38ED" w14:textId="77777777" w:rsidR="00695AE2" w:rsidRPr="00503014" w:rsidRDefault="00695AE2" w:rsidP="00980493">
            <w:pPr>
              <w:jc w:val="center"/>
              <w:rPr>
                <w:rFonts w:eastAsia="Calibri" w:cs="Calibri"/>
                <w:sz w:val="20"/>
                <w:szCs w:val="20"/>
              </w:rPr>
            </w:pPr>
            <w:r w:rsidRPr="00503014">
              <w:rPr>
                <w:rFonts w:eastAsia="Calibri" w:cs="Calibri"/>
                <w:sz w:val="20"/>
                <w:szCs w:val="20"/>
              </w:rPr>
              <w:t>5</w:t>
            </w:r>
          </w:p>
        </w:tc>
        <w:tc>
          <w:tcPr>
            <w:tcW w:w="1391" w:type="dxa"/>
          </w:tcPr>
          <w:p w14:paraId="5666DFE5" w14:textId="77777777" w:rsidR="00695AE2" w:rsidRPr="00503014" w:rsidRDefault="00695AE2" w:rsidP="00980493">
            <w:pPr>
              <w:jc w:val="center"/>
              <w:rPr>
                <w:rFonts w:eastAsia="Calibri" w:cs="Calibri"/>
                <w:sz w:val="20"/>
                <w:szCs w:val="20"/>
              </w:rPr>
            </w:pPr>
            <w:r w:rsidRPr="00503014">
              <w:rPr>
                <w:rFonts w:eastAsia="Calibri" w:cs="Calibri"/>
                <w:sz w:val="20"/>
                <w:szCs w:val="20"/>
              </w:rPr>
              <w:t>72</w:t>
            </w:r>
          </w:p>
        </w:tc>
        <w:tc>
          <w:tcPr>
            <w:tcW w:w="1065" w:type="dxa"/>
          </w:tcPr>
          <w:p w14:paraId="43A84183" w14:textId="77777777" w:rsidR="00695AE2" w:rsidRPr="00503014" w:rsidRDefault="00695AE2" w:rsidP="00980493">
            <w:pPr>
              <w:jc w:val="center"/>
              <w:rPr>
                <w:rFonts w:eastAsia="Calibri" w:cs="Calibri"/>
                <w:sz w:val="20"/>
                <w:szCs w:val="20"/>
              </w:rPr>
            </w:pPr>
            <w:r w:rsidRPr="00503014">
              <w:rPr>
                <w:rFonts w:eastAsia="Calibri" w:cs="Calibri"/>
                <w:sz w:val="20"/>
                <w:szCs w:val="20"/>
              </w:rPr>
              <w:t>25</w:t>
            </w:r>
          </w:p>
        </w:tc>
        <w:tc>
          <w:tcPr>
            <w:tcW w:w="990" w:type="dxa"/>
          </w:tcPr>
          <w:p w14:paraId="28E618F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1E5824BB" w14:textId="77777777" w:rsidR="00695AE2" w:rsidRPr="00503014" w:rsidRDefault="00695AE2" w:rsidP="00980493">
            <w:pPr>
              <w:jc w:val="center"/>
              <w:rPr>
                <w:rFonts w:eastAsia="Calibri" w:cs="Calibri"/>
                <w:sz w:val="20"/>
                <w:szCs w:val="20"/>
              </w:rPr>
            </w:pPr>
            <w:r w:rsidRPr="00503014">
              <w:rPr>
                <w:rFonts w:eastAsia="Calibri" w:cs="Calibri"/>
                <w:sz w:val="20"/>
                <w:szCs w:val="20"/>
              </w:rPr>
              <w:t>4</w:t>
            </w:r>
          </w:p>
        </w:tc>
      </w:tr>
      <w:tr w:rsidR="00695AE2" w:rsidRPr="00503014" w14:paraId="41EB28FF" w14:textId="77777777" w:rsidTr="00980493">
        <w:tc>
          <w:tcPr>
            <w:tcW w:w="2476" w:type="dxa"/>
          </w:tcPr>
          <w:p w14:paraId="4781D72B" w14:textId="77777777" w:rsidR="00695AE2" w:rsidRPr="00503014" w:rsidRDefault="00695AE2" w:rsidP="00980493">
            <w:pPr>
              <w:rPr>
                <w:rFonts w:eastAsia="Calibri" w:cs="Calibri"/>
                <w:sz w:val="20"/>
                <w:szCs w:val="20"/>
              </w:rPr>
            </w:pPr>
            <w:r w:rsidRPr="00503014">
              <w:rPr>
                <w:rFonts w:eastAsia="Calibri" w:cs="Calibri"/>
                <w:sz w:val="20"/>
                <w:szCs w:val="20"/>
              </w:rPr>
              <w:lastRenderedPageBreak/>
              <w:t>zunanji oddelek v Kopru</w:t>
            </w:r>
          </w:p>
        </w:tc>
        <w:tc>
          <w:tcPr>
            <w:tcW w:w="1389" w:type="dxa"/>
          </w:tcPr>
          <w:p w14:paraId="5B286616" w14:textId="77777777" w:rsidR="00695AE2" w:rsidRPr="00503014" w:rsidRDefault="00695AE2" w:rsidP="00980493">
            <w:pPr>
              <w:jc w:val="center"/>
              <w:rPr>
                <w:rFonts w:eastAsia="Calibri" w:cs="Calibri"/>
                <w:sz w:val="20"/>
                <w:szCs w:val="20"/>
              </w:rPr>
            </w:pPr>
            <w:r w:rsidRPr="00503014">
              <w:rPr>
                <w:rFonts w:eastAsia="Calibri" w:cs="Calibri"/>
                <w:sz w:val="20"/>
                <w:szCs w:val="20"/>
              </w:rPr>
              <w:t>37</w:t>
            </w:r>
          </w:p>
        </w:tc>
        <w:tc>
          <w:tcPr>
            <w:tcW w:w="1389" w:type="dxa"/>
          </w:tcPr>
          <w:p w14:paraId="37E12F30" w14:textId="77777777" w:rsidR="00695AE2" w:rsidRPr="00503014" w:rsidRDefault="00695AE2" w:rsidP="00980493">
            <w:pPr>
              <w:jc w:val="center"/>
              <w:rPr>
                <w:rFonts w:eastAsia="Calibri" w:cs="Calibri"/>
                <w:sz w:val="20"/>
                <w:szCs w:val="20"/>
              </w:rPr>
            </w:pPr>
            <w:r w:rsidRPr="00503014">
              <w:rPr>
                <w:rFonts w:eastAsia="Calibri" w:cs="Calibri"/>
                <w:sz w:val="20"/>
                <w:szCs w:val="20"/>
              </w:rPr>
              <w:t>8</w:t>
            </w:r>
          </w:p>
        </w:tc>
        <w:tc>
          <w:tcPr>
            <w:tcW w:w="1391" w:type="dxa"/>
          </w:tcPr>
          <w:p w14:paraId="54DC0C11" w14:textId="77777777" w:rsidR="00695AE2" w:rsidRPr="00503014" w:rsidRDefault="00695AE2" w:rsidP="00980493">
            <w:pPr>
              <w:jc w:val="center"/>
              <w:rPr>
                <w:rFonts w:eastAsia="Calibri" w:cs="Calibri"/>
                <w:sz w:val="20"/>
                <w:szCs w:val="20"/>
              </w:rPr>
            </w:pPr>
            <w:r w:rsidRPr="00503014">
              <w:rPr>
                <w:rFonts w:eastAsia="Calibri" w:cs="Calibri"/>
                <w:sz w:val="20"/>
                <w:szCs w:val="20"/>
              </w:rPr>
              <w:t>45</w:t>
            </w:r>
          </w:p>
        </w:tc>
        <w:tc>
          <w:tcPr>
            <w:tcW w:w="1065" w:type="dxa"/>
          </w:tcPr>
          <w:p w14:paraId="18C7DAE5" w14:textId="77777777" w:rsidR="00695AE2" w:rsidRPr="00503014" w:rsidRDefault="00695AE2" w:rsidP="00980493">
            <w:pPr>
              <w:jc w:val="center"/>
              <w:rPr>
                <w:rFonts w:eastAsia="Calibri" w:cs="Calibri"/>
                <w:sz w:val="20"/>
                <w:szCs w:val="20"/>
              </w:rPr>
            </w:pPr>
            <w:r w:rsidRPr="00503014">
              <w:rPr>
                <w:rFonts w:eastAsia="Calibri" w:cs="Calibri"/>
                <w:sz w:val="20"/>
                <w:szCs w:val="20"/>
              </w:rPr>
              <w:t>18</w:t>
            </w:r>
          </w:p>
        </w:tc>
        <w:tc>
          <w:tcPr>
            <w:tcW w:w="990" w:type="dxa"/>
          </w:tcPr>
          <w:p w14:paraId="46253A30"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1D3629B8" w14:textId="77777777" w:rsidR="00695AE2" w:rsidRPr="00503014" w:rsidRDefault="00695AE2" w:rsidP="00980493">
            <w:pPr>
              <w:jc w:val="center"/>
              <w:rPr>
                <w:rFonts w:eastAsia="Calibri" w:cs="Calibri"/>
                <w:sz w:val="20"/>
                <w:szCs w:val="20"/>
              </w:rPr>
            </w:pPr>
            <w:r w:rsidRPr="00503014">
              <w:rPr>
                <w:rFonts w:eastAsia="Calibri" w:cs="Calibri"/>
                <w:sz w:val="20"/>
                <w:szCs w:val="20"/>
              </w:rPr>
              <w:t>10</w:t>
            </w:r>
          </w:p>
        </w:tc>
      </w:tr>
      <w:tr w:rsidR="00695AE2" w:rsidRPr="00503014" w14:paraId="712B4538" w14:textId="77777777" w:rsidTr="00980493">
        <w:tc>
          <w:tcPr>
            <w:tcW w:w="2476" w:type="dxa"/>
          </w:tcPr>
          <w:p w14:paraId="75909E78" w14:textId="77777777" w:rsidR="00695AE2" w:rsidRPr="00503014" w:rsidRDefault="00695AE2" w:rsidP="00980493">
            <w:pPr>
              <w:rPr>
                <w:rFonts w:eastAsia="Calibri" w:cs="Calibri"/>
                <w:sz w:val="20"/>
                <w:szCs w:val="20"/>
              </w:rPr>
            </w:pPr>
            <w:r w:rsidRPr="00503014">
              <w:rPr>
                <w:rFonts w:eastAsia="Calibri" w:cs="Calibri"/>
                <w:sz w:val="20"/>
                <w:szCs w:val="20"/>
              </w:rPr>
              <w:t>zunanji oddelek v Kranju</w:t>
            </w:r>
          </w:p>
        </w:tc>
        <w:tc>
          <w:tcPr>
            <w:tcW w:w="1389" w:type="dxa"/>
          </w:tcPr>
          <w:p w14:paraId="481C47A5" w14:textId="77777777" w:rsidR="00695AE2" w:rsidRPr="00503014" w:rsidRDefault="00695AE2" w:rsidP="00980493">
            <w:pPr>
              <w:jc w:val="center"/>
              <w:rPr>
                <w:rFonts w:eastAsia="Calibri" w:cs="Calibri"/>
                <w:sz w:val="20"/>
                <w:szCs w:val="20"/>
              </w:rPr>
            </w:pPr>
            <w:r w:rsidRPr="00503014">
              <w:rPr>
                <w:rFonts w:eastAsia="Calibri" w:cs="Calibri"/>
                <w:sz w:val="20"/>
                <w:szCs w:val="20"/>
              </w:rPr>
              <w:t>40</w:t>
            </w:r>
          </w:p>
        </w:tc>
        <w:tc>
          <w:tcPr>
            <w:tcW w:w="1389" w:type="dxa"/>
          </w:tcPr>
          <w:p w14:paraId="7FF56E10" w14:textId="77777777" w:rsidR="00695AE2" w:rsidRPr="00503014" w:rsidRDefault="00695AE2" w:rsidP="00980493">
            <w:pPr>
              <w:jc w:val="center"/>
              <w:rPr>
                <w:rFonts w:eastAsia="Calibri" w:cs="Calibri"/>
                <w:sz w:val="20"/>
                <w:szCs w:val="20"/>
              </w:rPr>
            </w:pPr>
            <w:r w:rsidRPr="00503014">
              <w:rPr>
                <w:rFonts w:eastAsia="Calibri" w:cs="Calibri"/>
                <w:sz w:val="20"/>
                <w:szCs w:val="20"/>
              </w:rPr>
              <w:t>2</w:t>
            </w:r>
          </w:p>
        </w:tc>
        <w:tc>
          <w:tcPr>
            <w:tcW w:w="1391" w:type="dxa"/>
          </w:tcPr>
          <w:p w14:paraId="058C55F3" w14:textId="77777777" w:rsidR="00695AE2" w:rsidRPr="00503014" w:rsidRDefault="00695AE2" w:rsidP="00980493">
            <w:pPr>
              <w:jc w:val="center"/>
              <w:rPr>
                <w:rFonts w:eastAsia="Calibri" w:cs="Calibri"/>
                <w:sz w:val="20"/>
                <w:szCs w:val="20"/>
              </w:rPr>
            </w:pPr>
            <w:r w:rsidRPr="00503014">
              <w:rPr>
                <w:rFonts w:eastAsia="Calibri" w:cs="Calibri"/>
                <w:sz w:val="20"/>
                <w:szCs w:val="20"/>
              </w:rPr>
              <w:t>42</w:t>
            </w:r>
          </w:p>
        </w:tc>
        <w:tc>
          <w:tcPr>
            <w:tcW w:w="1065" w:type="dxa"/>
          </w:tcPr>
          <w:p w14:paraId="73CA01BF" w14:textId="77777777" w:rsidR="00695AE2" w:rsidRPr="00503014" w:rsidRDefault="00695AE2" w:rsidP="00980493">
            <w:pPr>
              <w:jc w:val="center"/>
              <w:rPr>
                <w:rFonts w:eastAsia="Calibri" w:cs="Calibri"/>
                <w:sz w:val="20"/>
                <w:szCs w:val="20"/>
              </w:rPr>
            </w:pPr>
            <w:r w:rsidRPr="00503014">
              <w:rPr>
                <w:rFonts w:eastAsia="Calibri" w:cs="Calibri"/>
                <w:sz w:val="20"/>
                <w:szCs w:val="20"/>
              </w:rPr>
              <w:t>15</w:t>
            </w:r>
          </w:p>
        </w:tc>
        <w:tc>
          <w:tcPr>
            <w:tcW w:w="990" w:type="dxa"/>
          </w:tcPr>
          <w:p w14:paraId="27B1FE9D"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72819B2F" w14:textId="77777777" w:rsidR="00695AE2" w:rsidRPr="00503014" w:rsidRDefault="00695AE2" w:rsidP="00980493">
            <w:pPr>
              <w:jc w:val="center"/>
              <w:rPr>
                <w:rFonts w:eastAsia="Calibri" w:cs="Calibri"/>
                <w:sz w:val="20"/>
                <w:szCs w:val="20"/>
              </w:rPr>
            </w:pPr>
            <w:r w:rsidRPr="00503014">
              <w:rPr>
                <w:rFonts w:eastAsia="Calibri" w:cs="Calibri"/>
                <w:sz w:val="20"/>
                <w:szCs w:val="20"/>
              </w:rPr>
              <w:t>9</w:t>
            </w:r>
          </w:p>
        </w:tc>
      </w:tr>
      <w:tr w:rsidR="00695AE2" w:rsidRPr="00503014" w14:paraId="7D682FD4" w14:textId="77777777" w:rsidTr="00980493">
        <w:tc>
          <w:tcPr>
            <w:tcW w:w="2476" w:type="dxa"/>
          </w:tcPr>
          <w:p w14:paraId="240B6BF5" w14:textId="77777777" w:rsidR="00695AE2" w:rsidRPr="00503014" w:rsidRDefault="00695AE2" w:rsidP="00980493">
            <w:pPr>
              <w:rPr>
                <w:rFonts w:eastAsia="Calibri" w:cs="Calibri"/>
                <w:sz w:val="20"/>
                <w:szCs w:val="20"/>
              </w:rPr>
            </w:pPr>
            <w:r w:rsidRPr="00503014">
              <w:rPr>
                <w:rFonts w:eastAsia="Calibri" w:cs="Calibri"/>
                <w:sz w:val="20"/>
                <w:szCs w:val="20"/>
              </w:rPr>
              <w:t>zunanji oddelek v Murski Soboti</w:t>
            </w:r>
          </w:p>
        </w:tc>
        <w:tc>
          <w:tcPr>
            <w:tcW w:w="1389" w:type="dxa"/>
          </w:tcPr>
          <w:p w14:paraId="65395E28" w14:textId="77777777" w:rsidR="00695AE2" w:rsidRPr="00503014" w:rsidRDefault="00695AE2" w:rsidP="00980493">
            <w:pPr>
              <w:jc w:val="center"/>
              <w:rPr>
                <w:rFonts w:eastAsia="Calibri" w:cs="Calibri"/>
                <w:sz w:val="20"/>
                <w:szCs w:val="20"/>
              </w:rPr>
            </w:pPr>
            <w:r w:rsidRPr="00503014">
              <w:rPr>
                <w:rFonts w:eastAsia="Calibri" w:cs="Calibri"/>
                <w:sz w:val="20"/>
                <w:szCs w:val="20"/>
              </w:rPr>
              <w:t>57</w:t>
            </w:r>
          </w:p>
        </w:tc>
        <w:tc>
          <w:tcPr>
            <w:tcW w:w="1389" w:type="dxa"/>
          </w:tcPr>
          <w:p w14:paraId="64DE21A9"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391" w:type="dxa"/>
          </w:tcPr>
          <w:p w14:paraId="38BE3746" w14:textId="77777777" w:rsidR="00695AE2" w:rsidRPr="00503014" w:rsidRDefault="00695AE2" w:rsidP="00980493">
            <w:pPr>
              <w:jc w:val="center"/>
              <w:rPr>
                <w:rFonts w:eastAsia="Calibri" w:cs="Calibri"/>
                <w:sz w:val="20"/>
                <w:szCs w:val="20"/>
              </w:rPr>
            </w:pPr>
            <w:r w:rsidRPr="00503014">
              <w:rPr>
                <w:rFonts w:eastAsia="Calibri" w:cs="Calibri"/>
                <w:sz w:val="20"/>
                <w:szCs w:val="20"/>
              </w:rPr>
              <w:t>58</w:t>
            </w:r>
          </w:p>
        </w:tc>
        <w:tc>
          <w:tcPr>
            <w:tcW w:w="1065" w:type="dxa"/>
          </w:tcPr>
          <w:p w14:paraId="745B3AF7" w14:textId="77777777" w:rsidR="00695AE2" w:rsidRPr="00503014" w:rsidRDefault="00695AE2" w:rsidP="00980493">
            <w:pPr>
              <w:jc w:val="center"/>
              <w:rPr>
                <w:rFonts w:eastAsia="Calibri" w:cs="Calibri"/>
                <w:sz w:val="20"/>
                <w:szCs w:val="20"/>
              </w:rPr>
            </w:pPr>
            <w:r w:rsidRPr="00503014">
              <w:rPr>
                <w:rFonts w:eastAsia="Calibri" w:cs="Calibri"/>
                <w:sz w:val="20"/>
                <w:szCs w:val="20"/>
              </w:rPr>
              <w:t>14</w:t>
            </w:r>
          </w:p>
        </w:tc>
        <w:tc>
          <w:tcPr>
            <w:tcW w:w="990" w:type="dxa"/>
          </w:tcPr>
          <w:p w14:paraId="6AF1FAF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60357220" w14:textId="77777777" w:rsidR="00695AE2" w:rsidRPr="00503014" w:rsidRDefault="00695AE2" w:rsidP="00980493">
            <w:pPr>
              <w:jc w:val="center"/>
              <w:rPr>
                <w:rFonts w:eastAsia="Calibri" w:cs="Calibri"/>
                <w:sz w:val="20"/>
                <w:szCs w:val="20"/>
              </w:rPr>
            </w:pPr>
            <w:r w:rsidRPr="00503014">
              <w:rPr>
                <w:rFonts w:eastAsia="Calibri" w:cs="Calibri"/>
                <w:sz w:val="20"/>
                <w:szCs w:val="20"/>
              </w:rPr>
              <w:t>11</w:t>
            </w:r>
          </w:p>
        </w:tc>
      </w:tr>
      <w:tr w:rsidR="00695AE2" w:rsidRPr="00503014" w14:paraId="79217F6F" w14:textId="77777777" w:rsidTr="00980493">
        <w:tc>
          <w:tcPr>
            <w:tcW w:w="2476" w:type="dxa"/>
          </w:tcPr>
          <w:p w14:paraId="20FFE209" w14:textId="77777777" w:rsidR="00695AE2" w:rsidRPr="00503014" w:rsidRDefault="00695AE2" w:rsidP="00980493">
            <w:pPr>
              <w:rPr>
                <w:rFonts w:eastAsia="Calibri" w:cs="Calibri"/>
                <w:sz w:val="20"/>
                <w:szCs w:val="20"/>
              </w:rPr>
            </w:pPr>
            <w:r w:rsidRPr="00503014">
              <w:rPr>
                <w:rFonts w:eastAsia="Calibri" w:cs="Calibri"/>
                <w:sz w:val="20"/>
                <w:szCs w:val="20"/>
              </w:rPr>
              <w:t>zunanji oddelek v Novi Gorici</w:t>
            </w:r>
          </w:p>
        </w:tc>
        <w:tc>
          <w:tcPr>
            <w:tcW w:w="1389" w:type="dxa"/>
          </w:tcPr>
          <w:p w14:paraId="138F3D3A" w14:textId="77777777" w:rsidR="00695AE2" w:rsidRPr="00503014" w:rsidRDefault="00695AE2" w:rsidP="00980493">
            <w:pPr>
              <w:jc w:val="center"/>
              <w:rPr>
                <w:rFonts w:eastAsia="Calibri" w:cs="Calibri"/>
                <w:sz w:val="20"/>
                <w:szCs w:val="20"/>
              </w:rPr>
            </w:pPr>
            <w:r w:rsidRPr="00503014">
              <w:rPr>
                <w:rFonts w:eastAsia="Calibri" w:cs="Calibri"/>
                <w:sz w:val="20"/>
                <w:szCs w:val="20"/>
              </w:rPr>
              <w:t>31</w:t>
            </w:r>
          </w:p>
        </w:tc>
        <w:tc>
          <w:tcPr>
            <w:tcW w:w="1389" w:type="dxa"/>
          </w:tcPr>
          <w:p w14:paraId="792C9842"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391" w:type="dxa"/>
          </w:tcPr>
          <w:p w14:paraId="3EDA130A" w14:textId="77777777" w:rsidR="00695AE2" w:rsidRPr="00503014" w:rsidRDefault="00695AE2" w:rsidP="00980493">
            <w:pPr>
              <w:jc w:val="center"/>
              <w:rPr>
                <w:rFonts w:eastAsia="Calibri" w:cs="Calibri"/>
                <w:sz w:val="20"/>
                <w:szCs w:val="20"/>
              </w:rPr>
            </w:pPr>
            <w:r w:rsidRPr="00503014">
              <w:rPr>
                <w:rFonts w:eastAsia="Calibri" w:cs="Calibri"/>
                <w:sz w:val="20"/>
                <w:szCs w:val="20"/>
              </w:rPr>
              <w:t>32</w:t>
            </w:r>
          </w:p>
        </w:tc>
        <w:tc>
          <w:tcPr>
            <w:tcW w:w="1065" w:type="dxa"/>
          </w:tcPr>
          <w:p w14:paraId="4F19323C" w14:textId="77777777" w:rsidR="00695AE2" w:rsidRPr="00503014" w:rsidRDefault="00695AE2" w:rsidP="00980493">
            <w:pPr>
              <w:jc w:val="center"/>
              <w:rPr>
                <w:rFonts w:eastAsia="Calibri" w:cs="Calibri"/>
                <w:sz w:val="20"/>
                <w:szCs w:val="20"/>
              </w:rPr>
            </w:pPr>
            <w:r w:rsidRPr="00503014">
              <w:rPr>
                <w:rFonts w:eastAsia="Calibri" w:cs="Calibri"/>
                <w:sz w:val="20"/>
                <w:szCs w:val="20"/>
              </w:rPr>
              <w:t>6</w:t>
            </w:r>
          </w:p>
        </w:tc>
        <w:tc>
          <w:tcPr>
            <w:tcW w:w="990" w:type="dxa"/>
          </w:tcPr>
          <w:p w14:paraId="14A90C34"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3445E9A7" w14:textId="77777777" w:rsidR="00695AE2" w:rsidRPr="00503014" w:rsidRDefault="00695AE2" w:rsidP="00980493">
            <w:pPr>
              <w:jc w:val="center"/>
              <w:rPr>
                <w:rFonts w:eastAsia="Calibri" w:cs="Calibri"/>
                <w:sz w:val="20"/>
                <w:szCs w:val="20"/>
              </w:rPr>
            </w:pPr>
            <w:r w:rsidRPr="00503014">
              <w:rPr>
                <w:rFonts w:eastAsia="Calibri" w:cs="Calibri"/>
                <w:sz w:val="20"/>
                <w:szCs w:val="20"/>
              </w:rPr>
              <w:t>8</w:t>
            </w:r>
          </w:p>
        </w:tc>
      </w:tr>
      <w:tr w:rsidR="00695AE2" w:rsidRPr="00503014" w14:paraId="443D0FAD" w14:textId="77777777" w:rsidTr="00980493">
        <w:tc>
          <w:tcPr>
            <w:tcW w:w="2476" w:type="dxa"/>
          </w:tcPr>
          <w:p w14:paraId="1522C860" w14:textId="77777777" w:rsidR="00695AE2" w:rsidRPr="00503014" w:rsidRDefault="00695AE2" w:rsidP="00980493">
            <w:pPr>
              <w:rPr>
                <w:rFonts w:eastAsia="Calibri" w:cs="Calibri"/>
                <w:sz w:val="20"/>
                <w:szCs w:val="20"/>
              </w:rPr>
            </w:pPr>
            <w:r w:rsidRPr="00503014">
              <w:rPr>
                <w:rFonts w:eastAsia="Calibri" w:cs="Calibri"/>
                <w:sz w:val="20"/>
                <w:szCs w:val="20"/>
              </w:rPr>
              <w:t>zunanji oddelek v Novem mestu</w:t>
            </w:r>
          </w:p>
        </w:tc>
        <w:tc>
          <w:tcPr>
            <w:tcW w:w="1389" w:type="dxa"/>
          </w:tcPr>
          <w:p w14:paraId="726DD8DF" w14:textId="77777777" w:rsidR="00695AE2" w:rsidRPr="00503014" w:rsidRDefault="00695AE2" w:rsidP="00980493">
            <w:pPr>
              <w:jc w:val="center"/>
              <w:rPr>
                <w:rFonts w:eastAsia="Calibri" w:cs="Calibri"/>
                <w:sz w:val="20"/>
                <w:szCs w:val="20"/>
              </w:rPr>
            </w:pPr>
            <w:r w:rsidRPr="00503014">
              <w:rPr>
                <w:rFonts w:eastAsia="Calibri" w:cs="Calibri"/>
                <w:sz w:val="20"/>
                <w:szCs w:val="20"/>
              </w:rPr>
              <w:t>43</w:t>
            </w:r>
          </w:p>
        </w:tc>
        <w:tc>
          <w:tcPr>
            <w:tcW w:w="1389" w:type="dxa"/>
          </w:tcPr>
          <w:p w14:paraId="7B25E695" w14:textId="77777777" w:rsidR="00695AE2" w:rsidRPr="00503014" w:rsidRDefault="00695AE2" w:rsidP="00980493">
            <w:pPr>
              <w:jc w:val="center"/>
              <w:rPr>
                <w:rFonts w:eastAsia="Calibri" w:cs="Calibri"/>
                <w:sz w:val="20"/>
                <w:szCs w:val="20"/>
              </w:rPr>
            </w:pPr>
            <w:r w:rsidRPr="00503014">
              <w:rPr>
                <w:rFonts w:eastAsia="Calibri" w:cs="Calibri"/>
                <w:sz w:val="20"/>
                <w:szCs w:val="20"/>
              </w:rPr>
              <w:t>2</w:t>
            </w:r>
          </w:p>
        </w:tc>
        <w:tc>
          <w:tcPr>
            <w:tcW w:w="1391" w:type="dxa"/>
          </w:tcPr>
          <w:p w14:paraId="780BE0D4" w14:textId="77777777" w:rsidR="00695AE2" w:rsidRPr="00503014" w:rsidRDefault="00695AE2" w:rsidP="00980493">
            <w:pPr>
              <w:jc w:val="center"/>
              <w:rPr>
                <w:rFonts w:eastAsia="Calibri" w:cs="Calibri"/>
                <w:sz w:val="20"/>
                <w:szCs w:val="20"/>
              </w:rPr>
            </w:pPr>
            <w:r w:rsidRPr="00503014">
              <w:rPr>
                <w:rFonts w:eastAsia="Calibri" w:cs="Calibri"/>
                <w:sz w:val="20"/>
                <w:szCs w:val="20"/>
              </w:rPr>
              <w:t>45</w:t>
            </w:r>
          </w:p>
        </w:tc>
        <w:tc>
          <w:tcPr>
            <w:tcW w:w="1065" w:type="dxa"/>
          </w:tcPr>
          <w:p w14:paraId="7ABD2B35" w14:textId="77777777" w:rsidR="00695AE2" w:rsidRPr="00503014" w:rsidRDefault="00695AE2" w:rsidP="00980493">
            <w:pPr>
              <w:jc w:val="center"/>
              <w:rPr>
                <w:rFonts w:eastAsia="Calibri" w:cs="Calibri"/>
                <w:sz w:val="20"/>
                <w:szCs w:val="20"/>
              </w:rPr>
            </w:pPr>
            <w:r w:rsidRPr="00503014">
              <w:rPr>
                <w:rFonts w:eastAsia="Calibri" w:cs="Calibri"/>
                <w:sz w:val="20"/>
                <w:szCs w:val="20"/>
              </w:rPr>
              <w:t>4</w:t>
            </w:r>
          </w:p>
        </w:tc>
        <w:tc>
          <w:tcPr>
            <w:tcW w:w="990" w:type="dxa"/>
          </w:tcPr>
          <w:p w14:paraId="462F9CBF"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2B9D150B" w14:textId="77777777" w:rsidR="00695AE2" w:rsidRPr="00503014" w:rsidRDefault="00695AE2" w:rsidP="00980493">
            <w:pPr>
              <w:jc w:val="center"/>
              <w:rPr>
                <w:rFonts w:eastAsia="Calibri" w:cs="Calibri"/>
                <w:sz w:val="20"/>
                <w:szCs w:val="20"/>
              </w:rPr>
            </w:pPr>
            <w:r w:rsidRPr="00503014">
              <w:rPr>
                <w:rFonts w:eastAsia="Calibri" w:cs="Calibri"/>
                <w:sz w:val="20"/>
                <w:szCs w:val="20"/>
              </w:rPr>
              <w:t>7</w:t>
            </w:r>
          </w:p>
        </w:tc>
      </w:tr>
      <w:tr w:rsidR="00695AE2" w:rsidRPr="00503014" w14:paraId="757D6B61" w14:textId="77777777" w:rsidTr="00980493">
        <w:tc>
          <w:tcPr>
            <w:tcW w:w="2476" w:type="dxa"/>
          </w:tcPr>
          <w:p w14:paraId="758F4107" w14:textId="77777777" w:rsidR="00695AE2" w:rsidRPr="00503014" w:rsidRDefault="00695AE2" w:rsidP="00980493">
            <w:pPr>
              <w:rPr>
                <w:rFonts w:eastAsia="Calibri" w:cs="Calibri"/>
                <w:sz w:val="20"/>
                <w:szCs w:val="20"/>
              </w:rPr>
            </w:pPr>
            <w:r w:rsidRPr="00503014">
              <w:rPr>
                <w:rFonts w:eastAsia="Calibri" w:cs="Calibri"/>
                <w:sz w:val="20"/>
                <w:szCs w:val="20"/>
              </w:rPr>
              <w:t>zunanji oddelek na Ptuju</w:t>
            </w:r>
          </w:p>
        </w:tc>
        <w:tc>
          <w:tcPr>
            <w:tcW w:w="1389" w:type="dxa"/>
          </w:tcPr>
          <w:p w14:paraId="13BE99F0" w14:textId="77777777" w:rsidR="00695AE2" w:rsidRPr="00503014" w:rsidRDefault="00695AE2" w:rsidP="00980493">
            <w:pPr>
              <w:jc w:val="center"/>
              <w:rPr>
                <w:rFonts w:eastAsia="Calibri" w:cs="Calibri"/>
                <w:sz w:val="20"/>
                <w:szCs w:val="20"/>
              </w:rPr>
            </w:pPr>
            <w:r w:rsidRPr="00503014">
              <w:rPr>
                <w:rFonts w:eastAsia="Calibri" w:cs="Calibri"/>
                <w:sz w:val="20"/>
                <w:szCs w:val="20"/>
              </w:rPr>
              <w:t>24</w:t>
            </w:r>
          </w:p>
        </w:tc>
        <w:tc>
          <w:tcPr>
            <w:tcW w:w="1389" w:type="dxa"/>
          </w:tcPr>
          <w:p w14:paraId="12245159"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1391" w:type="dxa"/>
          </w:tcPr>
          <w:p w14:paraId="16518FE9" w14:textId="77777777" w:rsidR="00695AE2" w:rsidRPr="00503014" w:rsidRDefault="00695AE2" w:rsidP="00980493">
            <w:pPr>
              <w:jc w:val="center"/>
              <w:rPr>
                <w:rFonts w:eastAsia="Calibri" w:cs="Calibri"/>
                <w:sz w:val="20"/>
                <w:szCs w:val="20"/>
              </w:rPr>
            </w:pPr>
            <w:r w:rsidRPr="00503014">
              <w:rPr>
                <w:rFonts w:eastAsia="Calibri" w:cs="Calibri"/>
                <w:sz w:val="20"/>
                <w:szCs w:val="20"/>
              </w:rPr>
              <w:t>25</w:t>
            </w:r>
          </w:p>
        </w:tc>
        <w:tc>
          <w:tcPr>
            <w:tcW w:w="1065" w:type="dxa"/>
          </w:tcPr>
          <w:p w14:paraId="520AA98C"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c>
          <w:tcPr>
            <w:tcW w:w="990" w:type="dxa"/>
          </w:tcPr>
          <w:p w14:paraId="7E1739C5" w14:textId="77777777" w:rsidR="00695AE2" w:rsidRPr="00503014" w:rsidRDefault="00695AE2" w:rsidP="00980493">
            <w:pPr>
              <w:jc w:val="center"/>
              <w:rPr>
                <w:rFonts w:eastAsia="Calibri" w:cs="Calibri"/>
                <w:sz w:val="20"/>
                <w:szCs w:val="20"/>
              </w:rPr>
            </w:pPr>
            <w:r w:rsidRPr="00503014">
              <w:rPr>
                <w:rFonts w:eastAsia="Calibri" w:cs="Calibri"/>
                <w:sz w:val="20"/>
                <w:szCs w:val="20"/>
              </w:rPr>
              <w:t>0</w:t>
            </w:r>
          </w:p>
        </w:tc>
        <w:tc>
          <w:tcPr>
            <w:tcW w:w="960" w:type="dxa"/>
          </w:tcPr>
          <w:p w14:paraId="5C103992" w14:textId="77777777" w:rsidR="00695AE2" w:rsidRPr="00503014" w:rsidRDefault="00695AE2" w:rsidP="00980493">
            <w:pPr>
              <w:jc w:val="center"/>
              <w:rPr>
                <w:rFonts w:eastAsia="Calibri" w:cs="Calibri"/>
                <w:sz w:val="20"/>
                <w:szCs w:val="20"/>
              </w:rPr>
            </w:pPr>
            <w:r w:rsidRPr="00503014">
              <w:rPr>
                <w:rFonts w:eastAsia="Calibri" w:cs="Calibri"/>
                <w:sz w:val="20"/>
                <w:szCs w:val="20"/>
              </w:rPr>
              <w:t>1</w:t>
            </w:r>
          </w:p>
        </w:tc>
      </w:tr>
    </w:tbl>
    <w:p w14:paraId="678D642B" w14:textId="77777777" w:rsidR="00695AE2" w:rsidRDefault="00695AE2" w:rsidP="00695AE2">
      <w:pPr>
        <w:pStyle w:val="Naslov"/>
        <w:numPr>
          <w:ilvl w:val="0"/>
          <w:numId w:val="0"/>
        </w:numPr>
        <w:sectPr w:rsidR="00695AE2" w:rsidSect="00695AE2">
          <w:type w:val="continuous"/>
          <w:pgSz w:w="11906" w:h="16838"/>
          <w:pgMar w:top="1417" w:right="1417" w:bottom="1417" w:left="1417" w:header="708" w:footer="708" w:gutter="0"/>
          <w:cols w:space="708"/>
          <w:docGrid w:linePitch="360"/>
        </w:sectPr>
      </w:pPr>
      <w:bookmarkStart w:id="498" w:name="_Toc168844908"/>
      <w:bookmarkStart w:id="499" w:name="_Toc191561903"/>
      <w:bookmarkEnd w:id="400"/>
    </w:p>
    <w:p w14:paraId="3648B03F" w14:textId="2F97ED84" w:rsidR="005449AC" w:rsidRDefault="005449AC">
      <w:pPr>
        <w:rPr>
          <w:rFonts w:eastAsia="Calibri"/>
          <w:b/>
          <w:bCs/>
          <w:color w:val="007466"/>
          <w:sz w:val="40"/>
          <w:szCs w:val="40"/>
          <w:u w:val="single"/>
        </w:rPr>
      </w:pPr>
      <w:r>
        <w:br w:type="page"/>
      </w:r>
    </w:p>
    <w:p w14:paraId="1D9E2693" w14:textId="77777777" w:rsidR="00695AE2" w:rsidRPr="00CB5050" w:rsidRDefault="00695AE2" w:rsidP="00695AE2">
      <w:pPr>
        <w:pStyle w:val="Naslov"/>
      </w:pPr>
      <w:r w:rsidRPr="00CB5050">
        <w:lastRenderedPageBreak/>
        <w:t>ANALITIČNI DEL</w:t>
      </w:r>
      <w:bookmarkEnd w:id="498"/>
      <w:bookmarkEnd w:id="499"/>
    </w:p>
    <w:p w14:paraId="573A8608" w14:textId="77777777" w:rsidR="00695AE2" w:rsidRPr="001462ED" w:rsidRDefault="00695AE2" w:rsidP="00695AE2">
      <w:pPr>
        <w:pStyle w:val="Jasna"/>
        <w:rPr>
          <w:sz w:val="40"/>
          <w:szCs w:val="40"/>
        </w:rPr>
      </w:pPr>
    </w:p>
    <w:p w14:paraId="7B34B652" w14:textId="77777777" w:rsidR="00695AE2" w:rsidRPr="00211C3D" w:rsidRDefault="00695AE2" w:rsidP="006D16C0">
      <w:pPr>
        <w:pStyle w:val="Naslov1"/>
        <w:numPr>
          <w:ilvl w:val="0"/>
          <w:numId w:val="152"/>
        </w:numPr>
        <w:ind w:left="0" w:firstLine="0"/>
      </w:pPr>
      <w:bookmarkStart w:id="500" w:name="_Toc95149713"/>
      <w:bookmarkStart w:id="501" w:name="_Toc168844909"/>
      <w:bookmarkStart w:id="502" w:name="_Toc191561904"/>
      <w:bookmarkStart w:id="503" w:name="_Toc223093900"/>
      <w:r w:rsidRPr="00211C3D">
        <w:t>KRATKA OBRAZLOŽITEV PRIMERJALNIH VREDNOSTI PO POSAMEZNIH PODROČJIH Z NAVEDBO UKREPOV, KI SO BILI IZVEDENI ZA OBVLADOVANJE IN IZBOLJŠANJE REZULTATOV</w:t>
      </w:r>
      <w:bookmarkEnd w:id="500"/>
      <w:bookmarkEnd w:id="501"/>
      <w:bookmarkEnd w:id="502"/>
      <w:bookmarkEnd w:id="503"/>
    </w:p>
    <w:p w14:paraId="30436AB1" w14:textId="77777777" w:rsidR="00695AE2" w:rsidRPr="001462ED" w:rsidRDefault="00695AE2" w:rsidP="00695AE2">
      <w:pPr>
        <w:pStyle w:val="Jasna"/>
        <w:rPr>
          <w:sz w:val="36"/>
          <w:szCs w:val="36"/>
        </w:rPr>
      </w:pPr>
    </w:p>
    <w:p w14:paraId="2560C85E" w14:textId="77777777" w:rsidR="00695AE2" w:rsidRPr="00CB5050" w:rsidRDefault="00695AE2" w:rsidP="00695AE2">
      <w:pPr>
        <w:pStyle w:val="Naslov2"/>
      </w:pPr>
      <w:bookmarkStart w:id="504" w:name="_Toc95149714"/>
      <w:bookmarkStart w:id="505" w:name="_Toc168844910"/>
      <w:bookmarkStart w:id="506" w:name="_Toc191561905"/>
      <w:bookmarkStart w:id="507" w:name="_Toc223093901"/>
      <w:r w:rsidRPr="00CB5050">
        <w:t>Pregled gibanja zadev v letu 202</w:t>
      </w:r>
      <w:bookmarkEnd w:id="504"/>
      <w:bookmarkEnd w:id="505"/>
      <w:bookmarkEnd w:id="506"/>
      <w:r w:rsidRPr="00CB5050">
        <w:t>5</w:t>
      </w:r>
      <w:bookmarkEnd w:id="507"/>
    </w:p>
    <w:p w14:paraId="0CF37D3E" w14:textId="77777777" w:rsidR="00695AE2" w:rsidRPr="00CB5050" w:rsidRDefault="00695AE2" w:rsidP="00695AE2">
      <w:pPr>
        <w:spacing w:line="240" w:lineRule="auto"/>
        <w:rPr>
          <w:rFonts w:eastAsia="Calibri"/>
          <w:sz w:val="32"/>
          <w:szCs w:val="32"/>
        </w:rPr>
      </w:pPr>
    </w:p>
    <w:p w14:paraId="741864C0"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v letu 2025 </w:t>
      </w:r>
      <w:r w:rsidRPr="00CB5050">
        <w:rPr>
          <w:rFonts w:eastAsia="Calibri"/>
          <w:b/>
          <w:bCs/>
          <w:color w:val="007466"/>
          <w:szCs w:val="22"/>
        </w:rPr>
        <w:t>prejelo skupno 47.023 zadev</w:t>
      </w:r>
      <w:r w:rsidRPr="00CB5050">
        <w:rPr>
          <w:rFonts w:eastAsia="Calibri"/>
          <w:color w:val="000000"/>
          <w:szCs w:val="22"/>
        </w:rPr>
        <w:t xml:space="preserve">. Navedeno število prejetih zadev pomeni za </w:t>
      </w:r>
      <w:r w:rsidRPr="00CB5050">
        <w:rPr>
          <w:rFonts w:eastAsia="Calibri"/>
          <w:color w:val="007466"/>
          <w:szCs w:val="22"/>
        </w:rPr>
        <w:t>5,59 odstotka večji pripad</w:t>
      </w:r>
      <w:r w:rsidRPr="00CB5050">
        <w:rPr>
          <w:rFonts w:eastAsia="Calibri"/>
          <w:color w:val="000000"/>
          <w:szCs w:val="22"/>
        </w:rPr>
        <w:t xml:space="preserve"> kot v letu 2024, ko je bilo prejetih 44.532 zadev. </w:t>
      </w:r>
    </w:p>
    <w:p w14:paraId="66DE008D"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6DC80327"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Skupno je imelo Državno odvetništvo RS v letu 2025 </w:t>
      </w:r>
      <w:r w:rsidRPr="00CB5050">
        <w:rPr>
          <w:rFonts w:eastAsia="Calibri"/>
          <w:b/>
          <w:bCs/>
          <w:color w:val="007466"/>
          <w:szCs w:val="22"/>
        </w:rPr>
        <w:t>v delu 80.267 zadev</w:t>
      </w:r>
      <w:r w:rsidRPr="00CB5050">
        <w:rPr>
          <w:rFonts w:eastAsia="Calibri"/>
          <w:color w:val="000000"/>
          <w:szCs w:val="22"/>
        </w:rPr>
        <w:t xml:space="preserve">, </w:t>
      </w:r>
      <w:r w:rsidRPr="00CB5050">
        <w:rPr>
          <w:rFonts w:eastAsia="Calibri"/>
          <w:color w:val="007466"/>
          <w:szCs w:val="22"/>
        </w:rPr>
        <w:t>kar je 1,22 odstotka več</w:t>
      </w:r>
      <w:r w:rsidRPr="00CB5050">
        <w:rPr>
          <w:rFonts w:eastAsia="Calibri"/>
          <w:color w:val="000000"/>
          <w:szCs w:val="22"/>
        </w:rPr>
        <w:t xml:space="preserve"> kot v letu 2024, ko je imelo v delu 79.303 zadeve. </w:t>
      </w:r>
    </w:p>
    <w:p w14:paraId="2D2DD885"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r w:rsidRPr="00CB5050">
        <w:rPr>
          <w:rFonts w:eastAsia="Calibri"/>
          <w:color w:val="000000"/>
        </w:rPr>
        <w:t xml:space="preserve"> </w:t>
      </w:r>
    </w:p>
    <w:p w14:paraId="52D828C7" w14:textId="77777777" w:rsidR="00695AE2" w:rsidRPr="00CB5050" w:rsidRDefault="00695AE2" w:rsidP="00695AE2">
      <w:pPr>
        <w:autoSpaceDE w:val="0"/>
        <w:autoSpaceDN w:val="0"/>
        <w:adjustRightInd w:val="0"/>
        <w:spacing w:line="240" w:lineRule="auto"/>
        <w:jc w:val="both"/>
        <w:rPr>
          <w:rFonts w:eastAsia="Calibri"/>
          <w:color w:val="000000"/>
          <w:szCs w:val="22"/>
        </w:rPr>
      </w:pPr>
      <w:r w:rsidRPr="00CB5050">
        <w:rPr>
          <w:rFonts w:eastAsia="Calibri"/>
          <w:color w:val="000000"/>
          <w:szCs w:val="22"/>
        </w:rPr>
        <w:t>Leta 2025 je Državno odvetništvo RS</w:t>
      </w:r>
      <w:r w:rsidRPr="00CB5050">
        <w:rPr>
          <w:rFonts w:eastAsia="Calibri"/>
          <w:b/>
          <w:bCs/>
          <w:color w:val="000000"/>
          <w:szCs w:val="22"/>
        </w:rPr>
        <w:t xml:space="preserve"> </w:t>
      </w:r>
      <w:r w:rsidRPr="00CB5050">
        <w:rPr>
          <w:rFonts w:eastAsia="Calibri"/>
          <w:b/>
          <w:bCs/>
          <w:color w:val="007466"/>
          <w:szCs w:val="22"/>
        </w:rPr>
        <w:t>zaključilo (rešilo) 50.123 zadev</w:t>
      </w:r>
      <w:r w:rsidRPr="00CB5050">
        <w:rPr>
          <w:rFonts w:eastAsia="Calibri"/>
          <w:color w:val="000000"/>
          <w:szCs w:val="22"/>
        </w:rPr>
        <w:t>,</w:t>
      </w:r>
      <w:r w:rsidRPr="00CB5050">
        <w:rPr>
          <w:rFonts w:eastAsia="Calibri"/>
          <w:b/>
          <w:bCs/>
          <w:color w:val="000000"/>
          <w:szCs w:val="22"/>
        </w:rPr>
        <w:t xml:space="preserve"> </w:t>
      </w:r>
      <w:r w:rsidRPr="00CB5050">
        <w:rPr>
          <w:rFonts w:eastAsia="Calibri"/>
          <w:color w:val="007466"/>
          <w:szCs w:val="22"/>
        </w:rPr>
        <w:t xml:space="preserve">kar je 5,99 odstotka več </w:t>
      </w:r>
      <w:r w:rsidRPr="00CB5050">
        <w:rPr>
          <w:rFonts w:eastAsia="Calibri"/>
          <w:color w:val="000000"/>
          <w:szCs w:val="22"/>
        </w:rPr>
        <w:t xml:space="preserve">kot leta 2024, ko je zaključilo 47.289 zadev. </w:t>
      </w:r>
    </w:p>
    <w:p w14:paraId="49A1388D"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49036665"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Na dan 31. 12. 2025 je bilo </w:t>
      </w:r>
      <w:r w:rsidRPr="00CB5050">
        <w:rPr>
          <w:rFonts w:eastAsia="Calibri"/>
          <w:b/>
          <w:bCs/>
          <w:color w:val="007466"/>
          <w:szCs w:val="22"/>
        </w:rPr>
        <w:t>odprtih (nerešenih) 30.144 zadev</w:t>
      </w:r>
      <w:r w:rsidRPr="00CB5050">
        <w:rPr>
          <w:rFonts w:eastAsia="Calibri"/>
          <w:color w:val="000000"/>
          <w:szCs w:val="22"/>
        </w:rPr>
        <w:t xml:space="preserve">, </w:t>
      </w:r>
      <w:r w:rsidRPr="00CB5050">
        <w:rPr>
          <w:rFonts w:eastAsia="Calibri"/>
          <w:color w:val="007466"/>
          <w:szCs w:val="22"/>
        </w:rPr>
        <w:t>kar je 5,84 odstotka manj</w:t>
      </w:r>
      <w:r w:rsidRPr="00CB5050">
        <w:rPr>
          <w:rFonts w:eastAsia="Calibri"/>
          <w:color w:val="000000"/>
          <w:szCs w:val="22"/>
        </w:rPr>
        <w:t xml:space="preserve"> </w:t>
      </w:r>
      <w:r w:rsidRPr="00CB5050">
        <w:rPr>
          <w:rFonts w:eastAsia="Calibri"/>
          <w:szCs w:val="22"/>
        </w:rPr>
        <w:t xml:space="preserve">kot </w:t>
      </w:r>
      <w:r w:rsidRPr="00CB5050">
        <w:rPr>
          <w:rFonts w:eastAsia="Calibri"/>
          <w:color w:val="000000"/>
          <w:szCs w:val="22"/>
        </w:rPr>
        <w:t xml:space="preserve">na koncu leta 2024, ko je bilo odprtih 32.014 zadev. </w:t>
      </w:r>
    </w:p>
    <w:p w14:paraId="227BFD1F"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9AA4C3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7466"/>
          <w:sz w:val="20"/>
          <w:szCs w:val="20"/>
        </w:rPr>
      </w:pPr>
      <w:r w:rsidRPr="00CB5050">
        <w:rPr>
          <w:rFonts w:eastAsia="Calibri"/>
          <w:color w:val="007466"/>
          <w:sz w:val="20"/>
          <w:szCs w:val="20"/>
        </w:rPr>
        <w:t>Pojasnilo k statističnim podatkom:</w:t>
      </w:r>
    </w:p>
    <w:p w14:paraId="653B2F39"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7466"/>
          <w:sz w:val="20"/>
          <w:szCs w:val="20"/>
        </w:rPr>
      </w:pPr>
    </w:p>
    <w:p w14:paraId="2A8F9BF6" w14:textId="1925D52F" w:rsidR="00695AE2" w:rsidRPr="00CB5050" w:rsidRDefault="00695AE2" w:rsidP="00695AE2">
      <w:pPr>
        <w:tabs>
          <w:tab w:val="left" w:pos="283"/>
        </w:tabs>
        <w:autoSpaceDE w:val="0"/>
        <w:autoSpaceDN w:val="0"/>
        <w:adjustRightInd w:val="0"/>
        <w:spacing w:line="240" w:lineRule="auto"/>
        <w:jc w:val="both"/>
        <w:textAlignment w:val="center"/>
        <w:rPr>
          <w:rFonts w:eastAsia="Calibri"/>
          <w:sz w:val="20"/>
          <w:szCs w:val="20"/>
        </w:rPr>
      </w:pPr>
      <w:r w:rsidRPr="00CB5050">
        <w:rPr>
          <w:rFonts w:eastAsia="Calibri"/>
          <w:sz w:val="20"/>
          <w:szCs w:val="20"/>
        </w:rPr>
        <w:t xml:space="preserve">Podatki o številu zaključenih zadev, ki so predstavljeni v nadaljevanju, se sicer po višini razlikujejo od podatka na </w:t>
      </w:r>
      <w:r w:rsidRPr="005449AC">
        <w:rPr>
          <w:rFonts w:eastAsia="Calibri"/>
          <w:sz w:val="20"/>
          <w:szCs w:val="20"/>
        </w:rPr>
        <w:t>1</w:t>
      </w:r>
      <w:r w:rsidR="005449AC" w:rsidRPr="005449AC">
        <w:rPr>
          <w:rFonts w:eastAsia="Calibri"/>
          <w:sz w:val="20"/>
          <w:szCs w:val="20"/>
        </w:rPr>
        <w:t>6</w:t>
      </w:r>
      <w:r w:rsidRPr="005449AC">
        <w:rPr>
          <w:rFonts w:eastAsia="Calibri"/>
          <w:sz w:val="20"/>
          <w:szCs w:val="20"/>
        </w:rPr>
        <w:t>3. in 1</w:t>
      </w:r>
      <w:r w:rsidR="005449AC" w:rsidRPr="005449AC">
        <w:rPr>
          <w:rFonts w:eastAsia="Calibri"/>
          <w:sz w:val="20"/>
          <w:szCs w:val="20"/>
        </w:rPr>
        <w:t>6</w:t>
      </w:r>
      <w:r w:rsidRPr="005449AC">
        <w:rPr>
          <w:rFonts w:eastAsia="Calibri"/>
          <w:sz w:val="20"/>
          <w:szCs w:val="20"/>
        </w:rPr>
        <w:t>4. strani</w:t>
      </w:r>
      <w:r w:rsidRPr="00CB5050">
        <w:rPr>
          <w:rFonts w:eastAsia="Calibri"/>
          <w:sz w:val="20"/>
          <w:szCs w:val="20"/>
        </w:rPr>
        <w:t xml:space="preserve"> o številu zaključenih zadev po načinu rešitve, saj se zadeva z določeno rešitvijo v predhodnem postopku ali sodnem postopku vsebinsko že zaključi, je pa še naprej odprta zaradi na primer dejavnosti za poplačilo stroškov ali spremljanja izpolnjevanja obveznosti po pravnomočnosti sodnih odločb oziroma po sklenjenih poravnavah.</w:t>
      </w:r>
    </w:p>
    <w:p w14:paraId="625F08AD"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72DCCCA8"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imelo na dan 1. 1. 2025 odprtih 1.233 </w:t>
      </w:r>
      <w:r w:rsidRPr="00CB5050">
        <w:rPr>
          <w:rFonts w:eastAsia="Calibri"/>
          <w:b/>
          <w:color w:val="007466"/>
          <w:szCs w:val="22"/>
        </w:rPr>
        <w:t>civilnopravnih in gospodarskih zadev</w:t>
      </w:r>
      <w:r w:rsidRPr="00CB5050">
        <w:rPr>
          <w:rFonts w:eastAsia="Calibri"/>
          <w:color w:val="000000"/>
          <w:szCs w:val="22"/>
        </w:rPr>
        <w:t xml:space="preserve">. V letu 2025 je Državno odvetništvo RS prejelo 847 novih civilnopravnih in gospodarskih zadev, kar je 26,79 odstotka manj kot v letu 2024, ko jih je prejelo 1.157. Teh zadev je imelo v letu 2025 v delu 2.142, kar je 6,34 odstotka manj kot v letu 2024, ko je obravnavalo 2.287 zadev. Zaključilo je 906 </w:t>
      </w:r>
      <w:r w:rsidRPr="00CB5050">
        <w:rPr>
          <w:rFonts w:eastAsia="Calibri"/>
          <w:szCs w:val="22"/>
        </w:rPr>
        <w:t>zadev</w:t>
      </w:r>
      <w:r w:rsidRPr="00CB5050">
        <w:rPr>
          <w:rFonts w:eastAsia="Calibri"/>
          <w:color w:val="000000"/>
          <w:szCs w:val="22"/>
        </w:rPr>
        <w:t>, kar je 14,04 odstotka manj kot v letu 2024, ko je zaključilo 1.054 zadev. Na dan 31. 12. 2025 je bilo odprtih 1.236 zadev.</w:t>
      </w:r>
    </w:p>
    <w:p w14:paraId="1BA433E2"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567197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bookmarkStart w:id="508" w:name="_Hlk154403332"/>
      <w:r w:rsidRPr="00CB5050">
        <w:rPr>
          <w:rFonts w:eastAsia="Calibri"/>
          <w:color w:val="000000"/>
          <w:szCs w:val="22"/>
        </w:rPr>
        <w:t xml:space="preserve">Državno odvetništvo RS je imelo na dan 1. 1. 2025 odprtih 1.904 </w:t>
      </w:r>
      <w:r w:rsidRPr="00CB5050">
        <w:rPr>
          <w:rFonts w:eastAsia="Calibri"/>
          <w:b/>
          <w:bCs/>
          <w:color w:val="007466"/>
          <w:szCs w:val="22"/>
        </w:rPr>
        <w:t>delovnopravnih in socialnopravnih zadev.</w:t>
      </w:r>
      <w:r w:rsidRPr="00CB5050">
        <w:rPr>
          <w:rFonts w:eastAsia="Calibri"/>
          <w:color w:val="000000"/>
          <w:szCs w:val="22"/>
        </w:rPr>
        <w:t xml:space="preserve"> V letu 2025 je Državno odvetništvo RS prejelo 1.353 novih delovnopravnih in socialnopravnih zadev, kar je 121,44 odstotka več kot v letu 2024, ko je prejelo 611 tovrstnih zadev. Teh zadev je imelo v letu 2025 v delu 3.280, kar je 18,97 odstotka več kot v letu 2024, ko je obravnavalo 2.757 zadev. Zaključilo je 1.986 zadev, kar je 132,83 odstotka več kot v letu 2024, ko je zaključilo 853 zadev. Na dan 31. 12. 2025 je bilo odprtih 1.294 zadev.</w:t>
      </w:r>
      <w:bookmarkEnd w:id="508"/>
    </w:p>
    <w:p w14:paraId="5F4935E2"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16A513C5"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lastRenderedPageBreak/>
        <w:t xml:space="preserve">Na področju </w:t>
      </w:r>
      <w:r w:rsidRPr="00CB5050">
        <w:rPr>
          <w:rFonts w:eastAsia="Calibri"/>
          <w:b/>
          <w:bCs/>
          <w:color w:val="007466"/>
          <w:szCs w:val="22"/>
        </w:rPr>
        <w:t>predhodnih odškodninskih postopkov po Zakonu o kazenskem postopku (ZKP)</w:t>
      </w:r>
      <w:r w:rsidRPr="00CB5050">
        <w:rPr>
          <w:rFonts w:eastAsia="Calibri"/>
          <w:color w:val="007466"/>
          <w:szCs w:val="22"/>
        </w:rPr>
        <w:t xml:space="preserve"> </w:t>
      </w:r>
      <w:r w:rsidRPr="00CB5050">
        <w:rPr>
          <w:rFonts w:eastAsia="Calibri"/>
          <w:color w:val="000000"/>
          <w:szCs w:val="22"/>
        </w:rPr>
        <w:t xml:space="preserve">je Državno odvetništvo RS na dan 1. 1. 2025 imelo odprtih 15 zadev, v letu 2025 pa je na novo prejelo 40 zadev, kar je 13,04 odstotka manj kot v letu 2024, ko je v delo prejelo 46 zadev. V delu je imelo 60 zadev, kar je 11,76 odstotka manj kot v letu 2024, ko je obravnavalo 68 zadev. Zaključilo je 50 zadev, kar je 5,66 odstotka manj kot v letu 2024, ko je zaključilo 53 zadev. Na dan 31. 12. 2025 je bilo odprtih 10 zadev. </w:t>
      </w:r>
    </w:p>
    <w:p w14:paraId="55F418EC"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106D03F5"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S področja </w:t>
      </w:r>
      <w:r w:rsidRPr="00CB5050">
        <w:rPr>
          <w:rFonts w:eastAsia="Calibri"/>
          <w:b/>
          <w:bCs/>
          <w:color w:val="007466"/>
          <w:szCs w:val="22"/>
        </w:rPr>
        <w:t>predhodnih odškodninskih postopkov po Zakonu o prekrških (ZP-1)</w:t>
      </w:r>
      <w:r w:rsidRPr="00CB5050">
        <w:rPr>
          <w:rFonts w:eastAsia="Calibri"/>
          <w:color w:val="000000"/>
          <w:szCs w:val="22"/>
        </w:rPr>
        <w:t xml:space="preserve"> je Državno odvetništvo RS na dan 1. 1. 2025 imelo odprte 3 zadeve, v letu 2025 pa je na novo prejelo 12 zadev, kar je 100 odstotka več kot v letu 2024, ko je v delo prejelo 6 zadev. V delu je imelo 15 zadev, kar je 66,67 odstotka več kot v letu 2024, ko je obravnavalo 9 zadev. Zaključilo je 10 zadev, kar je 66,67 odstotka več v letu 2024, ko je zaključilo 6 zadev. Na dan 31. 12. 2025 je bilo odprtih 5 zadev. </w:t>
      </w:r>
    </w:p>
    <w:p w14:paraId="413D88E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70B9B08D"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S področja </w:t>
      </w:r>
      <w:r w:rsidRPr="00CB5050">
        <w:rPr>
          <w:rFonts w:eastAsia="Calibri"/>
          <w:b/>
          <w:bCs/>
          <w:color w:val="007466"/>
          <w:szCs w:val="22"/>
        </w:rPr>
        <w:t>postopkov na podlagi Zakona o varstvu pravice do sojenja brez nepotrebnega odlašanja (ZVPSBNO)</w:t>
      </w:r>
      <w:r w:rsidRPr="00CB5050">
        <w:rPr>
          <w:rFonts w:eastAsia="Calibri"/>
          <w:color w:val="000000"/>
          <w:szCs w:val="22"/>
        </w:rPr>
        <w:t xml:space="preserve"> je Državno odvetništvo RS na dan 1. 1. 2025 imelo odprtih 33 zadev, v letu 2025 pa je na novo prejelo 52 zadev, kar je 52,94 odstotka več kot v letu 2024, ko je prejelo 34 zadev. Obravnavalo je 89 zadev, kar je 12,66 odstotka več kot v letu 2024, ko je obravnavalo 79 zadev. Zaključilo je 62 zadev, kar je 35,78 odstotka več kot v letu 2024, ko je zaključilo 46 zadev. Na dan 31. 12. 2025 je bilo odprtih še 27 zadev. </w:t>
      </w:r>
    </w:p>
    <w:p w14:paraId="1EB6F8A0"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6C6CDF13"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imelo na dan 1. 1. 2025 odprtih 40 zadev </w:t>
      </w:r>
      <w:r w:rsidRPr="00CB5050">
        <w:rPr>
          <w:rFonts w:eastAsia="Calibri"/>
          <w:b/>
          <w:bCs/>
          <w:color w:val="007466"/>
          <w:szCs w:val="22"/>
        </w:rPr>
        <w:t>s področja odškodninskih zahtevkov po Zakonu o povračilu škode osebam, ki so bile izbrisane iz registra stalnega prebivalstva (ZPŠOIRSP)</w:t>
      </w:r>
      <w:r w:rsidRPr="00CB5050">
        <w:rPr>
          <w:rFonts w:eastAsia="Calibri"/>
          <w:color w:val="000000"/>
          <w:szCs w:val="22"/>
        </w:rPr>
        <w:t>.</w:t>
      </w:r>
      <w:r w:rsidRPr="00CB5050">
        <w:rPr>
          <w:rFonts w:eastAsia="Calibri"/>
          <w:b/>
          <w:bCs/>
          <w:color w:val="000000"/>
          <w:szCs w:val="22"/>
        </w:rPr>
        <w:t xml:space="preserve"> </w:t>
      </w:r>
      <w:r w:rsidRPr="00CB5050">
        <w:rPr>
          <w:rFonts w:eastAsia="Calibri"/>
          <w:color w:val="000000"/>
          <w:szCs w:val="22"/>
        </w:rPr>
        <w:t xml:space="preserve">V letu 2025 Državno odvetništvo RS ni prejelo nobene nove zadeve, v letu 2024 pa je prejelo 1 novo zadevo. V delu je imelo 40 zadev, kar je 23,08 odstotka manj kot v letu 2024, ko je obravnavalo 52 zadev. Zaključilo je 17 zadev, kar je enako kot v letu 2024, ko je prav tako zaključilo 17 zadev. Na dan 31. 12. 2025 je bilo odprtih še 23 zadev. </w:t>
      </w:r>
    </w:p>
    <w:p w14:paraId="27B6CAA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2A8907C4"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imelo na dan 1. 1. 2025 odprtih 8.835 zadev na področju </w:t>
      </w:r>
      <w:r w:rsidRPr="00CB5050">
        <w:rPr>
          <w:rFonts w:eastAsia="Calibri"/>
          <w:b/>
          <w:bCs/>
          <w:color w:val="007466"/>
          <w:szCs w:val="22"/>
        </w:rPr>
        <w:t>postopkov izvršbe in zavarovanja</w:t>
      </w:r>
      <w:r w:rsidRPr="00CB5050">
        <w:rPr>
          <w:rFonts w:eastAsia="Calibri"/>
          <w:color w:val="000000"/>
          <w:szCs w:val="22"/>
        </w:rPr>
        <w:t xml:space="preserve">. Prejelo je 4.168 novih zadev, kar je 20,01 odstotka več kot v letu 2024, ko je prejelo 3.473 zadev. Skupno je imelo v delu 13.003 zadev, kar je 1,3 odstotka manj zadev, kot jih je obravnavalo v letu 2024, ko je bilo v delu 13.174 zadev. Zaključilo je 5.058 zadev, kar je 4,33 odstotka manj kot leta 2024, ko se je zaključilo 5.287 zadev. Na dan 31. 12. 2025 je bilo odprtih 7.945 zadev.   </w:t>
      </w:r>
    </w:p>
    <w:p w14:paraId="65FBAC4A"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30D74A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na področju dela v </w:t>
      </w:r>
      <w:r w:rsidRPr="00CB5050">
        <w:rPr>
          <w:rFonts w:eastAsia="Calibri"/>
          <w:b/>
          <w:bCs/>
          <w:color w:val="007466"/>
          <w:szCs w:val="22"/>
        </w:rPr>
        <w:t>postopkih zaradi insolventnosti in prisilnega prenehanja</w:t>
      </w:r>
      <w:r w:rsidRPr="00CB5050">
        <w:rPr>
          <w:rFonts w:eastAsia="Calibri"/>
          <w:b/>
          <w:bCs/>
          <w:color w:val="000000"/>
          <w:szCs w:val="22"/>
        </w:rPr>
        <w:t xml:space="preserve"> </w:t>
      </w:r>
      <w:r w:rsidRPr="00CB5050">
        <w:rPr>
          <w:rFonts w:eastAsia="Calibri"/>
          <w:color w:val="000000"/>
          <w:szCs w:val="22"/>
        </w:rPr>
        <w:t xml:space="preserve">leto 2025 začelo z 8.758 odprtimi zadevami, v letu pa je s 4.705 novimi zadevami prejelo 10,01 odstotka več zadev kot leta 2024, ko je v delo prejelo 4.277 zadev. Skupno je imelo v delu 13.463 zadev, kar je 1,07 odstotka več kot v letu 2024, ko jih je obravnavalo 13.320. Zaključilo je 4.907 zadev, kar je 5,62 odstotka več kot leta 2024, ko je zaključilo 4.646 zadev. Ob koncu leta 2025 je bilo odprtih še 8.565 zadev. </w:t>
      </w:r>
    </w:p>
    <w:p w14:paraId="3641792C"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8D2578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Na področju </w:t>
      </w:r>
      <w:r w:rsidRPr="00CB5050">
        <w:rPr>
          <w:rFonts w:eastAsia="Calibri"/>
          <w:b/>
          <w:bCs/>
          <w:color w:val="007466"/>
          <w:szCs w:val="22"/>
        </w:rPr>
        <w:t>nepravdnih postopkov</w:t>
      </w:r>
      <w:r w:rsidRPr="00CB5050">
        <w:rPr>
          <w:rFonts w:eastAsia="Calibri"/>
          <w:color w:val="007466"/>
          <w:szCs w:val="22"/>
        </w:rPr>
        <w:t xml:space="preserve"> </w:t>
      </w:r>
      <w:r w:rsidRPr="00CB5050">
        <w:rPr>
          <w:rFonts w:eastAsia="Calibri"/>
          <w:color w:val="000000"/>
          <w:szCs w:val="22"/>
        </w:rPr>
        <w:t xml:space="preserve">je Državno odvetništvo RS na dan 1. 1. 2025 imelo odprtih 8.959 zadev, v letu 2025 pa jih je prejelo 15.546, kar je 3,86 odstotka več kot v letu 2024, ko je v delo prejelo 14.968 novih zadev. Obravnavalo je 24.505 zadev, kar je 2,75 odstotka manj kot leta 2024, ko je imelo v delu 23.848 zadev. Zaključenih je bilo 16.390 zadev, kar je 8,68 </w:t>
      </w:r>
      <w:r w:rsidRPr="00CB5050">
        <w:rPr>
          <w:rFonts w:eastAsia="Calibri"/>
          <w:color w:val="000000"/>
          <w:szCs w:val="22"/>
        </w:rPr>
        <w:lastRenderedPageBreak/>
        <w:t>odstotka več kot leta 2024, ko je bilo zaključenih 15.081 zadev. Ob koncu leta 2025 je ostalo odprtih še 8.115 zadev.</w:t>
      </w:r>
    </w:p>
    <w:p w14:paraId="08752FB7"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12B4262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na področju </w:t>
      </w:r>
      <w:r w:rsidRPr="00CB5050">
        <w:rPr>
          <w:rFonts w:eastAsia="Calibri"/>
          <w:b/>
          <w:bCs/>
          <w:color w:val="007466"/>
          <w:szCs w:val="22"/>
        </w:rPr>
        <w:t>razlastitvenih zadev</w:t>
      </w:r>
      <w:r w:rsidRPr="00CB5050">
        <w:rPr>
          <w:rFonts w:eastAsia="Calibri"/>
          <w:color w:val="007466"/>
          <w:szCs w:val="22"/>
        </w:rPr>
        <w:t xml:space="preserve"> </w:t>
      </w:r>
      <w:r w:rsidRPr="00CB5050">
        <w:rPr>
          <w:rFonts w:eastAsia="Calibri"/>
          <w:color w:val="000000"/>
          <w:szCs w:val="22"/>
        </w:rPr>
        <w:t xml:space="preserve">leto 2025 začelo s 1.741 odprtimi zadevami, nato pa je v letu 2025 v delo prejelo 503 zadev, kar je 46,94 odstotka manj zadev kot v letu 2024, ko je prejelo 948 zadev. V delu je tako imelo 2.244 zadev, kar je 13,39 odstotka manj kot v letu 2024, ko je obravnavalo 2.591 zadev. Zaključilo je 749 zadev, kar je 13,61 odstotka manj kot leta 2024, ko je zaključilo 867 zadev. Na dan 31. 12. 2025 je bilo odprtih še 1.495 tovrstnih zadev. </w:t>
      </w:r>
    </w:p>
    <w:p w14:paraId="242828C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33B1B4EF"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Državno odvetništvo RS je na področju </w:t>
      </w:r>
      <w:r w:rsidRPr="00CB5050">
        <w:rPr>
          <w:rFonts w:eastAsia="Calibri"/>
          <w:b/>
          <w:bCs/>
          <w:color w:val="007466"/>
          <w:szCs w:val="22"/>
        </w:rPr>
        <w:t>upravnih zadev</w:t>
      </w:r>
      <w:r w:rsidRPr="00CB5050">
        <w:rPr>
          <w:rFonts w:eastAsia="Calibri"/>
          <w:color w:val="007466"/>
          <w:szCs w:val="22"/>
        </w:rPr>
        <w:t xml:space="preserve"> </w:t>
      </w:r>
      <w:r w:rsidRPr="00CB5050">
        <w:rPr>
          <w:rFonts w:eastAsia="Calibri"/>
          <w:color w:val="000000"/>
          <w:szCs w:val="22"/>
        </w:rPr>
        <w:t>leto 2024 zaključilo s 583 odprtimi zadevami, nato pa je v letu 2025 v delo prejelo 18.343 novih zadev. Teh je bilo glede na leto 2024, ko je v delo prišlo 17.607 zadev, tako za 4,18 odstotka več, za 1,06 odstotka pa je bilo večje tudi število obravnavanih zadev. V letu 2024 je bilo namreč obravnavanih 18.728 zadev, v letu 2025 pa je bilo v delu 18.926 zadev. Zaključenih je bilo 18.403 zadev, kar je 2,07 odstotka več kot leta 2024, ko je bilo zaključenih 18.030 zadev. Ob koncu leta 2025 je bilo odprtih še 523 zadev.</w:t>
      </w:r>
    </w:p>
    <w:p w14:paraId="43770FB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49A29F9E"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b/>
          <w:bCs/>
          <w:color w:val="007466"/>
          <w:szCs w:val="22"/>
        </w:rPr>
        <w:t>Postopke na podlagi Zakona o denacionalizaciji (ZDen) in Zakona o izvrševanju kazenskih sankcij (ZIKS)</w:t>
      </w:r>
      <w:r w:rsidRPr="00CB5050">
        <w:rPr>
          <w:rFonts w:eastAsia="Calibri"/>
          <w:color w:val="000000"/>
          <w:szCs w:val="22"/>
        </w:rPr>
        <w:t xml:space="preserve"> Državno odvetništvo RS vodi v skupnem »DZ vpisniku«. Letni pripad zadev s tega področja je zanemarljiv, saj je v letu 2025 Državno odvetništvo RS prejelo eno novo zadevo po ZDen in nobene nove zadeve za postopek po ZIKS. Je pa imelo Državno odvetništvo RS s tega področja dela v obravnavi skupno še vedno 54 zadev, kar je sicer 16,92 odstotka manj kot v letu 2024, ko je bilo v delu 65 teh zadev. V letu 2025 se je zaključilo 10 tovrstnih zadev, kar je 16,67 odstotka manj kot leta 2024, ko se je zaključilo 12 zadev. Na dan 31. 12. 2025 je ostalo odprtih še 44 zadev s tega področja dela.</w:t>
      </w:r>
    </w:p>
    <w:p w14:paraId="7ED25CD1"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bCs/>
          <w:color w:val="000000"/>
        </w:rPr>
      </w:pPr>
    </w:p>
    <w:p w14:paraId="673FB7C2"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b/>
          <w:bCs/>
          <w:color w:val="007466"/>
          <w:szCs w:val="22"/>
        </w:rPr>
        <w:t>Postopki s področja Zakona o vračilu vlaganj v javno telekomunikacijsko omrežje (ZVVJTO)</w:t>
      </w:r>
      <w:r w:rsidRPr="00CB5050">
        <w:rPr>
          <w:rFonts w:eastAsia="Calibri"/>
          <w:color w:val="007466"/>
          <w:szCs w:val="22"/>
        </w:rPr>
        <w:t xml:space="preserve"> </w:t>
      </w:r>
      <w:r w:rsidRPr="00CB5050">
        <w:rPr>
          <w:rFonts w:eastAsia="Calibri"/>
          <w:color w:val="000000"/>
          <w:szCs w:val="22"/>
        </w:rPr>
        <w:t>vsebinsko niso posebna problematika, zato jih Državno odvetništvo RS v nadaljevanju ne bo posebej obravnavalo. S tega področja namreč v letu 2025 ni prejelo novih zadev, ravno tako ni imelo v delu nobene zadeve ter tudi nobena zadeva ni bila zaključena.</w:t>
      </w:r>
    </w:p>
    <w:p w14:paraId="127974CE"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5882C8D1"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szCs w:val="22"/>
        </w:rPr>
      </w:pPr>
      <w:r w:rsidRPr="00CB5050">
        <w:rPr>
          <w:rFonts w:eastAsia="Times New Roman"/>
          <w:b/>
          <w:bCs/>
          <w:color w:val="007466"/>
          <w:szCs w:val="22"/>
        </w:rPr>
        <w:t>Na ravni organa kot celote statistični podatki, predstavljeni v splošnem statističnem delu tega poročila, kažejo na to, da Državno odvetništvo RS zaznava bistven porast novih zadev predvsem na področju delovnopravnih in socialnopravnih zadev in to v primerjavi z letom 2024 kar za 121,44 odstotka večji pripad. Do relativnega povečanja števila zadev je prišlo tudi v predhodnih odškodninskih postopkih po Zakonu o prekrških (ZP-1) (100,0 odstotka), v zadevah na podlagi Zakona o varstvu pravic do sojenja brez nepotrebnega odlašanja (ZVPSBNO) (52,94 odstotka), v postopkih izvršbe in zavarovanja (20,01 odstotka),</w:t>
      </w:r>
      <w:r w:rsidRPr="00CB5050">
        <w:rPr>
          <w:rFonts w:eastAsia="Times New Roman"/>
          <w:color w:val="007466"/>
          <w:szCs w:val="22"/>
        </w:rPr>
        <w:t xml:space="preserve"> </w:t>
      </w:r>
      <w:r w:rsidRPr="00CB5050">
        <w:rPr>
          <w:rFonts w:eastAsia="Times New Roman"/>
          <w:b/>
          <w:bCs/>
          <w:color w:val="007466"/>
          <w:szCs w:val="22"/>
        </w:rPr>
        <w:t>v postopkih zaradi insolventnosti in prisilnega prenehanja (10,01 odstotka), v upravnih zadevah (4,18 odstotka) ter v nepravdnih postopkih (3,86 odstotka). V vseh drugih vrstah zadev, ki se obravnavajo na Državnem odvetništvu RS, pa je letni pripad zadev manjši kot prejšnje leto.</w:t>
      </w:r>
      <w:r w:rsidRPr="00CB5050">
        <w:rPr>
          <w:rFonts w:eastAsia="Times New Roman"/>
          <w:szCs w:val="22"/>
        </w:rPr>
        <w:t xml:space="preserve"> </w:t>
      </w:r>
    </w:p>
    <w:p w14:paraId="2C5EECCB" w14:textId="77777777" w:rsidR="00695AE2" w:rsidRPr="00CB5050" w:rsidRDefault="00695AE2" w:rsidP="00695AE2">
      <w:pPr>
        <w:spacing w:line="240" w:lineRule="auto"/>
        <w:jc w:val="both"/>
        <w:rPr>
          <w:rFonts w:eastAsia="Times New Roman"/>
          <w:b/>
          <w:bCs/>
          <w:color w:val="007466"/>
          <w:szCs w:val="22"/>
        </w:rPr>
      </w:pPr>
    </w:p>
    <w:p w14:paraId="50AEECAE" w14:textId="77777777" w:rsidR="00695AE2" w:rsidRPr="00CB5050" w:rsidRDefault="00695AE2" w:rsidP="00695AE2">
      <w:pPr>
        <w:spacing w:line="240" w:lineRule="auto"/>
        <w:jc w:val="both"/>
        <w:rPr>
          <w:rFonts w:eastAsia="Times New Roman"/>
          <w:b/>
          <w:bCs/>
          <w:color w:val="007466"/>
          <w:szCs w:val="22"/>
        </w:rPr>
      </w:pPr>
      <w:r w:rsidRPr="00CB5050">
        <w:rPr>
          <w:rFonts w:eastAsia="Times New Roman"/>
          <w:b/>
          <w:bCs/>
          <w:color w:val="007466"/>
          <w:szCs w:val="22"/>
        </w:rPr>
        <w:t xml:space="preserve">Če se upošteva absolutno število na novo prejetih zadev Državnega odvetništva RS na vseh področjih, je področje dela, na katerem je prišlo v obravnavo največje število zadev, </w:t>
      </w:r>
      <w:r w:rsidRPr="00CB5050">
        <w:rPr>
          <w:rFonts w:eastAsia="Times New Roman"/>
          <w:b/>
          <w:bCs/>
          <w:color w:val="007466"/>
          <w:szCs w:val="22"/>
        </w:rPr>
        <w:lastRenderedPageBreak/>
        <w:t xml:space="preserve">področje upravnih zadev z 18.343 novimi zadevami, sledi pa jim področje nepravdnih postopkov s 15.546 novimi zadevami. </w:t>
      </w:r>
    </w:p>
    <w:p w14:paraId="61BAAD3F" w14:textId="77777777" w:rsidR="00695AE2" w:rsidRPr="00CB5050" w:rsidRDefault="00695AE2" w:rsidP="00695AE2">
      <w:pPr>
        <w:spacing w:line="240" w:lineRule="auto"/>
        <w:jc w:val="both"/>
        <w:rPr>
          <w:rFonts w:eastAsia="Times New Roman"/>
          <w:color w:val="FF0000"/>
          <w:szCs w:val="22"/>
        </w:rPr>
      </w:pPr>
    </w:p>
    <w:p w14:paraId="51952227" w14:textId="77777777" w:rsidR="00695AE2" w:rsidRPr="00CB5050" w:rsidRDefault="00695AE2" w:rsidP="00695AE2">
      <w:pPr>
        <w:spacing w:line="240" w:lineRule="auto"/>
        <w:jc w:val="both"/>
        <w:rPr>
          <w:rFonts w:eastAsia="Times New Roman"/>
          <w:b/>
          <w:bCs/>
          <w:color w:val="007466"/>
          <w:szCs w:val="22"/>
        </w:rPr>
      </w:pPr>
      <w:r w:rsidRPr="00CB5050">
        <w:rPr>
          <w:rFonts w:eastAsia="Times New Roman"/>
          <w:b/>
          <w:bCs/>
          <w:color w:val="007466"/>
          <w:szCs w:val="22"/>
        </w:rPr>
        <w:t xml:space="preserve">Če se upošteva absolutno število zadev v delu Državnega odvetništva RS na vseh področjih dela, je področje dela, na katerem se obravnava največje število zadev na Državnem odvetništvu RS, ravno tako področje nepravdnih postopkov s 24.505 zadevami v delu. Področja, ki mu sledijo z največjim številom zadev v obravnavi na Državnem odvetništvu RS, so upravne zadeve s 18.926 zadevami, postopki zaradi insolventnosti in prisilnega prenehanja, kjer je bilo v letu 2025 v delu 13.463 zadev in postopki izvršbe in zavarovanja s 13.003 zadevami. </w:t>
      </w:r>
    </w:p>
    <w:p w14:paraId="614C0AF5" w14:textId="77777777" w:rsidR="00695AE2" w:rsidRPr="00CB5050" w:rsidRDefault="00695AE2" w:rsidP="00695AE2">
      <w:pPr>
        <w:spacing w:line="240" w:lineRule="auto"/>
        <w:jc w:val="both"/>
        <w:rPr>
          <w:rFonts w:eastAsia="Times New Roman"/>
          <w:szCs w:val="22"/>
        </w:rPr>
      </w:pPr>
    </w:p>
    <w:p w14:paraId="3D4D3C36" w14:textId="77777777" w:rsidR="00695AE2" w:rsidRPr="00CB5050" w:rsidRDefault="00695AE2" w:rsidP="00695AE2">
      <w:pPr>
        <w:spacing w:line="240" w:lineRule="auto"/>
        <w:jc w:val="both"/>
        <w:rPr>
          <w:rFonts w:eastAsia="Calibri"/>
          <w:color w:val="007466"/>
        </w:rPr>
      </w:pPr>
      <w:bookmarkStart w:id="509" w:name="_Hlk126835084"/>
      <w:r w:rsidRPr="00CB5050">
        <w:rPr>
          <w:rFonts w:eastAsia="Times New Roman"/>
          <w:b/>
          <w:bCs/>
          <w:color w:val="007466"/>
          <w:szCs w:val="22"/>
        </w:rPr>
        <w:t xml:space="preserve">Državno odvetništvo RS je na večini področij dela v letu 2025 zaključilo več zadev kot v letu 2024. Predvsem je število zaključenih zadev precej višje kot v letu 2024 na področju delovnopravnih in socialnopravnih zadev, v okviru katerih je Državno odvetništvo RS zaključilo </w:t>
      </w:r>
      <w:r w:rsidRPr="00CB5050">
        <w:rPr>
          <w:rFonts w:eastAsia="Calibri"/>
          <w:b/>
          <w:bCs/>
          <w:color w:val="007466"/>
          <w:szCs w:val="22"/>
        </w:rPr>
        <w:t>kar 132,83 odstotka več zadev kot leta 202</w:t>
      </w:r>
      <w:bookmarkEnd w:id="509"/>
      <w:r w:rsidRPr="00CB5050">
        <w:rPr>
          <w:rFonts w:eastAsia="Calibri"/>
          <w:b/>
          <w:bCs/>
          <w:color w:val="007466"/>
          <w:szCs w:val="22"/>
        </w:rPr>
        <w:t>4. Prav tako je bilo več zaključenih zadev na področju predhodnih odškodninskih postopkov po Zakonu o kazenskem postopku (ZKP), kjer je bilo zaključenih kar 66,67 odstotka več zadev kot v letu 2024, na področju predhodnih odškodninskih postopkov po Zakonu o prekrških (ZP-1), kjer je bilo zaključenih 35,78 odstotka več zadev kot v letu 2024, na področju nepravdnih zadev, kjer je bilo zaključenih 8,68 odstotka več zadev kot v letu 2024, za 5,62 odstotka več zadev kot leta 2024 pa je bilo zaključenih tudi na področju postopkov zaradi insolventnosti in prisilnega prenehanja ter na področju upravnih zadev, kjer je bilo za 2,07 odstotka več zaključenih zadev kot v letu 2024. Na ostalih področjih je Državno odvetništvo RS zaključilo manj zadev kot v letu 2024.</w:t>
      </w:r>
    </w:p>
    <w:p w14:paraId="570BA9F9" w14:textId="77777777" w:rsidR="00695AE2" w:rsidRPr="001462ED" w:rsidRDefault="00695AE2" w:rsidP="00695AE2">
      <w:pPr>
        <w:pStyle w:val="Jasna"/>
        <w:rPr>
          <w:sz w:val="32"/>
          <w:szCs w:val="32"/>
          <w:lang w:eastAsia="sl-SI"/>
        </w:rPr>
      </w:pPr>
      <w:bookmarkStart w:id="510" w:name="_Toc95149715"/>
    </w:p>
    <w:p w14:paraId="7584A4CC" w14:textId="77777777" w:rsidR="00695AE2" w:rsidRPr="00CB5050" w:rsidRDefault="00695AE2" w:rsidP="00695AE2">
      <w:pPr>
        <w:pStyle w:val="Naslov2"/>
      </w:pPr>
      <w:bookmarkStart w:id="511" w:name="_Toc168844911"/>
      <w:bookmarkStart w:id="512" w:name="_Toc191561906"/>
      <w:bookmarkStart w:id="513" w:name="_Toc223093902"/>
      <w:r w:rsidRPr="00CB5050">
        <w:t>Civilnopravne in gospodarske zadeve</w:t>
      </w:r>
      <w:bookmarkEnd w:id="510"/>
      <w:bookmarkEnd w:id="511"/>
      <w:bookmarkEnd w:id="512"/>
      <w:bookmarkEnd w:id="513"/>
    </w:p>
    <w:p w14:paraId="7CB32329" w14:textId="77777777" w:rsidR="00695AE2" w:rsidRPr="00CB5050" w:rsidRDefault="00695AE2" w:rsidP="00695AE2">
      <w:pPr>
        <w:spacing w:line="240" w:lineRule="auto"/>
        <w:rPr>
          <w:rFonts w:eastAsia="Calibri"/>
          <w:sz w:val="32"/>
          <w:szCs w:val="32"/>
        </w:rPr>
      </w:pPr>
    </w:p>
    <w:p w14:paraId="7F58E23D" w14:textId="77777777" w:rsidR="00695AE2" w:rsidRPr="00CB5050" w:rsidRDefault="00695AE2" w:rsidP="00695AE2">
      <w:pPr>
        <w:pStyle w:val="Naslov3"/>
      </w:pPr>
      <w:bookmarkStart w:id="514" w:name="_Toc95149716"/>
      <w:bookmarkStart w:id="515" w:name="_Toc191561907"/>
      <w:bookmarkStart w:id="516" w:name="_Toc223093903"/>
      <w:r w:rsidRPr="00CB5050">
        <w:t>Uvod</w:t>
      </w:r>
      <w:bookmarkStart w:id="517" w:name="_Toc168844912"/>
      <w:bookmarkEnd w:id="514"/>
      <w:bookmarkEnd w:id="515"/>
      <w:bookmarkEnd w:id="516"/>
      <w:r w:rsidRPr="00CB5050">
        <w:t xml:space="preserve"> </w:t>
      </w:r>
      <w:bookmarkEnd w:id="517"/>
    </w:p>
    <w:p w14:paraId="0FEC323A" w14:textId="77777777" w:rsidR="00695AE2" w:rsidRPr="00CB5050" w:rsidRDefault="00695AE2" w:rsidP="00695AE2">
      <w:pPr>
        <w:spacing w:line="240" w:lineRule="auto"/>
        <w:rPr>
          <w:rFonts w:eastAsia="Calibri"/>
          <w:sz w:val="28"/>
          <w:szCs w:val="28"/>
        </w:rPr>
      </w:pPr>
    </w:p>
    <w:p w14:paraId="734F9C7B" w14:textId="77777777" w:rsidR="00695AE2" w:rsidRPr="00CB5050" w:rsidRDefault="00695AE2" w:rsidP="00695AE2">
      <w:pPr>
        <w:spacing w:line="240" w:lineRule="auto"/>
        <w:jc w:val="both"/>
        <w:rPr>
          <w:rFonts w:eastAsia="Calibri"/>
        </w:rPr>
      </w:pPr>
      <w:r w:rsidRPr="00CB5050">
        <w:rPr>
          <w:rFonts w:eastAsia="Calibri"/>
        </w:rPr>
        <w:t xml:space="preserve">Državno odvetništvo RS zastopa Republiko Slovenijo v sporih iz premoženjskih in drugih civilnopravnih razmerij fizičnih in pravnih oseb. V teh sporih so pravni subjekti enakopravni in avtonomni. Država v civilnopravna razmerja, v katerih nastopa kot stranka postopka, namreč </w:t>
      </w:r>
      <w:r w:rsidRPr="00CB5050">
        <w:rPr>
          <w:rFonts w:eastAsia="Calibri"/>
          <w:bCs/>
        </w:rPr>
        <w:t>ne vstopa z oblastnega položaja</w:t>
      </w:r>
      <w:r w:rsidRPr="00CB5050">
        <w:rPr>
          <w:rFonts w:eastAsia="Calibri"/>
        </w:rPr>
        <w:t xml:space="preserve">, temveč je </w:t>
      </w:r>
      <w:r w:rsidRPr="00CB5050">
        <w:rPr>
          <w:rFonts w:eastAsia="Calibri"/>
          <w:bCs/>
        </w:rPr>
        <w:t>v enakopravnem položaju</w:t>
      </w:r>
      <w:r w:rsidRPr="00CB5050">
        <w:rPr>
          <w:rFonts w:eastAsia="Calibri"/>
        </w:rPr>
        <w:t xml:space="preserve"> kot vsak drug posameznik. </w:t>
      </w:r>
    </w:p>
    <w:p w14:paraId="50330A7A" w14:textId="77777777" w:rsidR="00695AE2" w:rsidRPr="00CB5050" w:rsidRDefault="00695AE2" w:rsidP="00695AE2">
      <w:pPr>
        <w:spacing w:line="240" w:lineRule="auto"/>
        <w:jc w:val="both"/>
        <w:rPr>
          <w:rFonts w:eastAsia="Calibri"/>
        </w:rPr>
      </w:pPr>
    </w:p>
    <w:p w14:paraId="5125C475" w14:textId="77777777" w:rsidR="00695AE2" w:rsidRPr="00CB5050" w:rsidRDefault="00695AE2" w:rsidP="00695AE2">
      <w:pPr>
        <w:pStyle w:val="Naslov4"/>
        <w:ind w:left="0" w:firstLine="0"/>
      </w:pPr>
      <w:bookmarkStart w:id="518" w:name="_Toc168844923"/>
      <w:bookmarkStart w:id="519" w:name="_Toc191561908"/>
      <w:bookmarkStart w:id="520" w:name="_Toc223093904"/>
      <w:r w:rsidRPr="00CB5050">
        <w:t>Opredelitev nekaterih, v letu 2025 aktualnejših, civilnopravnih in gospodarskopravnih področij dela, ki jih obravnava Državno odvetništvo RS</w:t>
      </w:r>
      <w:bookmarkEnd w:id="518"/>
      <w:bookmarkEnd w:id="519"/>
      <w:bookmarkEnd w:id="520"/>
    </w:p>
    <w:p w14:paraId="30EEAA0D" w14:textId="77777777" w:rsidR="00695AE2" w:rsidRPr="00CB5050" w:rsidRDefault="00695AE2" w:rsidP="00695AE2">
      <w:pPr>
        <w:pStyle w:val="Jasna"/>
      </w:pPr>
    </w:p>
    <w:p w14:paraId="4EFE7DA1" w14:textId="77777777" w:rsidR="00695AE2" w:rsidRPr="00CB5050" w:rsidRDefault="00695AE2" w:rsidP="00695AE2">
      <w:pPr>
        <w:pStyle w:val="Naslov5"/>
      </w:pPr>
      <w:bookmarkStart w:id="521" w:name="_Toc168844924"/>
      <w:bookmarkStart w:id="522" w:name="_Toc191561909"/>
      <w:bookmarkStart w:id="523" w:name="_Toc223093905"/>
      <w:r w:rsidRPr="00CB5050">
        <w:t>Zadeve iz naslova odškodninske odgovornosti države</w:t>
      </w:r>
      <w:bookmarkEnd w:id="521"/>
      <w:bookmarkEnd w:id="522"/>
      <w:bookmarkEnd w:id="523"/>
      <w:r w:rsidRPr="00CB5050">
        <w:t xml:space="preserve"> </w:t>
      </w:r>
    </w:p>
    <w:p w14:paraId="14265937" w14:textId="77777777" w:rsidR="00695AE2" w:rsidRPr="00CB5050" w:rsidRDefault="00695AE2" w:rsidP="00695AE2">
      <w:pPr>
        <w:spacing w:line="240" w:lineRule="auto"/>
        <w:jc w:val="both"/>
        <w:rPr>
          <w:rFonts w:eastAsia="Calibri"/>
        </w:rPr>
      </w:pPr>
    </w:p>
    <w:p w14:paraId="1E3950A6" w14:textId="77777777" w:rsidR="00695AE2" w:rsidRPr="00CB5050" w:rsidRDefault="00695AE2" w:rsidP="00695AE2">
      <w:pPr>
        <w:spacing w:line="240" w:lineRule="auto"/>
        <w:jc w:val="both"/>
        <w:rPr>
          <w:rFonts w:eastAsia="Calibri"/>
          <w:szCs w:val="22"/>
        </w:rPr>
      </w:pPr>
      <w:r w:rsidRPr="00CB5050">
        <w:rPr>
          <w:rFonts w:eastAsia="Calibri"/>
        </w:rPr>
        <w:t xml:space="preserve">Najbolj številčne zadeve, v katerih Državno odvetništvo RS zastopa Republiko Slovenijo in ki izvirajo iz civilnopravnih sporov, so zadeve, ko oškodovanci tožijo državo </w:t>
      </w:r>
      <w:r w:rsidRPr="00CB5050">
        <w:rPr>
          <w:rFonts w:eastAsia="Calibri"/>
          <w:bCs/>
        </w:rPr>
        <w:t xml:space="preserve">iz naslova njene odškodninske odgovornosti. Posebej je treba opozoriti na </w:t>
      </w:r>
      <w:r w:rsidRPr="00CB5050">
        <w:rPr>
          <w:rFonts w:eastAsia="Calibri"/>
          <w:color w:val="007466"/>
          <w:szCs w:val="22"/>
        </w:rPr>
        <w:t>odškodninske zahtevke po 26. členu Ustave RS</w:t>
      </w:r>
      <w:r w:rsidRPr="00CB5050">
        <w:rPr>
          <w:rFonts w:eastAsia="Calibri"/>
          <w:szCs w:val="22"/>
        </w:rPr>
        <w:t xml:space="preserve">, saj so zadeve poleg številčnosti in vrednostno visokih zneskov vsebinsko izjemno zahtevne. Predvsem v zadevah iz naslova očitanega protipravnega ravnanja sodišč in protipravnega ravnanja državnih organov je namreč treba proučiti celotno postopanje sodišč </w:t>
      </w:r>
      <w:r w:rsidRPr="00CB5050">
        <w:rPr>
          <w:rFonts w:eastAsia="Calibri"/>
          <w:szCs w:val="22"/>
        </w:rPr>
        <w:lastRenderedPageBreak/>
        <w:t xml:space="preserve">in državnih organov pri odločanju o zadevi, vključno s pridobitvijo, pregledom in proučitvijo vseh sodnih in drugih spisov z vidika grajane protipravnosti. </w:t>
      </w:r>
    </w:p>
    <w:p w14:paraId="17D7B697" w14:textId="77777777" w:rsidR="00695AE2" w:rsidRPr="00CB5050" w:rsidRDefault="00695AE2" w:rsidP="00695AE2">
      <w:pPr>
        <w:spacing w:line="240" w:lineRule="auto"/>
        <w:jc w:val="both"/>
        <w:rPr>
          <w:rFonts w:eastAsia="Calibri"/>
          <w:szCs w:val="22"/>
        </w:rPr>
      </w:pPr>
    </w:p>
    <w:p w14:paraId="498480DE" w14:textId="77777777" w:rsidR="00695AE2" w:rsidRPr="00CB5050" w:rsidRDefault="00695AE2" w:rsidP="00695AE2">
      <w:pPr>
        <w:spacing w:line="240" w:lineRule="auto"/>
        <w:jc w:val="both"/>
        <w:rPr>
          <w:rFonts w:eastAsia="Calibri"/>
          <w:szCs w:val="22"/>
        </w:rPr>
      </w:pPr>
      <w:r w:rsidRPr="00CB5050">
        <w:rPr>
          <w:rFonts w:eastAsia="Calibri"/>
          <w:szCs w:val="22"/>
        </w:rPr>
        <w:t xml:space="preserve">Zadeve iz naslova odškodninske odgovornosti države zaradi protipravnega ravnanja po 26. členu Ustave RS so, kot že vsa leta prej, tudi v letu 2025 predstavljale največji pripad zadev v okviru civilnopravnih in gospodarskopravnih zadev. Teh zadev je Državno odvetništvo RS v letu 2025 prejelo kar 395 (v letu 2024 672 tovrstnih zadev), in sicer v skupni zahtevani vrednosti 335.639.083,20 evra. </w:t>
      </w:r>
    </w:p>
    <w:p w14:paraId="7B509F75" w14:textId="77777777" w:rsidR="00695AE2" w:rsidRPr="00CB5050" w:rsidRDefault="00695AE2" w:rsidP="00695AE2">
      <w:pPr>
        <w:spacing w:line="240" w:lineRule="auto"/>
        <w:jc w:val="both"/>
        <w:rPr>
          <w:rFonts w:eastAsia="Calibri"/>
          <w:szCs w:val="22"/>
        </w:rPr>
      </w:pPr>
    </w:p>
    <w:p w14:paraId="5F025166" w14:textId="77777777" w:rsidR="00695AE2" w:rsidRPr="00CB5050" w:rsidRDefault="00695AE2" w:rsidP="00695AE2">
      <w:pPr>
        <w:spacing w:line="240" w:lineRule="auto"/>
        <w:jc w:val="both"/>
        <w:rPr>
          <w:rFonts w:eastAsia="Calibri"/>
          <w:szCs w:val="22"/>
        </w:rPr>
      </w:pPr>
      <w:r w:rsidRPr="00CB5050">
        <w:rPr>
          <w:rFonts w:eastAsia="Calibri"/>
          <w:szCs w:val="22"/>
        </w:rPr>
        <w:t>Zaključenih je bilo 74 tovrstnih zadev v skupni vrednosti 54.495.678,14 evra, od tega je bilo dobljenih 51 zadev v vrednosti 38.993.769,09 evra, izgubljene so bile 4 zadeve v vrednosti 297.356,80 evra, poravnave so bile sklenjene 4 v skupni vrednosti 43.805,14 evra (zadeve, ki so se zaključile na druge načine, niso posebej izpostavljene).</w:t>
      </w:r>
    </w:p>
    <w:p w14:paraId="76F9A6AB" w14:textId="77777777" w:rsidR="00695AE2" w:rsidRPr="00CB5050" w:rsidRDefault="00695AE2" w:rsidP="00695AE2">
      <w:pPr>
        <w:spacing w:line="240" w:lineRule="auto"/>
        <w:jc w:val="both"/>
        <w:rPr>
          <w:rFonts w:eastAsia="Calibri"/>
          <w:bCs/>
        </w:rPr>
      </w:pPr>
    </w:p>
    <w:p w14:paraId="627BEE8C" w14:textId="77777777" w:rsidR="00695AE2" w:rsidRPr="00CB5050" w:rsidRDefault="00695AE2" w:rsidP="00695AE2">
      <w:pPr>
        <w:pStyle w:val="Naslov5"/>
        <w:ind w:left="0" w:firstLine="0"/>
      </w:pPr>
      <w:bookmarkStart w:id="524" w:name="_Toc191561910"/>
      <w:bookmarkStart w:id="525" w:name="_Toc223093906"/>
      <w:r w:rsidRPr="00CB5050">
        <w:t>Zadeve na podlagi Zakona o odpravi krivic zaradi izbrisa pravnih oseb iz sodnega registra v obdobju od 23. julija 1999 do 15. januarja 2008</w:t>
      </w:r>
      <w:bookmarkStart w:id="526" w:name="_Toc168844925"/>
      <w:bookmarkEnd w:id="524"/>
      <w:bookmarkEnd w:id="525"/>
      <w:r w:rsidRPr="00CB5050">
        <w:t xml:space="preserve"> </w:t>
      </w:r>
      <w:bookmarkEnd w:id="526"/>
      <w:r w:rsidRPr="00CB5050">
        <w:t xml:space="preserve"> </w:t>
      </w:r>
    </w:p>
    <w:p w14:paraId="477B5796" w14:textId="77777777" w:rsidR="00695AE2" w:rsidRPr="00CB5050" w:rsidRDefault="00695AE2" w:rsidP="00695AE2">
      <w:pPr>
        <w:pStyle w:val="Jasna"/>
      </w:pPr>
    </w:p>
    <w:p w14:paraId="61DBF074" w14:textId="77777777" w:rsidR="00695AE2" w:rsidRPr="00CB5050" w:rsidRDefault="00695AE2" w:rsidP="00695AE2">
      <w:pPr>
        <w:spacing w:line="240" w:lineRule="auto"/>
        <w:jc w:val="both"/>
        <w:rPr>
          <w:rFonts w:eastAsia="Calibri"/>
        </w:rPr>
      </w:pPr>
      <w:r w:rsidRPr="00CB5050">
        <w:rPr>
          <w:rFonts w:eastAsia="Calibri"/>
        </w:rPr>
        <w:t xml:space="preserve">V Uradnem listu Republike Slovenije št. 186/2021 z dne 30. 11. 2021 je bil objavljen Zakon o odpravi krivic zaradi izbrisa pravnih oseb iz sodnega registra v obdobju od 23. julija 1999 do 15. januarja 2008 (v nadaljevanju: ZOKIPOSR), ki je začel veljati 15. dan po objavi, torej 15. 12. 2021. </w:t>
      </w:r>
    </w:p>
    <w:p w14:paraId="4DA47F9C" w14:textId="77777777" w:rsidR="00695AE2" w:rsidRPr="00CB5050" w:rsidRDefault="00695AE2" w:rsidP="00695AE2">
      <w:pPr>
        <w:spacing w:line="240" w:lineRule="auto"/>
        <w:jc w:val="both"/>
        <w:rPr>
          <w:rFonts w:eastAsia="Calibri"/>
        </w:rPr>
      </w:pPr>
    </w:p>
    <w:p w14:paraId="3AC06BF9" w14:textId="77777777" w:rsidR="00695AE2" w:rsidRPr="00CB5050" w:rsidRDefault="00695AE2" w:rsidP="00695AE2">
      <w:pPr>
        <w:spacing w:line="240" w:lineRule="auto"/>
        <w:jc w:val="both"/>
        <w:rPr>
          <w:rFonts w:eastAsia="Calibri"/>
        </w:rPr>
      </w:pPr>
      <w:r w:rsidRPr="00CB5050">
        <w:rPr>
          <w:rFonts w:eastAsia="Calibri"/>
        </w:rPr>
        <w:t xml:space="preserve">Zakon določa pravico do povračila škode, ki je upravičencem nastala zaradi prenosa obveznosti kapitalskih družb, ki so bile izbrisane iz sodnega registra na podlagi Zakona o finančnem poslovanju podjetij (ZFPPod) od 23. julija 1999 do 15. januarja 2008. </w:t>
      </w:r>
    </w:p>
    <w:p w14:paraId="02FB034E" w14:textId="77777777" w:rsidR="00695AE2" w:rsidRPr="00CB5050" w:rsidRDefault="00695AE2" w:rsidP="00695AE2">
      <w:pPr>
        <w:spacing w:line="240" w:lineRule="auto"/>
        <w:jc w:val="both"/>
        <w:rPr>
          <w:rFonts w:eastAsia="Calibri"/>
        </w:rPr>
      </w:pPr>
    </w:p>
    <w:p w14:paraId="72BA84A0" w14:textId="77777777" w:rsidR="00695AE2" w:rsidRPr="00CB5050" w:rsidRDefault="00695AE2" w:rsidP="00695AE2">
      <w:pPr>
        <w:spacing w:line="240" w:lineRule="auto"/>
        <w:jc w:val="both"/>
        <w:rPr>
          <w:rFonts w:eastAsia="Calibri"/>
        </w:rPr>
      </w:pPr>
      <w:r w:rsidRPr="00CB5050">
        <w:rPr>
          <w:rFonts w:eastAsia="Calibri"/>
        </w:rPr>
        <w:t xml:space="preserve">Z navedenim zakonom so bile Državnemu odvetništvu RS naložene nove pristojnosti. </w:t>
      </w:r>
    </w:p>
    <w:p w14:paraId="787EDE4B" w14:textId="77777777" w:rsidR="00695AE2" w:rsidRPr="00CB5050" w:rsidRDefault="00695AE2" w:rsidP="00695AE2">
      <w:pPr>
        <w:spacing w:line="240" w:lineRule="auto"/>
        <w:jc w:val="both"/>
        <w:rPr>
          <w:rFonts w:eastAsia="Calibri"/>
          <w:szCs w:val="22"/>
        </w:rPr>
      </w:pPr>
    </w:p>
    <w:p w14:paraId="3622D0DE" w14:textId="77777777" w:rsidR="00695AE2" w:rsidRPr="00CB5050" w:rsidRDefault="00695AE2" w:rsidP="00695AE2">
      <w:pPr>
        <w:spacing w:line="240" w:lineRule="auto"/>
        <w:jc w:val="both"/>
        <w:rPr>
          <w:rFonts w:eastAsia="Calibri"/>
          <w:szCs w:val="22"/>
        </w:rPr>
      </w:pPr>
      <w:r w:rsidRPr="00CB5050">
        <w:rPr>
          <w:rFonts w:eastAsia="Calibri"/>
          <w:szCs w:val="22"/>
        </w:rPr>
        <w:t>Na Državnem odvetništvu RS ločeno vodimo dve vrsti postopkov, in sicer:</w:t>
      </w:r>
    </w:p>
    <w:p w14:paraId="70B3A498" w14:textId="77777777" w:rsidR="00695AE2" w:rsidRPr="00CB5050" w:rsidRDefault="00695AE2" w:rsidP="006D16C0">
      <w:pPr>
        <w:numPr>
          <w:ilvl w:val="0"/>
          <w:numId w:val="138"/>
        </w:numPr>
        <w:spacing w:after="160" w:line="240" w:lineRule="auto"/>
        <w:contextualSpacing/>
        <w:jc w:val="both"/>
        <w:rPr>
          <w:rFonts w:eastAsia="Calibri"/>
        </w:rPr>
      </w:pPr>
      <w:r w:rsidRPr="00CB5050">
        <w:rPr>
          <w:rFonts w:eastAsia="Calibri"/>
        </w:rPr>
        <w:t>zahtevke za poravnave vlagateljev v predhodnem postopku na podlagi 7. in 8. člena ZOKIPOSR</w:t>
      </w:r>
      <w:r w:rsidRPr="00CB5050">
        <w:rPr>
          <w:rFonts w:eastAsia="Calibri"/>
          <w:vertAlign w:val="superscript"/>
        </w:rPr>
        <w:footnoteReference w:id="12"/>
      </w:r>
      <w:r w:rsidRPr="00CB5050">
        <w:rPr>
          <w:rFonts w:eastAsia="Calibri"/>
        </w:rPr>
        <w:t>,</w:t>
      </w:r>
    </w:p>
    <w:p w14:paraId="36BE5427" w14:textId="77777777" w:rsidR="00695AE2" w:rsidRPr="00CB5050" w:rsidRDefault="00695AE2" w:rsidP="006D16C0">
      <w:pPr>
        <w:numPr>
          <w:ilvl w:val="0"/>
          <w:numId w:val="138"/>
        </w:numPr>
        <w:spacing w:after="160" w:line="240" w:lineRule="auto"/>
        <w:contextualSpacing/>
        <w:jc w:val="both"/>
        <w:rPr>
          <w:rFonts w:eastAsia="Calibri"/>
        </w:rPr>
      </w:pPr>
      <w:r w:rsidRPr="00CB5050">
        <w:rPr>
          <w:rFonts w:eastAsia="Calibri"/>
        </w:rPr>
        <w:t>zahtevke upnikov družbenikov izbrisanih družb na podlagi tretjega odstavka 17. člena ZOKIPOSR</w:t>
      </w:r>
      <w:r w:rsidRPr="00CB5050">
        <w:rPr>
          <w:rFonts w:eastAsia="Calibri"/>
          <w:vertAlign w:val="superscript"/>
        </w:rPr>
        <w:footnoteReference w:id="13"/>
      </w:r>
      <w:r w:rsidRPr="00CB5050">
        <w:rPr>
          <w:rFonts w:eastAsia="Calibri"/>
        </w:rPr>
        <w:t xml:space="preserve">. </w:t>
      </w:r>
    </w:p>
    <w:p w14:paraId="3EAF3C9A" w14:textId="77777777" w:rsidR="00695AE2" w:rsidRPr="00CB5050" w:rsidRDefault="00695AE2" w:rsidP="00695AE2">
      <w:pPr>
        <w:tabs>
          <w:tab w:val="left" w:pos="1440"/>
        </w:tabs>
        <w:spacing w:line="240" w:lineRule="auto"/>
        <w:jc w:val="both"/>
        <w:rPr>
          <w:rFonts w:eastAsia="Calibri"/>
          <w:szCs w:val="22"/>
        </w:rPr>
      </w:pPr>
    </w:p>
    <w:p w14:paraId="63B4B104" w14:textId="77777777" w:rsidR="00695AE2" w:rsidRPr="00CB5050" w:rsidRDefault="00695AE2" w:rsidP="00695AE2">
      <w:pPr>
        <w:tabs>
          <w:tab w:val="left" w:pos="1440"/>
        </w:tabs>
        <w:spacing w:line="240" w:lineRule="auto"/>
        <w:jc w:val="both"/>
        <w:rPr>
          <w:rFonts w:eastAsia="Calibri"/>
          <w:color w:val="000000"/>
          <w:kern w:val="24"/>
          <w:szCs w:val="22"/>
        </w:rPr>
      </w:pPr>
      <w:r w:rsidRPr="00CB5050">
        <w:rPr>
          <w:rFonts w:eastAsia="Calibri"/>
          <w:color w:val="000000"/>
          <w:kern w:val="24"/>
          <w:szCs w:val="22"/>
        </w:rPr>
        <w:t xml:space="preserve">Skupna vrednost vseh do sedaj prejetih zadev Državnega odvetništva RS po ZOKIPOSR je 46.462.730,83 evra. </w:t>
      </w:r>
    </w:p>
    <w:p w14:paraId="25F7D4D3" w14:textId="77777777" w:rsidR="00695AE2" w:rsidRPr="00CB5050" w:rsidRDefault="00695AE2" w:rsidP="00695AE2">
      <w:pPr>
        <w:spacing w:line="240" w:lineRule="auto"/>
        <w:jc w:val="both"/>
        <w:rPr>
          <w:rFonts w:eastAsia="Calibri"/>
        </w:rPr>
      </w:pPr>
    </w:p>
    <w:p w14:paraId="2FAC6B7C" w14:textId="77777777" w:rsidR="00695AE2" w:rsidRPr="00CB5050" w:rsidRDefault="00695AE2" w:rsidP="00695AE2">
      <w:pPr>
        <w:spacing w:line="240" w:lineRule="auto"/>
        <w:jc w:val="both"/>
        <w:rPr>
          <w:rFonts w:eastAsia="Calibri"/>
        </w:rPr>
      </w:pPr>
      <w:r w:rsidRPr="00CB5050">
        <w:rPr>
          <w:rFonts w:eastAsia="Calibri"/>
        </w:rPr>
        <w:t xml:space="preserve">V okviru predhodnih postopkov je Državno odvetništvo RS do 31. 12. 2025 prejelo 147 zahtevkov večinoma družbenikov izbrisanih družb (od tega v letu 2025 21 zahtevkov). Od </w:t>
      </w:r>
      <w:r w:rsidRPr="00CB5050">
        <w:rPr>
          <w:rFonts w:eastAsia="Calibri"/>
        </w:rPr>
        <w:lastRenderedPageBreak/>
        <w:t>prejetih zadev v predhodnem postopku se je že zaključilo 143 zadev, in sicer je Državno odvetništvo RS zahtevke zavrnilo.</w:t>
      </w:r>
    </w:p>
    <w:p w14:paraId="04A43CCE" w14:textId="77777777" w:rsidR="00695AE2" w:rsidRPr="00CB5050" w:rsidRDefault="00695AE2" w:rsidP="00695AE2">
      <w:pPr>
        <w:spacing w:line="240" w:lineRule="auto"/>
        <w:rPr>
          <w:rFonts w:eastAsia="Calibri"/>
        </w:rPr>
      </w:pPr>
    </w:p>
    <w:p w14:paraId="2BBD6CA0" w14:textId="77777777" w:rsidR="00695AE2" w:rsidRPr="00CB5050" w:rsidRDefault="00695AE2" w:rsidP="00695AE2">
      <w:pPr>
        <w:spacing w:line="240" w:lineRule="auto"/>
        <w:jc w:val="both"/>
        <w:rPr>
          <w:rFonts w:eastAsia="Calibri"/>
        </w:rPr>
      </w:pPr>
      <w:r w:rsidRPr="00CB5050">
        <w:rPr>
          <w:rFonts w:eastAsia="Calibri"/>
        </w:rPr>
        <w:t xml:space="preserve">Do dne 31. 12. 2025 je bilo vloženih 16 tožb, in sicer v skupni zahtevani vrednosti 8.322.545,53 evrov. Vse zadeve po vloženih tožbah se še vedno obravnavajo na prvi stopnji in sodne odločbe še niso bile izdane. </w:t>
      </w:r>
    </w:p>
    <w:p w14:paraId="1CFCFC09" w14:textId="77777777" w:rsidR="00695AE2" w:rsidRPr="00CB5050" w:rsidRDefault="00695AE2" w:rsidP="00695AE2">
      <w:pPr>
        <w:spacing w:line="240" w:lineRule="auto"/>
        <w:jc w:val="both"/>
        <w:rPr>
          <w:rFonts w:eastAsia="Calibri"/>
        </w:rPr>
      </w:pPr>
    </w:p>
    <w:p w14:paraId="305DAACE" w14:textId="77777777" w:rsidR="00695AE2" w:rsidRPr="00CB5050" w:rsidRDefault="00695AE2" w:rsidP="00695AE2">
      <w:pPr>
        <w:spacing w:line="240" w:lineRule="auto"/>
        <w:jc w:val="both"/>
        <w:rPr>
          <w:rFonts w:eastAsia="Calibri"/>
          <w:kern w:val="2"/>
        </w:rPr>
      </w:pPr>
      <w:r w:rsidRPr="00CB5050">
        <w:rPr>
          <w:rFonts w:eastAsia="Calibri"/>
        </w:rPr>
        <w:t xml:space="preserve">V izvršilnih postopkih je do 31. 12. 2025 Državno odvetništvo RS  prejelo 105 zadev v skupni zahtevani vrednosti </w:t>
      </w:r>
      <w:r w:rsidRPr="00CB5050">
        <w:rPr>
          <w:rFonts w:eastAsia="Calibri"/>
          <w:kern w:val="2"/>
        </w:rPr>
        <w:t>4.086.264,72 evrov.</w:t>
      </w:r>
      <w:r w:rsidRPr="00CB5050">
        <w:rPr>
          <w:rFonts w:eastAsia="Calibri"/>
        </w:rPr>
        <w:t xml:space="preserve"> Odprtih je 57 izvršilnih zadev v skupni vrednosti </w:t>
      </w:r>
      <w:r w:rsidRPr="00CB5050">
        <w:rPr>
          <w:rFonts w:eastAsia="Calibri"/>
          <w:kern w:val="2"/>
        </w:rPr>
        <w:t>3.351.612,14 evrov.</w:t>
      </w:r>
    </w:p>
    <w:p w14:paraId="146E69E5" w14:textId="77777777" w:rsidR="00695AE2" w:rsidRPr="00CB5050" w:rsidRDefault="00695AE2" w:rsidP="00695AE2">
      <w:pPr>
        <w:spacing w:line="240" w:lineRule="auto"/>
        <w:jc w:val="both"/>
        <w:rPr>
          <w:rFonts w:eastAsia="Calibri"/>
          <w:color w:val="000000"/>
        </w:rPr>
      </w:pPr>
    </w:p>
    <w:p w14:paraId="6AE12D7C" w14:textId="77777777" w:rsidR="00695AE2" w:rsidRPr="00CB5050" w:rsidRDefault="00695AE2" w:rsidP="00695AE2">
      <w:pPr>
        <w:spacing w:line="240" w:lineRule="auto"/>
        <w:jc w:val="both"/>
        <w:rPr>
          <w:rFonts w:eastAsia="Calibri"/>
          <w:color w:val="000000"/>
          <w:lang w:eastAsia="sl-SI"/>
        </w:rPr>
      </w:pPr>
      <w:r w:rsidRPr="00CB5050">
        <w:rPr>
          <w:rFonts w:eastAsia="Calibri"/>
          <w:color w:val="000000"/>
        </w:rPr>
        <w:t>Do konca leta 2025</w:t>
      </w:r>
      <w:r w:rsidRPr="00CB5050">
        <w:rPr>
          <w:rFonts w:eastAsia="Calibri"/>
          <w:color w:val="000000"/>
          <w:lang w:eastAsia="sl-SI"/>
        </w:rPr>
        <w:t xml:space="preserve"> je morala država v izvršilnih postopkih upnikom, ki v še odprtih izvršilnih postopkih terjajo aktivne družbenike</w:t>
      </w:r>
      <w:r w:rsidRPr="00CB5050">
        <w:rPr>
          <w:rFonts w:eastAsia="Calibri"/>
        </w:rPr>
        <w:t xml:space="preserve">, </w:t>
      </w:r>
      <w:r w:rsidRPr="00CB5050">
        <w:rPr>
          <w:rFonts w:eastAsia="Calibri"/>
          <w:color w:val="000000"/>
          <w:lang w:eastAsia="sl-SI"/>
        </w:rPr>
        <w:t xml:space="preserve"> na podlagi tretjega odstavka 17. člena ZOKIPOSR, plačati skupaj že znesek 3.191.015,96 evrov. </w:t>
      </w:r>
    </w:p>
    <w:p w14:paraId="5B9AF032" w14:textId="77777777" w:rsidR="00695AE2" w:rsidRPr="00CB5050" w:rsidRDefault="00695AE2" w:rsidP="00695AE2">
      <w:pPr>
        <w:spacing w:line="240" w:lineRule="auto"/>
        <w:jc w:val="both"/>
        <w:rPr>
          <w:rFonts w:eastAsia="Calibri"/>
          <w:color w:val="000000"/>
          <w:kern w:val="24"/>
          <w:szCs w:val="22"/>
        </w:rPr>
      </w:pPr>
    </w:p>
    <w:p w14:paraId="61FD9BA2" w14:textId="77777777" w:rsidR="00695AE2" w:rsidRPr="00CB5050" w:rsidRDefault="00695AE2" w:rsidP="00695AE2">
      <w:pPr>
        <w:tabs>
          <w:tab w:val="left" w:pos="1440"/>
        </w:tabs>
        <w:spacing w:line="240" w:lineRule="auto"/>
        <w:jc w:val="both"/>
        <w:rPr>
          <w:rFonts w:eastAsia="Calibri"/>
          <w:szCs w:val="22"/>
        </w:rPr>
      </w:pPr>
      <w:r w:rsidRPr="00CB5050">
        <w:rPr>
          <w:rFonts w:eastAsia="Calibri"/>
          <w:color w:val="000000"/>
          <w:kern w:val="24"/>
          <w:szCs w:val="22"/>
        </w:rPr>
        <w:t xml:space="preserve">Dejavnosti Državnega odvetništva RS, povezane z izvajanjem ZOKIPOSR, so predstavljene v nadaljevanju tega poročila pod </w:t>
      </w:r>
      <w:r w:rsidRPr="00CB5050">
        <w:rPr>
          <w:rFonts w:eastAsia="Calibri"/>
          <w:kern w:val="24"/>
          <w:szCs w:val="22"/>
        </w:rPr>
        <w:t xml:space="preserve">tč. </w:t>
      </w:r>
      <w:r w:rsidRPr="00CB5050">
        <w:rPr>
          <w:rFonts w:eastAsia="Calibri"/>
          <w:szCs w:val="22"/>
        </w:rPr>
        <w:t>1.2.4.2.</w:t>
      </w:r>
    </w:p>
    <w:p w14:paraId="59487E27" w14:textId="77777777" w:rsidR="00695AE2" w:rsidRPr="00CB5050" w:rsidRDefault="00695AE2" w:rsidP="00695AE2">
      <w:pPr>
        <w:spacing w:line="240" w:lineRule="auto"/>
        <w:jc w:val="both"/>
        <w:rPr>
          <w:rFonts w:eastAsia="Calibri"/>
        </w:rPr>
      </w:pPr>
    </w:p>
    <w:p w14:paraId="4D1C7203" w14:textId="77777777" w:rsidR="00695AE2" w:rsidRPr="00CB5050" w:rsidRDefault="00695AE2" w:rsidP="00695AE2">
      <w:pPr>
        <w:pStyle w:val="Naslov5"/>
        <w:ind w:left="0" w:firstLine="0"/>
        <w:rPr>
          <w:b/>
        </w:rPr>
      </w:pPr>
      <w:bookmarkStart w:id="527" w:name="_Toc191561912"/>
      <w:bookmarkStart w:id="528" w:name="_Toc223093907"/>
      <w:bookmarkStart w:id="529" w:name="_Hlk190719468"/>
      <w:bookmarkStart w:id="530" w:name="_Toc168844929"/>
      <w:r w:rsidRPr="00CB5050">
        <w:t>Zadeve, ki se nanašajo na plačilo odškodnine iz naslova odgovornosti Republike Slovenije za kršitve pravice do dostojanstva zaradi neprimernih pogojev bivanja v zavodih za prestajanje kazni zapora</w:t>
      </w:r>
      <w:bookmarkEnd w:id="527"/>
      <w:bookmarkEnd w:id="528"/>
      <w:r w:rsidRPr="00CB5050">
        <w:t xml:space="preserve"> </w:t>
      </w:r>
    </w:p>
    <w:p w14:paraId="574EC0BE" w14:textId="77777777" w:rsidR="00695AE2" w:rsidRPr="00CB5050" w:rsidRDefault="00695AE2" w:rsidP="00695AE2">
      <w:pPr>
        <w:suppressAutoHyphens/>
        <w:spacing w:line="240" w:lineRule="auto"/>
        <w:jc w:val="both"/>
        <w:rPr>
          <w:rFonts w:eastAsia="Times New Roman"/>
          <w:lang w:eastAsia="sl-SI"/>
        </w:rPr>
      </w:pPr>
    </w:p>
    <w:p w14:paraId="03452932" w14:textId="77777777" w:rsidR="00695AE2" w:rsidRPr="00CB5050" w:rsidRDefault="00695AE2" w:rsidP="00695AE2">
      <w:pPr>
        <w:spacing w:line="240" w:lineRule="auto"/>
        <w:jc w:val="both"/>
        <w:rPr>
          <w:rFonts w:eastAsia="Calibri"/>
          <w:szCs w:val="22"/>
        </w:rPr>
      </w:pPr>
      <w:r w:rsidRPr="00CB5050">
        <w:rPr>
          <w:rFonts w:eastAsia="Calibri"/>
          <w:szCs w:val="22"/>
        </w:rPr>
        <w:t xml:space="preserve">Kot se je nakazovalo že v letu 2024, se je v letu 2025 izrazito povečal pripad zadev </w:t>
      </w:r>
      <w:r w:rsidRPr="00CB5050">
        <w:rPr>
          <w:rFonts w:eastAsia="Calibri"/>
        </w:rPr>
        <w:t xml:space="preserve">zaradi plačila </w:t>
      </w:r>
      <w:r w:rsidRPr="00CB5050">
        <w:rPr>
          <w:rFonts w:eastAsia="Calibri"/>
          <w:szCs w:val="22"/>
        </w:rPr>
        <w:t xml:space="preserve">odškodnine iz naslova odgovornosti Republike Slovenije za kršitve pravice do dostojanstva zaradi neprimernih pogojev bivanja v zavodih za prestajanje kazni zapora, in sicer predvsem iz naslova neprimernih pogojev bivanja v Zavodu za prestajanje kazni zapora Ljubljana. </w:t>
      </w:r>
    </w:p>
    <w:p w14:paraId="0F4A136C" w14:textId="77777777" w:rsidR="00695AE2" w:rsidRPr="00CB5050" w:rsidRDefault="00695AE2" w:rsidP="00695AE2">
      <w:pPr>
        <w:suppressAutoHyphens/>
        <w:spacing w:line="240" w:lineRule="auto"/>
        <w:jc w:val="both"/>
        <w:rPr>
          <w:rFonts w:eastAsia="Times New Roman"/>
          <w:szCs w:val="20"/>
          <w:lang w:eastAsia="sl-SI"/>
        </w:rPr>
      </w:pPr>
    </w:p>
    <w:p w14:paraId="27D7C8D1" w14:textId="77777777" w:rsidR="00695AE2" w:rsidRPr="00CB5050" w:rsidRDefault="00695AE2" w:rsidP="00695AE2">
      <w:pPr>
        <w:suppressAutoHyphens/>
        <w:spacing w:line="240" w:lineRule="auto"/>
        <w:jc w:val="both"/>
        <w:rPr>
          <w:rFonts w:eastAsia="Times New Roman"/>
          <w:szCs w:val="20"/>
          <w:lang w:eastAsia="sl-SI"/>
        </w:rPr>
      </w:pPr>
      <w:r w:rsidRPr="00CB5050">
        <w:rPr>
          <w:rFonts w:eastAsia="Times New Roman"/>
          <w:szCs w:val="20"/>
          <w:lang w:eastAsia="sl-SI"/>
        </w:rPr>
        <w:t xml:space="preserve">Država mora zagotoviti, da je oseba zaprta oziroma priprta v razmerah, ki so skladne s človeškim dostojanstvom, način izvedbe ukrepa pa te osebe ne sme privesti v tako stisko ali težke razmere, ki presegajo neizogibno raven trpljenja v zaporu oziroma priporu. </w:t>
      </w:r>
    </w:p>
    <w:p w14:paraId="1C3FB559" w14:textId="77777777" w:rsidR="00695AE2" w:rsidRPr="00CB5050" w:rsidRDefault="00695AE2" w:rsidP="00695AE2">
      <w:pPr>
        <w:suppressAutoHyphens/>
        <w:spacing w:line="240" w:lineRule="auto"/>
        <w:jc w:val="both"/>
        <w:rPr>
          <w:rFonts w:eastAsia="Times New Roman"/>
          <w:szCs w:val="20"/>
          <w:lang w:eastAsia="sl-SI"/>
        </w:rPr>
      </w:pPr>
    </w:p>
    <w:p w14:paraId="531CCC61"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szCs w:val="20"/>
          <w:lang w:eastAsia="sl-SI"/>
        </w:rPr>
        <w:t>S</w:t>
      </w:r>
      <w:r w:rsidRPr="00CB5050">
        <w:rPr>
          <w:rFonts w:eastAsia="Times New Roman"/>
          <w:lang w:eastAsia="sl-SI"/>
        </w:rPr>
        <w:t xml:space="preserve">odna praksa se je v zvezi z zahtevki zaradi neprimernih pogojev bivanja sicer že </w:t>
      </w:r>
      <w:r w:rsidRPr="00CB5050">
        <w:rPr>
          <w:rFonts w:eastAsia="Times New Roman"/>
          <w:szCs w:val="20"/>
          <w:lang w:eastAsia="sl-SI"/>
        </w:rPr>
        <w:t>oblikovala</w:t>
      </w:r>
      <w:r w:rsidRPr="00CB5050">
        <w:rPr>
          <w:rFonts w:eastAsia="Times New Roman"/>
          <w:lang w:eastAsia="sl-SI"/>
        </w:rPr>
        <w:t xml:space="preserve"> in Državno odvetništvo RS je predvsem v letih 2017 in 2018 tovrstne zahtevke že obravnavalo. Vendar pa se v zadevah, prejetih v letih 2024 in 2025,</w:t>
      </w:r>
      <w:r w:rsidRPr="00CB5050">
        <w:rPr>
          <w:rFonts w:eastAsia="Times New Roman"/>
          <w:szCs w:val="20"/>
          <w:lang w:eastAsia="sl-SI"/>
        </w:rPr>
        <w:t xml:space="preserve"> nakazujejo nekatere nove okoliščine, zato se predvideva, da bo Državno odvetništvo RS v sodelovanju z Upravo za izvrševanje kazenskih sankcij ter upoštevaje ustaljeno sodno prakso pristopilo k (pre)oblikovanju kriterijev, na podlagi katerih bi se eventualno lahko sklepale poravnave.</w:t>
      </w:r>
    </w:p>
    <w:p w14:paraId="12D99629" w14:textId="77777777" w:rsidR="00695AE2" w:rsidRPr="00CB5050" w:rsidRDefault="00695AE2" w:rsidP="00695AE2">
      <w:pPr>
        <w:tabs>
          <w:tab w:val="left" w:pos="6521"/>
        </w:tabs>
        <w:spacing w:line="240" w:lineRule="auto"/>
        <w:jc w:val="both"/>
        <w:rPr>
          <w:rFonts w:eastAsia="Calibri"/>
          <w:szCs w:val="22"/>
        </w:rPr>
      </w:pPr>
    </w:p>
    <w:p w14:paraId="40624C1B" w14:textId="77777777" w:rsidR="00695AE2" w:rsidRPr="00CB5050" w:rsidRDefault="00695AE2" w:rsidP="00695AE2">
      <w:pPr>
        <w:tabs>
          <w:tab w:val="left" w:pos="6521"/>
        </w:tabs>
        <w:spacing w:line="240" w:lineRule="auto"/>
        <w:jc w:val="both"/>
        <w:rPr>
          <w:rFonts w:eastAsia="Calibri"/>
          <w:szCs w:val="22"/>
        </w:rPr>
      </w:pPr>
      <w:r w:rsidRPr="00CB5050">
        <w:rPr>
          <w:rFonts w:eastAsia="Calibri"/>
          <w:szCs w:val="22"/>
        </w:rPr>
        <w:t xml:space="preserve">Vrhovno sodišče RS je v sodbi, opr. št. II Ips 84/2020 z dne 20. 1. 2021 zavzelo stališče, da se po sodni praksi Evropskega sodišča za človekove pravice domneva kršitve vzpostavi, kadar ima posameznik na voljo manj kot 3 m2 osebnega prostora; če ima na voljo 3–4 m2 prostora, pa je kršitev podana, če ta okoliščina sovpada še z drugimi neustreznimi okoliščinami bivanja; kadar pa je bivalni prostor večji od 4 m2, pomanjkanje prostora ni odločilen dejavnik in je kršitev podana le, če to narekujejo druge neustrezne razmere. Pri tem se Vrhovno sodišče RS sklicuje na zadevo, ki jo je obravnavalo Evropsko sodišče za človekove pravice, in sicer zadevo Muršić proti Hrvaški ter na svoje predhodne odločitve v zadevah opr. št. II Ips 45/2017 in II Ips 88/2017 ter na priporočila Odbora za preprečevanje mučenja in nehumanega ter </w:t>
      </w:r>
      <w:r w:rsidRPr="00CB5050">
        <w:rPr>
          <w:rFonts w:eastAsia="Calibri"/>
          <w:szCs w:val="22"/>
        </w:rPr>
        <w:lastRenderedPageBreak/>
        <w:t>poniževalnega ravnanja ali kaznovanja z dne 15. 12. 2015. Kot druge okoliščine bivanja, ki se upoštevajo pri presoji, Vrhovno sodišče RS izpostavlja predvsem možnost gibanja izven celice, prezračevanje, odhajanje na delo, sprehode, fitnes, druge prostočasne dejavnosti in podobne okoliščine, kar pomeni, da krog kompenzatornih okoliščin ni zaključen, pač pa eksemplifikativen. Kako druge okoliščine vplivajo na oceno ustreznosti bivanja, se presoja glede na okoliščine vsakokratnega konkretnega primera. Evropsko sodišče za človekove pravice v sodbi v zadevi Muršić proti Hrvaški z dne 20. 10. 2016 pojasnjuje metodologijo izračunavanja minimalnega osebnega prostora, dodeljenega zaporniku v skupinski sobi in se opira na metodologijo Odbora, ki določa, da izračun razpoložljivega prostora v sobi vključuje tudi prostor, ki ga zaseda pohištvo. Navedeni način izračuna osebnega prostora je uveljavljen tudi v naši sodni praksi.</w:t>
      </w:r>
    </w:p>
    <w:p w14:paraId="160E7DE7" w14:textId="77777777" w:rsidR="00695AE2" w:rsidRPr="00CB5050" w:rsidRDefault="00695AE2" w:rsidP="00695AE2">
      <w:pPr>
        <w:suppressAutoHyphens/>
        <w:spacing w:line="240" w:lineRule="auto"/>
        <w:jc w:val="both"/>
        <w:rPr>
          <w:rFonts w:eastAsia="Times New Roman"/>
          <w:szCs w:val="20"/>
          <w:lang w:eastAsia="sl-SI"/>
        </w:rPr>
      </w:pPr>
    </w:p>
    <w:p w14:paraId="4500D571"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na podlagi določbe 27. člena ZDOdv o predhodnem postopku poskusa mirne rešitve spora prejelo 150 predlogov za mirno rešitev spora iz naslova odškodnin zaradi neprimernih pogojev bivanja; do konca leta 2025 je bila izvensodna poravnava sklenjena v 36 zadevah. Iz tega naslova je bilo vloženih tudi 8 tožb. Skupni zahtevani znesek odškodnin v letu 2025 prejetih zadev iz naslova odgovornosti Republike Slovenije za kršitve pravice do dostojanstva zaradi neprimernih pogojev bivanja v zavodih za prestajanje kazni zapora znaša 7.896.806,30 evrov. </w:t>
      </w:r>
    </w:p>
    <w:p w14:paraId="4C0937AD" w14:textId="77777777" w:rsidR="00695AE2" w:rsidRPr="00CB5050" w:rsidRDefault="00695AE2" w:rsidP="00695AE2">
      <w:pPr>
        <w:spacing w:line="240" w:lineRule="auto"/>
        <w:jc w:val="both"/>
        <w:rPr>
          <w:rFonts w:eastAsia="Calibri"/>
          <w:szCs w:val="22"/>
        </w:rPr>
      </w:pPr>
    </w:p>
    <w:p w14:paraId="18A9C9B5"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zaradi selitve Zavoda za prestajanje kazni zapora Ljubljana v nove prostore v prihodnosti pričakuje zmanjšanje števila zadev iz tega naslova. </w:t>
      </w:r>
      <w:bookmarkEnd w:id="529"/>
    </w:p>
    <w:p w14:paraId="44ABE0C6" w14:textId="77777777" w:rsidR="00695AE2" w:rsidRPr="00CB5050" w:rsidRDefault="00695AE2" w:rsidP="00695AE2">
      <w:pPr>
        <w:spacing w:line="240" w:lineRule="auto"/>
        <w:jc w:val="both"/>
        <w:rPr>
          <w:rFonts w:eastAsia="Calibri"/>
          <w:szCs w:val="22"/>
        </w:rPr>
      </w:pPr>
    </w:p>
    <w:p w14:paraId="10DAD25E" w14:textId="77777777" w:rsidR="00695AE2" w:rsidRPr="00CB5050" w:rsidRDefault="00695AE2" w:rsidP="00695AE2">
      <w:pPr>
        <w:pStyle w:val="Naslov5"/>
      </w:pPr>
      <w:bookmarkStart w:id="531" w:name="_Toc191561913"/>
      <w:bookmarkStart w:id="532" w:name="_Toc223093908"/>
      <w:r w:rsidRPr="00CB5050">
        <w:t>Druge pomembnejše civilnopravne in gospodarskopravne zadeve</w:t>
      </w:r>
      <w:bookmarkEnd w:id="530"/>
      <w:bookmarkEnd w:id="531"/>
      <w:bookmarkEnd w:id="532"/>
      <w:r w:rsidRPr="00CB5050">
        <w:t xml:space="preserve"> </w:t>
      </w:r>
    </w:p>
    <w:p w14:paraId="35C509BC" w14:textId="77777777" w:rsidR="00695AE2" w:rsidRPr="00CB5050" w:rsidRDefault="00695AE2" w:rsidP="00695AE2">
      <w:pPr>
        <w:tabs>
          <w:tab w:val="left" w:pos="1440"/>
        </w:tabs>
        <w:spacing w:line="240" w:lineRule="auto"/>
        <w:jc w:val="both"/>
        <w:rPr>
          <w:rFonts w:eastAsia="Calibri"/>
          <w:color w:val="007466"/>
          <w:szCs w:val="22"/>
        </w:rPr>
      </w:pPr>
    </w:p>
    <w:p w14:paraId="631343DE" w14:textId="77777777" w:rsidR="00695AE2" w:rsidRPr="00CB5050" w:rsidRDefault="00695AE2" w:rsidP="00695AE2">
      <w:pPr>
        <w:tabs>
          <w:tab w:val="left" w:pos="1440"/>
        </w:tabs>
        <w:spacing w:line="240" w:lineRule="auto"/>
        <w:jc w:val="both"/>
        <w:rPr>
          <w:rFonts w:eastAsia="Calibri"/>
          <w:szCs w:val="22"/>
        </w:rPr>
      </w:pPr>
      <w:r w:rsidRPr="00CB5050">
        <w:rPr>
          <w:rFonts w:eastAsia="Calibri"/>
          <w:szCs w:val="22"/>
        </w:rPr>
        <w:t>Državno odvetništvo RS je v letu 2025 prejelo 8 zadev</w:t>
      </w:r>
      <w:r w:rsidRPr="00CB5050">
        <w:rPr>
          <w:rFonts w:eastAsia="Calibri"/>
          <w:color w:val="007466"/>
          <w:szCs w:val="22"/>
        </w:rPr>
        <w:t xml:space="preserve"> iz naslova izpolnitve pogodb</w:t>
      </w:r>
      <w:r w:rsidRPr="00CB5050">
        <w:rPr>
          <w:rFonts w:eastAsia="Calibri"/>
          <w:szCs w:val="22"/>
        </w:rPr>
        <w:t xml:space="preserve">, v katerih je višina zahtevkov 5.385.109,93 evra. </w:t>
      </w:r>
    </w:p>
    <w:p w14:paraId="751F7BEE" w14:textId="77777777" w:rsidR="00695AE2" w:rsidRPr="00CB5050" w:rsidRDefault="00695AE2" w:rsidP="00695AE2">
      <w:pPr>
        <w:tabs>
          <w:tab w:val="left" w:pos="1440"/>
        </w:tabs>
        <w:spacing w:line="240" w:lineRule="auto"/>
        <w:jc w:val="both"/>
        <w:rPr>
          <w:rFonts w:eastAsia="Calibri"/>
          <w:szCs w:val="22"/>
        </w:rPr>
      </w:pPr>
    </w:p>
    <w:p w14:paraId="53E242F6" w14:textId="77777777" w:rsidR="00695AE2" w:rsidRPr="00CB5050" w:rsidRDefault="00695AE2" w:rsidP="00695AE2">
      <w:pPr>
        <w:tabs>
          <w:tab w:val="left" w:pos="1440"/>
        </w:tabs>
        <w:spacing w:line="240" w:lineRule="auto"/>
        <w:jc w:val="both"/>
        <w:rPr>
          <w:rFonts w:eastAsia="Calibri"/>
          <w:b/>
          <w:bCs/>
          <w:i/>
          <w:iCs/>
          <w:szCs w:val="22"/>
        </w:rPr>
      </w:pPr>
      <w:r w:rsidRPr="00CB5050">
        <w:rPr>
          <w:rFonts w:eastAsia="Calibri"/>
          <w:szCs w:val="22"/>
        </w:rPr>
        <w:t xml:space="preserve">V letu 2025 je Državno odvetništvo RS </w:t>
      </w:r>
      <w:r w:rsidRPr="00CB5050">
        <w:rPr>
          <w:rFonts w:eastAsia="Calibri"/>
          <w:color w:val="007466"/>
          <w:szCs w:val="22"/>
        </w:rPr>
        <w:t>iz naslova določitve deleža na skupnem premoženju zaradi izterjave davčnih in nedavčnih terjatev</w:t>
      </w:r>
      <w:r w:rsidRPr="00CB5050">
        <w:rPr>
          <w:rFonts w:eastAsia="Calibri"/>
          <w:szCs w:val="22"/>
        </w:rPr>
        <w:t>, v katerih Finančna uprava RS zaradi poplačila davčnih in nedavčnih terjatev predlaga vložitev tožb na ničnosti oziroma razveljavitve kompleksnih pravnih pogodb in pravnih razmerij, prejelo 13 zadev.</w:t>
      </w:r>
    </w:p>
    <w:p w14:paraId="2A2FA79E" w14:textId="77777777" w:rsidR="00695AE2" w:rsidRPr="00CB5050" w:rsidRDefault="00695AE2" w:rsidP="00695AE2">
      <w:pPr>
        <w:spacing w:line="240" w:lineRule="auto"/>
        <w:jc w:val="both"/>
        <w:rPr>
          <w:rFonts w:eastAsia="Calibri"/>
        </w:rPr>
      </w:pPr>
    </w:p>
    <w:p w14:paraId="013E207C" w14:textId="77777777" w:rsidR="00695AE2" w:rsidRPr="00CB5050" w:rsidRDefault="00695AE2" w:rsidP="00695AE2">
      <w:pPr>
        <w:pStyle w:val="Jasna"/>
        <w:rPr>
          <w:szCs w:val="22"/>
        </w:rPr>
      </w:pPr>
      <w:r w:rsidRPr="00CB5050">
        <w:t xml:space="preserve">Pomemben delež zadev so tudi </w:t>
      </w:r>
      <w:r w:rsidRPr="00CB5050">
        <w:rPr>
          <w:color w:val="007466"/>
        </w:rPr>
        <w:t>zadeve, povezane z lastninsko pravico Republike Slovenije na nepremičninah</w:t>
      </w:r>
      <w:r w:rsidRPr="00CB5050">
        <w:t>. V letu 2025 je Državno odvetništvo RS prejelo 84 tovrstnih zadev.</w:t>
      </w:r>
      <w:bookmarkStart w:id="533" w:name="_Toc168844926"/>
      <w:bookmarkStart w:id="534" w:name="_Toc191561911"/>
      <w:r w:rsidRPr="00CB5050">
        <w:rPr>
          <w:szCs w:val="22"/>
        </w:rPr>
        <w:t xml:space="preserve"> </w:t>
      </w:r>
    </w:p>
    <w:p w14:paraId="4770DE7B" w14:textId="77777777" w:rsidR="00695AE2" w:rsidRPr="00CB5050" w:rsidRDefault="00695AE2" w:rsidP="00695AE2">
      <w:pPr>
        <w:pStyle w:val="Jasna"/>
      </w:pPr>
    </w:p>
    <w:bookmarkEnd w:id="533"/>
    <w:bookmarkEnd w:id="534"/>
    <w:p w14:paraId="5013FFAF" w14:textId="77777777" w:rsidR="00695AE2" w:rsidRPr="00CB5050" w:rsidRDefault="00695AE2" w:rsidP="00695AE2">
      <w:pPr>
        <w:tabs>
          <w:tab w:val="left" w:pos="1440"/>
        </w:tabs>
        <w:spacing w:line="240" w:lineRule="auto"/>
        <w:jc w:val="both"/>
        <w:rPr>
          <w:rFonts w:eastAsia="Calibri"/>
          <w:szCs w:val="22"/>
        </w:rPr>
      </w:pPr>
      <w:r w:rsidRPr="00CB5050">
        <w:rPr>
          <w:rFonts w:eastAsia="Calibri"/>
          <w:szCs w:val="22"/>
        </w:rPr>
        <w:t xml:space="preserve">Zaradi kompleksnosti vsebine, dejanskega stanja in vrednosti spora je treba opozoriti tudi na zadeve </w:t>
      </w:r>
      <w:r w:rsidRPr="00CB5050">
        <w:rPr>
          <w:rFonts w:eastAsia="Calibri"/>
          <w:color w:val="007466"/>
          <w:szCs w:val="22"/>
        </w:rPr>
        <w:t>iz naslova gradbenih pogodb.</w:t>
      </w:r>
      <w:r w:rsidRPr="00CB5050">
        <w:rPr>
          <w:rFonts w:eastAsia="Calibri"/>
          <w:szCs w:val="22"/>
        </w:rPr>
        <w:t xml:space="preserve"> V letu 2025 je bilo prejetih 5 tovrstnih zadev, v katerih je višina zahtevkov 34.165.483,11 evra. </w:t>
      </w:r>
    </w:p>
    <w:p w14:paraId="2A44AA34" w14:textId="77777777" w:rsidR="00695AE2" w:rsidRPr="00CB5050" w:rsidRDefault="00695AE2" w:rsidP="00695AE2">
      <w:pPr>
        <w:spacing w:line="240" w:lineRule="auto"/>
        <w:jc w:val="both"/>
        <w:rPr>
          <w:rFonts w:eastAsia="Calibri"/>
          <w:bCs/>
          <w:sz w:val="28"/>
          <w:szCs w:val="28"/>
        </w:rPr>
      </w:pPr>
    </w:p>
    <w:p w14:paraId="27424743" w14:textId="77777777" w:rsidR="00695AE2" w:rsidRPr="00CB5050" w:rsidRDefault="00695AE2" w:rsidP="00695AE2">
      <w:pPr>
        <w:pStyle w:val="Naslov3"/>
      </w:pPr>
      <w:bookmarkStart w:id="535" w:name="_Toc95149717"/>
      <w:bookmarkStart w:id="536" w:name="_Toc168844930"/>
      <w:bookmarkStart w:id="537" w:name="_Toc191561914"/>
      <w:bookmarkStart w:id="538" w:name="_Toc223093909"/>
      <w:r w:rsidRPr="00CB5050">
        <w:t>Statistični podatki</w:t>
      </w:r>
      <w:bookmarkEnd w:id="535"/>
      <w:bookmarkEnd w:id="536"/>
      <w:bookmarkEnd w:id="537"/>
      <w:bookmarkEnd w:id="538"/>
    </w:p>
    <w:p w14:paraId="34B49BEC" w14:textId="77777777" w:rsidR="00695AE2" w:rsidRPr="00CB5050" w:rsidRDefault="00695AE2" w:rsidP="00695AE2">
      <w:pPr>
        <w:spacing w:line="240" w:lineRule="auto"/>
        <w:rPr>
          <w:rFonts w:eastAsia="Calibri"/>
          <w:sz w:val="28"/>
          <w:szCs w:val="28"/>
        </w:rPr>
      </w:pPr>
    </w:p>
    <w:p w14:paraId="0FCE8A9F"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V letu 2025 je Državno odvetništvo RS prejelo 847 novih civilnopravnih in gospodarskih zadev, v delu pa je imelo 2.142 zadev. Zaključilo je 906 zadev, na dan 31. 12. 2025 je bilo odprtih 1.236 zadev.</w:t>
      </w:r>
    </w:p>
    <w:p w14:paraId="01A8C018" w14:textId="77777777" w:rsidR="00695AE2" w:rsidRPr="00CB5050" w:rsidRDefault="00695AE2" w:rsidP="00695AE2">
      <w:pPr>
        <w:spacing w:line="240" w:lineRule="auto"/>
        <w:jc w:val="both"/>
        <w:rPr>
          <w:rFonts w:eastAsia="Calibri"/>
          <w:color w:val="FF0000"/>
          <w:sz w:val="28"/>
          <w:szCs w:val="28"/>
        </w:rPr>
      </w:pPr>
    </w:p>
    <w:p w14:paraId="41DE1363" w14:textId="77777777" w:rsidR="00695AE2" w:rsidRPr="00CB5050" w:rsidRDefault="00695AE2" w:rsidP="00695AE2">
      <w:pPr>
        <w:pStyle w:val="Naslov3"/>
      </w:pPr>
      <w:bookmarkStart w:id="539" w:name="_Toc95149718"/>
      <w:bookmarkStart w:id="540" w:name="_Toc168844931"/>
      <w:bookmarkStart w:id="541" w:name="_Toc191561915"/>
      <w:bookmarkStart w:id="542" w:name="_Toc223093910"/>
      <w:r w:rsidRPr="00CB5050">
        <w:lastRenderedPageBreak/>
        <w:t>Analiza primerjalnih vrednosti</w:t>
      </w:r>
      <w:bookmarkEnd w:id="539"/>
      <w:bookmarkEnd w:id="540"/>
      <w:bookmarkEnd w:id="541"/>
      <w:bookmarkEnd w:id="542"/>
    </w:p>
    <w:p w14:paraId="7F9A9F6B" w14:textId="77777777" w:rsidR="00695AE2" w:rsidRPr="00CB5050" w:rsidRDefault="00695AE2" w:rsidP="00695AE2">
      <w:pPr>
        <w:spacing w:line="240" w:lineRule="auto"/>
        <w:rPr>
          <w:rFonts w:eastAsia="Calibri"/>
          <w:sz w:val="28"/>
          <w:szCs w:val="28"/>
        </w:rPr>
      </w:pPr>
    </w:p>
    <w:p w14:paraId="69E2CB19"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V letu 2025 je Državno odvetništvo RS </w:t>
      </w:r>
      <w:r w:rsidRPr="00CB5050">
        <w:rPr>
          <w:rFonts w:eastAsia="Calibri"/>
          <w:szCs w:val="22"/>
        </w:rPr>
        <w:t>prejelo</w:t>
      </w:r>
      <w:r w:rsidRPr="00CB5050">
        <w:rPr>
          <w:rFonts w:eastAsia="Calibri"/>
          <w:color w:val="000000"/>
          <w:szCs w:val="22"/>
        </w:rPr>
        <w:t xml:space="preserve"> 847 novih civilnopravnih in gospodarskih zadev, kar je 26,79 odstotka manj kot v letu 2024, ko je </w:t>
      </w:r>
      <w:r w:rsidRPr="00CB5050">
        <w:rPr>
          <w:rFonts w:eastAsia="Calibri"/>
          <w:szCs w:val="22"/>
        </w:rPr>
        <w:t xml:space="preserve">tovrstnih zadev </w:t>
      </w:r>
      <w:r w:rsidRPr="00CB5050">
        <w:rPr>
          <w:rFonts w:eastAsia="Calibri"/>
          <w:color w:val="000000"/>
          <w:szCs w:val="22"/>
        </w:rPr>
        <w:t xml:space="preserve">prejelo 1.157. </w:t>
      </w:r>
    </w:p>
    <w:p w14:paraId="3C966868"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71302DF4" w14:textId="77777777" w:rsidR="00695AE2" w:rsidRPr="00CB5050" w:rsidRDefault="00695AE2" w:rsidP="00695AE2">
      <w:pPr>
        <w:spacing w:line="240" w:lineRule="auto"/>
        <w:rPr>
          <w:rFonts w:eastAsia="Calibri"/>
          <w:b/>
          <w:bCs/>
          <w:color w:val="007466"/>
          <w:sz w:val="20"/>
          <w:szCs w:val="20"/>
        </w:rPr>
      </w:pPr>
      <w:r w:rsidRPr="00CB5050">
        <w:rPr>
          <w:rFonts w:eastAsia="Calibri"/>
          <w:b/>
          <w:bCs/>
          <w:color w:val="007466"/>
          <w:sz w:val="20"/>
          <w:szCs w:val="20"/>
        </w:rPr>
        <w:t>Grafikon: Število prejetih novih zadev na civilnopravnem in gospodarskem področju v obdobju 2021 – 2025</w:t>
      </w:r>
    </w:p>
    <w:p w14:paraId="605FD11D"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 w:val="20"/>
          <w:szCs w:val="20"/>
        </w:rPr>
      </w:pPr>
    </w:p>
    <w:p w14:paraId="56E63FE4" w14:textId="77777777" w:rsidR="00695AE2" w:rsidRPr="00CB5050" w:rsidRDefault="00695AE2" w:rsidP="00695AE2">
      <w:pPr>
        <w:spacing w:line="240" w:lineRule="auto"/>
        <w:ind w:firstLine="708"/>
        <w:jc w:val="center"/>
        <w:rPr>
          <w:rFonts w:eastAsia="Calibri"/>
          <w:szCs w:val="22"/>
        </w:rPr>
      </w:pPr>
      <w:r w:rsidRPr="00CB5050">
        <w:rPr>
          <w:rFonts w:eastAsia="Calibri"/>
          <w:noProof/>
          <w:szCs w:val="22"/>
        </w:rPr>
        <w:drawing>
          <wp:inline distT="0" distB="0" distL="0" distR="0" wp14:anchorId="1BBA625A" wp14:editId="585BE91E">
            <wp:extent cx="4584700" cy="2755900"/>
            <wp:effectExtent l="0" t="0" r="6350" b="6350"/>
            <wp:docPr id="468947325" name="Slika 1"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7325" name="Slika 1" descr="Slika, ki vsebuje besede besedilo, posnetek zaslona, pravokotnik, številka&#10;&#10;Vsebina, ustvarjena z UI, morda ni pravil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2DFF6B" w14:textId="77777777" w:rsidR="00695AE2" w:rsidRPr="00CB5050" w:rsidRDefault="00695AE2" w:rsidP="00695AE2">
      <w:pPr>
        <w:spacing w:line="240" w:lineRule="auto"/>
        <w:jc w:val="both"/>
        <w:rPr>
          <w:rFonts w:eastAsia="Calibri"/>
          <w:szCs w:val="22"/>
        </w:rPr>
      </w:pPr>
    </w:p>
    <w:p w14:paraId="31AC93CC" w14:textId="77777777" w:rsidR="00695AE2" w:rsidRPr="00CB5050" w:rsidRDefault="00695AE2" w:rsidP="00695AE2">
      <w:pPr>
        <w:spacing w:line="240" w:lineRule="auto"/>
        <w:jc w:val="both"/>
        <w:rPr>
          <w:rFonts w:eastAsia="Calibri"/>
          <w:szCs w:val="22"/>
        </w:rPr>
      </w:pPr>
      <w:r w:rsidRPr="00CB5050">
        <w:rPr>
          <w:rFonts w:eastAsia="Calibri"/>
          <w:szCs w:val="22"/>
        </w:rPr>
        <w:t>V letu 2025 se je število prejetih civilnopravnih in gospodarskih zadev, ki vključuje tako prejete zadeve v predhodnih postopkih kot tudi sodnih postopkih, v katerih Republika Slovenija nastopa kot tožeča stranka, tožena stranka ali kot stranski intervenient, v primerjavi z letom 2024 zmanjšalo (do bistvenega odstopa navzgor v številu prejetih zadev v letu 2024 je prišlo zaradi kar 470 vloženih zahtevkov sodnikov iz naslova zaradi v odločbi Ustavnega sodišča Republike Slovenije št. U-I-772/21-34 z dne 1. 6. 2023 ugotovljenega neskladja sodniških plač), v primerjavi z drugimi leti znotraj petletnega obdobja spremljanja pa je nekoliko višje.</w:t>
      </w:r>
    </w:p>
    <w:p w14:paraId="44AED07A" w14:textId="77777777" w:rsidR="00695AE2" w:rsidRPr="00CB5050" w:rsidRDefault="00695AE2" w:rsidP="00695AE2">
      <w:pPr>
        <w:spacing w:line="240" w:lineRule="auto"/>
        <w:jc w:val="both"/>
        <w:rPr>
          <w:rFonts w:eastAsia="Calibri"/>
          <w:szCs w:val="22"/>
        </w:rPr>
      </w:pPr>
    </w:p>
    <w:p w14:paraId="0180AA39"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Civilnopravnih in gospodarskih zadev je imelo Državno odvetništvo RS v letu 2025 </w:t>
      </w:r>
      <w:r w:rsidRPr="00CB5050">
        <w:rPr>
          <w:rFonts w:eastAsia="Calibri"/>
          <w:szCs w:val="22"/>
        </w:rPr>
        <w:t>v delu 2</w:t>
      </w:r>
      <w:r w:rsidRPr="00CB5050">
        <w:rPr>
          <w:rFonts w:eastAsia="Calibri"/>
          <w:color w:val="000000"/>
          <w:szCs w:val="22"/>
        </w:rPr>
        <w:t xml:space="preserve">.142, kar je 6,34 odstotka manj kot v letu 2024, ko je obravnavalo 2.287 zadev. </w:t>
      </w:r>
    </w:p>
    <w:p w14:paraId="400EEE4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17D7DBA9"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szCs w:val="22"/>
        </w:rPr>
        <w:t>Zaključilo</w:t>
      </w:r>
      <w:r w:rsidRPr="00CB5050">
        <w:rPr>
          <w:rFonts w:eastAsia="Calibri"/>
          <w:color w:val="000000"/>
          <w:szCs w:val="22"/>
        </w:rPr>
        <w:t xml:space="preserve"> je 906 zadev, kar je 14,04 odstotka manj kot v letu 2024, ko je zaključilo 1.054 zadev. </w:t>
      </w:r>
    </w:p>
    <w:p w14:paraId="4F12945F"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p>
    <w:p w14:paraId="16D2E04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Cs w:val="22"/>
        </w:rPr>
      </w:pPr>
      <w:r w:rsidRPr="00CB5050">
        <w:rPr>
          <w:rFonts w:eastAsia="Calibri"/>
          <w:color w:val="000000"/>
          <w:szCs w:val="22"/>
        </w:rPr>
        <w:t xml:space="preserve">V leto 2025 se je preneslo 1.236 zadev, kolikor je bilo </w:t>
      </w:r>
      <w:r w:rsidRPr="00CB5050">
        <w:rPr>
          <w:rFonts w:eastAsia="Calibri"/>
          <w:szCs w:val="22"/>
        </w:rPr>
        <w:t>odprtih na dan 31. 12. 2024</w:t>
      </w:r>
      <w:r w:rsidRPr="00CB5050">
        <w:rPr>
          <w:rFonts w:eastAsia="Calibri"/>
          <w:color w:val="000000"/>
          <w:szCs w:val="22"/>
        </w:rPr>
        <w:t>, kar je 0,24 odstotka več, kot se je zadev preneslo v leto 2025, ko se jih je preneslo 1.233.</w:t>
      </w:r>
    </w:p>
    <w:p w14:paraId="32F29627"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 w:val="28"/>
          <w:szCs w:val="28"/>
        </w:rPr>
      </w:pPr>
    </w:p>
    <w:p w14:paraId="1F771CE7" w14:textId="77777777" w:rsidR="00695AE2" w:rsidRPr="00CB5050" w:rsidRDefault="00695AE2" w:rsidP="00695AE2">
      <w:pPr>
        <w:pStyle w:val="Naslov3"/>
      </w:pPr>
      <w:bookmarkStart w:id="543" w:name="_Toc95149719"/>
      <w:bookmarkStart w:id="544" w:name="_Toc168844932"/>
      <w:bookmarkStart w:id="545" w:name="_Toc191561916"/>
      <w:bookmarkStart w:id="546" w:name="_Toc223093911"/>
      <w:r w:rsidRPr="00CB5050">
        <w:t>Ukrepi za obvladovanje zadev in priporočila Državnega odvetništva RS</w:t>
      </w:r>
      <w:bookmarkEnd w:id="543"/>
      <w:bookmarkEnd w:id="544"/>
      <w:bookmarkEnd w:id="545"/>
      <w:bookmarkEnd w:id="546"/>
    </w:p>
    <w:p w14:paraId="379C8F61" w14:textId="77777777" w:rsidR="00695AE2" w:rsidRPr="00CB5050" w:rsidRDefault="00695AE2" w:rsidP="00695AE2">
      <w:pPr>
        <w:spacing w:line="240" w:lineRule="auto"/>
        <w:jc w:val="both"/>
        <w:rPr>
          <w:rFonts w:eastAsia="Times New Roman"/>
          <w:szCs w:val="22"/>
        </w:rPr>
      </w:pPr>
    </w:p>
    <w:p w14:paraId="0C353E54" w14:textId="77777777" w:rsidR="00695AE2" w:rsidRPr="00CB5050" w:rsidRDefault="00695AE2" w:rsidP="00695AE2">
      <w:pPr>
        <w:pStyle w:val="Naslov4"/>
      </w:pPr>
      <w:bookmarkStart w:id="547" w:name="_Toc168844933"/>
      <w:bookmarkStart w:id="548" w:name="_Toc191561917"/>
      <w:bookmarkStart w:id="549" w:name="_Toc223093912"/>
      <w:r w:rsidRPr="00CB5050">
        <w:t>Uvod</w:t>
      </w:r>
      <w:bookmarkEnd w:id="547"/>
      <w:bookmarkEnd w:id="548"/>
      <w:bookmarkEnd w:id="549"/>
    </w:p>
    <w:p w14:paraId="71A4D7EE" w14:textId="77777777" w:rsidR="00695AE2" w:rsidRPr="00CB5050" w:rsidRDefault="00695AE2" w:rsidP="00695AE2">
      <w:pPr>
        <w:spacing w:line="240" w:lineRule="auto"/>
        <w:jc w:val="both"/>
        <w:rPr>
          <w:rFonts w:eastAsia="Times New Roman"/>
          <w:szCs w:val="22"/>
        </w:rPr>
      </w:pPr>
    </w:p>
    <w:p w14:paraId="5BFCC73C"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Državno odvetništvo RS namenja veliko pozornosti kakovosti dela in usklajenemu delovanju. Nekatere vsebine zaradi zahtevnosti oziroma kompleksnosti pravne problematike terjajo še posebej celovito in sistematično obravnavo. Tako najtežje zadeve skupaj rešuje večje število državnih odvetnikov, v primerih večjega števila zahtevkov iz enake ali podobne dejanske ali </w:t>
      </w:r>
      <w:r w:rsidRPr="00CB5050">
        <w:rPr>
          <w:rFonts w:eastAsia="Times New Roman"/>
          <w:szCs w:val="22"/>
        </w:rPr>
        <w:lastRenderedPageBreak/>
        <w:t>pravne podlage pa generalni državni odvetnik ravna na podlagi prvega odstavka 14. člena Pravilnika o poslovanju državnega odvetništva, ki določa, da zaradi usklajevanja dela in učinkovitega opravljanja zadev z delovnega področja državnega odvetništva, sprejemanja pravnih stališč do posameznih pravnih vprašanj, usklajevanja dela posameznih oddelkov, izboljšanja metode dela, strokovnega izpopolnjevanja in drugih vprašanj, ki so pomembna za delo državnega odvetništva, sklicuje kolegij državnega odvetništva ter sestanke enega, več ali vseh oddelkov ali drugih organizacijskih enot ter imenuje stalne ali občasne delovne skupine, ustanovi posebne stalne ali občasne delovne skupine, ki skrbijo za poenoteno delo in v okviru katerih se usklajuje obravnava posameznih zadev ter spremlja sodna praksa področja, na katerem je bila delovna skupina ustanovljena. Obravnava posameznih področij na delovnih skupinah tako še pripomore k strokovno poglobljenemu in kakovostnemu zastopanju Republike Slovenije</w:t>
      </w:r>
      <w:r w:rsidRPr="00CB5050">
        <w:rPr>
          <w:rFonts w:eastAsia="Calibri"/>
          <w:szCs w:val="22"/>
        </w:rPr>
        <w:t>.</w:t>
      </w:r>
      <w:r w:rsidRPr="00CB5050">
        <w:rPr>
          <w:rFonts w:eastAsia="Times New Roman"/>
          <w:szCs w:val="22"/>
        </w:rPr>
        <w:t xml:space="preserve"> </w:t>
      </w:r>
      <w:r w:rsidRPr="00CB5050">
        <w:rPr>
          <w:rFonts w:eastAsia="Calibri"/>
          <w:szCs w:val="22"/>
        </w:rPr>
        <w:t xml:space="preserve">Strokovnost dela na civilnopravnem in gospodarskopravnem področju se zagotavlja tudi z rednim pregledom sodne prakse. </w:t>
      </w:r>
    </w:p>
    <w:p w14:paraId="0B7439B8" w14:textId="77777777" w:rsidR="00695AE2" w:rsidRPr="00CB5050" w:rsidRDefault="00695AE2" w:rsidP="00695AE2">
      <w:pPr>
        <w:spacing w:line="240" w:lineRule="auto"/>
        <w:jc w:val="both"/>
        <w:rPr>
          <w:rFonts w:eastAsia="Calibri"/>
          <w:szCs w:val="22"/>
        </w:rPr>
      </w:pPr>
    </w:p>
    <w:p w14:paraId="04D6F10F" w14:textId="77777777" w:rsidR="00695AE2" w:rsidRPr="00CB5050" w:rsidRDefault="00695AE2" w:rsidP="00695AE2">
      <w:pPr>
        <w:spacing w:line="240" w:lineRule="auto"/>
        <w:jc w:val="both"/>
        <w:rPr>
          <w:rFonts w:eastAsia="Times New Roman"/>
          <w:szCs w:val="22"/>
        </w:rPr>
      </w:pPr>
      <w:r w:rsidRPr="00CB5050">
        <w:rPr>
          <w:rFonts w:eastAsia="Times New Roman"/>
          <w:szCs w:val="22"/>
        </w:rPr>
        <w:t>V naslednjih podpoglavjih so podrobneje predstavljena tista civilnopravna in gospodarskopravna področja dela, na katerih so bile delovne skupine v letu 2025 še posebej aktivne, v nadaljevanju pa so predstavljeni tudi nekateri predlogi Državnega odvetništva RS v zvezi s problematiko, na katero je Državno odvetništvo RS naletelo pri obravnavi zadev z v tem poglavju obravnavanega delovnega področja in je zaradi pomembnosti smiselno, da je predstavljena tudi v predmetnem poročilu o delu.</w:t>
      </w:r>
    </w:p>
    <w:p w14:paraId="44EA7C2E" w14:textId="77777777" w:rsidR="00695AE2" w:rsidRPr="00CB5050" w:rsidRDefault="00695AE2" w:rsidP="00695AE2">
      <w:pPr>
        <w:spacing w:line="240" w:lineRule="auto"/>
        <w:jc w:val="both"/>
        <w:rPr>
          <w:rFonts w:eastAsia="Times New Roman"/>
          <w:szCs w:val="22"/>
        </w:rPr>
      </w:pPr>
    </w:p>
    <w:p w14:paraId="72AABF3C" w14:textId="77777777" w:rsidR="00695AE2" w:rsidRPr="00CB5050" w:rsidRDefault="00695AE2" w:rsidP="00695AE2">
      <w:pPr>
        <w:pStyle w:val="Naslov4"/>
        <w:ind w:left="0" w:firstLine="0"/>
      </w:pPr>
      <w:bookmarkStart w:id="550" w:name="_Toc168844934"/>
      <w:bookmarkStart w:id="551" w:name="_Toc191561918"/>
      <w:bookmarkStart w:id="552" w:name="_Toc223093913"/>
      <w:r w:rsidRPr="00CB5050">
        <w:t>Zadeve na podlagi Zakona o odpravi krivic zaradi izbrisa pravnih oseb iz sodnega registra v obdobju od 23. julija 1999 do 15. januarja 2008</w:t>
      </w:r>
      <w:bookmarkEnd w:id="550"/>
      <w:bookmarkEnd w:id="551"/>
      <w:bookmarkEnd w:id="552"/>
      <w:r w:rsidRPr="00CB5050">
        <w:t xml:space="preserve"> </w:t>
      </w:r>
    </w:p>
    <w:p w14:paraId="1B77486D" w14:textId="77777777" w:rsidR="00695AE2" w:rsidRPr="00CB5050" w:rsidRDefault="00695AE2" w:rsidP="00695AE2">
      <w:pPr>
        <w:pStyle w:val="Jasna"/>
      </w:pPr>
    </w:p>
    <w:p w14:paraId="4A22392A" w14:textId="77777777" w:rsidR="00695AE2" w:rsidRPr="00CB5050" w:rsidRDefault="00695AE2" w:rsidP="00695AE2">
      <w:pPr>
        <w:pStyle w:val="Naslov5"/>
      </w:pPr>
      <w:bookmarkStart w:id="553" w:name="_Toc223093914"/>
      <w:r w:rsidRPr="00CB5050">
        <w:t>Pravna problematika</w:t>
      </w:r>
      <w:bookmarkEnd w:id="553"/>
      <w:r w:rsidRPr="00CB5050">
        <w:t xml:space="preserve"> </w:t>
      </w:r>
    </w:p>
    <w:p w14:paraId="1DF7E99C" w14:textId="77777777" w:rsidR="00695AE2" w:rsidRPr="00CB5050" w:rsidRDefault="00695AE2" w:rsidP="00695AE2">
      <w:pPr>
        <w:spacing w:line="240" w:lineRule="auto"/>
        <w:jc w:val="both"/>
        <w:rPr>
          <w:rFonts w:eastAsia="Calibri"/>
        </w:rPr>
      </w:pPr>
    </w:p>
    <w:p w14:paraId="4AC9C7FC" w14:textId="77777777" w:rsidR="00695AE2" w:rsidRPr="00CB5050" w:rsidRDefault="00695AE2" w:rsidP="00695AE2">
      <w:pPr>
        <w:spacing w:line="240" w:lineRule="auto"/>
        <w:jc w:val="both"/>
        <w:rPr>
          <w:rFonts w:eastAsia="Calibri"/>
        </w:rPr>
      </w:pPr>
      <w:r w:rsidRPr="00CB5050">
        <w:rPr>
          <w:rFonts w:eastAsia="Calibri"/>
        </w:rPr>
        <w:t xml:space="preserve">ZOKIPOSR določa pravico do povračila škode, ki je upravičencem nastala zaradi prenosa obveznosti kapitalskih družb, ki so bile izbrisane iz sodnega registra na podlagi Zakona o finančnem poslovanju podjetij (ZFPPod) od 23. julija 1999 do 15. januarja 2008. </w:t>
      </w:r>
    </w:p>
    <w:p w14:paraId="3A09DEDF" w14:textId="77777777" w:rsidR="00695AE2" w:rsidRPr="00CB5050" w:rsidRDefault="00695AE2" w:rsidP="00695AE2">
      <w:pPr>
        <w:spacing w:line="240" w:lineRule="auto"/>
        <w:jc w:val="both"/>
        <w:rPr>
          <w:rFonts w:eastAsia="Times New Roman"/>
          <w:lang w:eastAsia="sl-SI"/>
        </w:rPr>
      </w:pPr>
    </w:p>
    <w:p w14:paraId="27B7E010" w14:textId="77777777" w:rsidR="00695AE2" w:rsidRPr="00CB5050" w:rsidRDefault="00695AE2" w:rsidP="00695AE2">
      <w:pPr>
        <w:widowControl w:val="0"/>
        <w:tabs>
          <w:tab w:val="left" w:pos="1620"/>
        </w:tabs>
        <w:spacing w:line="240" w:lineRule="auto"/>
        <w:jc w:val="both"/>
        <w:rPr>
          <w:rFonts w:eastAsia="Calibri"/>
          <w:bCs/>
        </w:rPr>
      </w:pPr>
      <w:r w:rsidRPr="00CB5050">
        <w:rPr>
          <w:rFonts w:eastAsia="Calibri"/>
          <w:bCs/>
          <w:color w:val="000000"/>
        </w:rPr>
        <w:t xml:space="preserve">Državno odvetništvo RS se </w:t>
      </w:r>
      <w:r w:rsidRPr="00CB5050">
        <w:rPr>
          <w:rFonts w:eastAsia="Calibri"/>
          <w:bCs/>
        </w:rPr>
        <w:t xml:space="preserve">v vseh postopkih </w:t>
      </w:r>
      <w:r w:rsidRPr="00CB5050">
        <w:rPr>
          <w:rFonts w:eastAsia="Calibri"/>
          <w:bCs/>
          <w:color w:val="000000"/>
        </w:rPr>
        <w:t xml:space="preserve">zavzema, da </w:t>
      </w:r>
      <w:r w:rsidRPr="00CB5050">
        <w:rPr>
          <w:rFonts w:eastAsia="Calibri"/>
          <w:bCs/>
        </w:rPr>
        <w:t>bodo na isti zakonski podlagi vsi upravičenci (upniki in družbeniki) obravnavani enako, saj gre za primerljive zadeve, za katere velja ZOKIPOSR. Potrebno je namreč izhajati iz tega, da pri izvrševanju zakona ne bo prišlo do novih kršitev ustavnih pravic; ZOKIPOSR je zato treba razlagati na način, ki bo ustavno skladen. Upoštevaje ustavno odločbo</w:t>
      </w:r>
      <w:r w:rsidRPr="00CB5050">
        <w:rPr>
          <w:rFonts w:eastAsia="Calibri"/>
          <w:bCs/>
          <w:color w:val="000000"/>
        </w:rPr>
        <w:t xml:space="preserve"> </w:t>
      </w:r>
      <w:r w:rsidRPr="00CB5050">
        <w:rPr>
          <w:rFonts w:eastAsia="Calibri"/>
          <w:bCs/>
          <w:color w:val="000000"/>
          <w:vertAlign w:val="superscript"/>
        </w:rPr>
        <w:footnoteReference w:id="14"/>
      </w:r>
      <w:r w:rsidRPr="00CB5050">
        <w:rPr>
          <w:rFonts w:eastAsia="Calibri"/>
          <w:bCs/>
        </w:rPr>
        <w:t>, v kateri se je Ustavno sodišče opredelilo, da se ZOKIPOSR kljub nejasnostim da razlagati, Državno odvetništvo RS v vseh postopkih, ki tečejo pred rednimi sodišči, ki bodo v prvi vrsti pristojna za razlago, poudarja nujnost ustavno skladne razlage.</w:t>
      </w:r>
    </w:p>
    <w:p w14:paraId="541B917D" w14:textId="77777777" w:rsidR="00695AE2" w:rsidRPr="00CB5050" w:rsidRDefault="00695AE2" w:rsidP="00695AE2">
      <w:pPr>
        <w:spacing w:line="240" w:lineRule="auto"/>
        <w:jc w:val="both"/>
        <w:rPr>
          <w:rFonts w:eastAsia="Calibri"/>
          <w:bCs/>
          <w:color w:val="000000"/>
          <w:kern w:val="24"/>
        </w:rPr>
      </w:pPr>
    </w:p>
    <w:p w14:paraId="40A953C8" w14:textId="77777777" w:rsidR="00695AE2" w:rsidRPr="00CB5050" w:rsidRDefault="00695AE2" w:rsidP="00695AE2">
      <w:pPr>
        <w:tabs>
          <w:tab w:val="left" w:pos="1440"/>
        </w:tabs>
        <w:spacing w:line="240" w:lineRule="auto"/>
        <w:jc w:val="both"/>
        <w:rPr>
          <w:rFonts w:eastAsia="Calibri"/>
          <w:bCs/>
        </w:rPr>
      </w:pPr>
      <w:r w:rsidRPr="00CB5050">
        <w:rPr>
          <w:rFonts w:eastAsia="Calibri"/>
          <w:bCs/>
        </w:rPr>
        <w:t xml:space="preserve">Državno odvetništvo RS je v vseh doslej obravnavanih primerih ugotovilo, da vlagatelji ne izpolnjujejo pogojev po ZOKIPOSR, zato Državno odvetništvo RS v predhodnih postopkih k sklenitvi sporazumov ni pristopilo. </w:t>
      </w:r>
      <w:r w:rsidRPr="00CB5050">
        <w:rPr>
          <w:rFonts w:eastAsia="Calibri"/>
        </w:rPr>
        <w:t xml:space="preserve">Večina vlagateljev zahtevkov so »aktivni družbeniki«  v smislu odločbe Ustavnega sodišča RS, št. U-I-135/00 z dne 9. 10. 2002, ki so za dolgove izbrisane družbe v celoti odgovorni, kar je poleg omenjene odločbe Ustavnega sodišča </w:t>
      </w:r>
      <w:r w:rsidRPr="00CB5050">
        <w:rPr>
          <w:rFonts w:eastAsia="Calibri"/>
        </w:rPr>
        <w:lastRenderedPageBreak/>
        <w:t>potrjeno tudi z odločbo Evropskega sodišča za človekove pravice v zadevi Lekić proti Sloveniji</w:t>
      </w:r>
      <w:r w:rsidRPr="00CB5050">
        <w:rPr>
          <w:rFonts w:eastAsia="Calibri"/>
          <w:b/>
          <w:bCs/>
        </w:rPr>
        <w:t xml:space="preserve">. </w:t>
      </w:r>
      <w:r w:rsidRPr="00CB5050">
        <w:rPr>
          <w:rFonts w:eastAsia="Calibri"/>
        </w:rPr>
        <w:t>Pri razlagi ZOKIPOSR  je torej treba upoštevati vse prej sprejete predpise in odločbe Ustavnega sodišča ter Evropskega sodišča za človekove pravice, ki obravnavajo problematiko odgovornosti družbenikov za obveznosti izbrisanih družb do sprejetja ZOKIPOSR, uveljavljeno sodno prakso do sprejema ZOKIPOSR in pa tudi namen ZOKIPOSR.</w:t>
      </w:r>
    </w:p>
    <w:p w14:paraId="3B0004A9" w14:textId="77777777" w:rsidR="00695AE2" w:rsidRPr="00CB5050" w:rsidRDefault="00695AE2" w:rsidP="00695AE2">
      <w:pPr>
        <w:tabs>
          <w:tab w:val="left" w:pos="1440"/>
        </w:tabs>
        <w:spacing w:line="240" w:lineRule="auto"/>
        <w:jc w:val="both"/>
        <w:rPr>
          <w:rFonts w:eastAsia="Calibri"/>
        </w:rPr>
      </w:pPr>
    </w:p>
    <w:p w14:paraId="0ABF9B8B" w14:textId="77777777" w:rsidR="00695AE2" w:rsidRPr="00CB5050" w:rsidRDefault="00695AE2" w:rsidP="00695AE2">
      <w:pPr>
        <w:tabs>
          <w:tab w:val="left" w:pos="1440"/>
        </w:tabs>
        <w:spacing w:line="240" w:lineRule="auto"/>
        <w:jc w:val="both"/>
        <w:rPr>
          <w:rFonts w:eastAsia="Calibri"/>
        </w:rPr>
      </w:pPr>
      <w:r w:rsidRPr="00CB5050">
        <w:rPr>
          <w:rFonts w:eastAsia="Calibri"/>
        </w:rPr>
        <w:t xml:space="preserve">V svoji odločbi (51. točka obrazložitve) je Ustavno sodišče navedlo: </w:t>
      </w:r>
      <w:r w:rsidRPr="00CB5050">
        <w:rPr>
          <w:rFonts w:eastAsia="Calibri"/>
          <w:i/>
          <w:iCs/>
        </w:rPr>
        <w:t>»Prvi odstavek 5. člena ZOKIPOSR je nomotehnično nekvaliteten. Vendar je njegov namen jasno razviden: pravico do odškodnine od države želi podeliti le pasivnim družbenikom, torej tistim, ki niso vplivali in niso niti mogli vplivati na uskladitev pozneje izbrisanih družb z ZGD oziroma na poslovanje teh družb.«</w:t>
      </w:r>
      <w:r w:rsidRPr="00CB5050">
        <w:rPr>
          <w:rFonts w:eastAsia="Calibri"/>
        </w:rPr>
        <w:t xml:space="preserve"> Tudi na Državno odvetništvo RS je mnenja, da je bil namen ZOKOPOSR odprava krivic pasivnim družbenikom in ne pomoč aktivnim družbenikom, v smislu odločbe Ustavnega sodišča RS, št. U-I-135/00 z dne 9. 10. 2002, kar izhaja med drugim  iz 5. člena ZOKIPOSR. </w:t>
      </w:r>
    </w:p>
    <w:p w14:paraId="73BED64B" w14:textId="77777777" w:rsidR="00695AE2" w:rsidRPr="00CB5050" w:rsidRDefault="00695AE2" w:rsidP="00695AE2">
      <w:pPr>
        <w:tabs>
          <w:tab w:val="left" w:pos="1440"/>
        </w:tabs>
        <w:spacing w:line="240" w:lineRule="auto"/>
        <w:jc w:val="both"/>
        <w:rPr>
          <w:rFonts w:eastAsia="Calibri"/>
        </w:rPr>
      </w:pPr>
    </w:p>
    <w:p w14:paraId="7B30014A" w14:textId="77777777" w:rsidR="00695AE2" w:rsidRPr="00CB5050" w:rsidRDefault="00695AE2" w:rsidP="00695AE2">
      <w:pPr>
        <w:spacing w:line="240" w:lineRule="auto"/>
        <w:ind w:right="28"/>
        <w:jc w:val="both"/>
        <w:rPr>
          <w:rFonts w:eastAsia="Calibri"/>
        </w:rPr>
      </w:pPr>
      <w:r w:rsidRPr="00CB5050">
        <w:rPr>
          <w:rFonts w:eastAsia="Calibri"/>
        </w:rPr>
        <w:t xml:space="preserve">Iz navedenega je razvidno, da država do sedaj še nič ni plačala upravičencem v smislu 2. in 5. člena ZOKIPOSR, ki morajo izkazati stroge pogoje po 5. členu in tudi če bodo v sodnih postopkih, ki se vodijo na podlagi njihovih tožb, izkazali izpolnjevanje pogojev, bodo odškodnino prejeli le z omejitvami 60 odstotkov dolga in obresti le do višine glavnice. </w:t>
      </w:r>
    </w:p>
    <w:p w14:paraId="7BAE726F" w14:textId="77777777" w:rsidR="00695AE2" w:rsidRPr="00CB5050" w:rsidRDefault="00695AE2" w:rsidP="00695AE2">
      <w:pPr>
        <w:spacing w:line="240" w:lineRule="auto"/>
        <w:ind w:right="28"/>
        <w:jc w:val="both"/>
        <w:rPr>
          <w:rFonts w:eastAsia="Calibri"/>
        </w:rPr>
      </w:pPr>
    </w:p>
    <w:p w14:paraId="6E690495" w14:textId="77777777" w:rsidR="00695AE2" w:rsidRPr="00CB5050" w:rsidRDefault="00695AE2" w:rsidP="00695AE2">
      <w:pPr>
        <w:spacing w:line="240" w:lineRule="auto"/>
        <w:ind w:right="28"/>
        <w:jc w:val="both"/>
        <w:rPr>
          <w:rFonts w:eastAsia="Calibri"/>
        </w:rPr>
      </w:pPr>
      <w:r w:rsidRPr="00CB5050">
        <w:rPr>
          <w:rFonts w:eastAsia="Calibri"/>
        </w:rPr>
        <w:t xml:space="preserve">Na drugi strani pa so upniki v izvršbi poplačani brez vseh omejitev in brez preverjanja kakršnih koli pogojev. V  praksi tako prihaja do tega, da država plačuje ogromne zneske samo upnikom aktivnih družbenikov in s tem poplačuje dolgove aktivnih družbenikov brez vsakih omejitev in brez vsakega preverjanja pogojev. </w:t>
      </w:r>
    </w:p>
    <w:p w14:paraId="4DE1B67F" w14:textId="77777777" w:rsidR="00695AE2" w:rsidRPr="00CB5050" w:rsidRDefault="00695AE2" w:rsidP="00695AE2">
      <w:pPr>
        <w:spacing w:line="240" w:lineRule="auto"/>
        <w:ind w:right="28"/>
        <w:jc w:val="both"/>
        <w:rPr>
          <w:rFonts w:eastAsia="Calibri"/>
          <w:color w:val="000000"/>
          <w:kern w:val="2"/>
          <w14:ligatures w14:val="standardContextual"/>
        </w:rPr>
      </w:pPr>
    </w:p>
    <w:p w14:paraId="67231567" w14:textId="77777777" w:rsidR="00695AE2" w:rsidRPr="00CB5050" w:rsidRDefault="00695AE2" w:rsidP="00695AE2">
      <w:pPr>
        <w:spacing w:line="240" w:lineRule="auto"/>
        <w:ind w:right="28"/>
        <w:jc w:val="both"/>
        <w:rPr>
          <w:rFonts w:eastAsia="Calibri"/>
        </w:rPr>
      </w:pPr>
      <w:r w:rsidRPr="00CB5050">
        <w:rPr>
          <w:rFonts w:eastAsia="Calibri"/>
          <w:color w:val="000000"/>
          <w:kern w:val="2"/>
          <w14:ligatures w14:val="standardContextual"/>
        </w:rPr>
        <w:t xml:space="preserve">Višja sodišča zavračajo pritožbe Republike Slovenije zoper sklepe o nadaljevanju izvršbe z novim dolžnikom Republiko Slovenijo na podlagi tretjega odstavka 17. člena ZOKIPOSR in širijo domet 17. člena na aktivne družbenike. </w:t>
      </w:r>
      <w:r w:rsidRPr="00CB5050">
        <w:rPr>
          <w:rFonts w:eastAsia="Calibri"/>
        </w:rPr>
        <w:t>Po mnenju višjih sodišč ZOKIPOSR določa domnevo, da je Republika Slovenija prevzela dolg odgovornega družbenika do upnikov na podlagi ex lege prenosa obveznosti izbrisane družbe na aktivnega družbenika pod pogoji, ki jih za prevzem določa zakon, ki ureja obligacijska razmerja in menijo, da je Ustavno sodišče zavrnilo zavzemanje  predlagatelja Republike Slovenije za to, da bi morala država prevzeti le dolgove tistih odgovornih družbenikov, ki izpolnjujejo pogoje za odškodnino iz prvega odstavka 5. člena ZOKIPOSR.</w:t>
      </w:r>
      <w:r w:rsidRPr="00CB5050">
        <w:rPr>
          <w:rFonts w:eastAsia="Calibri"/>
          <w:color w:val="000000"/>
          <w:kern w:val="2"/>
          <w14:ligatures w14:val="standardContextual"/>
        </w:rPr>
        <w:t xml:space="preserve"> </w:t>
      </w:r>
      <w:r w:rsidRPr="00CB5050">
        <w:rPr>
          <w:rFonts w:eastAsia="Calibri"/>
        </w:rPr>
        <w:t xml:space="preserve">Po mnenju višjih sodišč je zmotno tudi stališče, da velja omejitev plačila obresti do višine glavnice in skupne terjatve do višine 60 odstotkov škode (ki velja le za upravičence iz 5. člena) ter da je tudi pravilo iz drugega odstavka 430. člena OZ  izključeno glede na to, da je ZOKIPOSR specialni predpis, ki glede prevzema obresti določa drugače. </w:t>
      </w:r>
    </w:p>
    <w:p w14:paraId="47F90681" w14:textId="77777777" w:rsidR="00695AE2" w:rsidRPr="00CB5050" w:rsidRDefault="00695AE2" w:rsidP="00695AE2">
      <w:pPr>
        <w:spacing w:line="240" w:lineRule="auto"/>
        <w:ind w:right="28"/>
        <w:jc w:val="both"/>
        <w:rPr>
          <w:rFonts w:eastAsia="Calibri"/>
        </w:rPr>
      </w:pPr>
    </w:p>
    <w:p w14:paraId="377B66E5" w14:textId="77777777" w:rsidR="00695AE2" w:rsidRPr="00CB5050" w:rsidRDefault="00695AE2" w:rsidP="00695AE2">
      <w:pPr>
        <w:spacing w:line="240" w:lineRule="auto"/>
        <w:ind w:right="28"/>
        <w:jc w:val="both"/>
        <w:rPr>
          <w:rFonts w:eastAsia="Calibri"/>
        </w:rPr>
      </w:pPr>
      <w:r w:rsidRPr="00CB5050">
        <w:rPr>
          <w:rFonts w:eastAsia="Calibri"/>
          <w:color w:val="000000"/>
          <w:kern w:val="2"/>
          <w14:ligatures w14:val="standardContextual"/>
        </w:rPr>
        <w:t xml:space="preserve">ZOKIPOSR omogoča družbenikom izbrisanih družb, ki so že plačali dolgove izbrisane družbe, da zahtevajo povračilo škode le v primeru izpolnjevanja pogojev, ki jih določa 5. člen. Na drugi strani, iz nerazumljivih razlogov, ZOKIPOSR priznava tudi »škodo«, ki je nastala upnikom, ki kljub obstoju izvršilnega naslova niso prejeli plačila za dolg izbrisane družbe (tretji odstavek 17. člena). Iz določbe 17. člena res na prvi pogled, po gramatikalni razlagi, ne izhaja, da bi bil prevzem dolga kakorkoli pogojen s tem, da družbenik izpolnjuje pogoje iz 5. člena ZOKIPOSR. Vendar bi ob upoštevanju zgodovinske ter namenske, pa tudi logične in sistematične razlage, sodišče določbo 17. člena moralo razlagati tako, da se nanaša le na pasivne družbenike v smislu odločbe Ustavnega sodišča, št. U-I-135/00 z dne 9. 10. 2002, saj v nasprotnem primeru, v </w:t>
      </w:r>
      <w:r w:rsidRPr="00CB5050">
        <w:rPr>
          <w:rFonts w:eastAsia="Calibri"/>
          <w:color w:val="000000"/>
          <w:kern w:val="2"/>
          <w14:ligatures w14:val="standardContextual"/>
        </w:rPr>
        <w:lastRenderedPageBreak/>
        <w:t xml:space="preserve">kolikor določbe ni mogoče razlagati na takšen način, prihaja do kršitev Ustave RS in bi bilo potrebno takšno določilo razveljaviti. </w:t>
      </w:r>
    </w:p>
    <w:p w14:paraId="1427257A" w14:textId="77777777" w:rsidR="00695AE2" w:rsidRPr="00CB5050" w:rsidRDefault="00695AE2" w:rsidP="00695AE2">
      <w:pPr>
        <w:spacing w:line="240" w:lineRule="auto"/>
        <w:ind w:right="28"/>
        <w:jc w:val="both"/>
        <w:rPr>
          <w:rFonts w:eastAsia="Calibri"/>
          <w:color w:val="000000"/>
          <w:kern w:val="2"/>
          <w14:ligatures w14:val="standardContextual"/>
        </w:rPr>
      </w:pPr>
    </w:p>
    <w:p w14:paraId="3CD57B55" w14:textId="77777777" w:rsidR="00695AE2" w:rsidRPr="00CB5050" w:rsidRDefault="00695AE2" w:rsidP="00695AE2">
      <w:pPr>
        <w:spacing w:line="240" w:lineRule="auto"/>
        <w:ind w:right="28"/>
        <w:jc w:val="both"/>
        <w:rPr>
          <w:rFonts w:eastAsia="Calibri"/>
        </w:rPr>
      </w:pPr>
      <w:r w:rsidRPr="00CB5050">
        <w:rPr>
          <w:rFonts w:eastAsia="Calibri"/>
          <w:color w:val="000000"/>
          <w:kern w:val="2"/>
          <w14:ligatures w14:val="standardContextual"/>
        </w:rPr>
        <w:t>Aktivni družbeniki so do sprejetja ZOKIPOSR v izvršilnih postopkih poplačevali obveznosti izbrisanih družb in večina jih je svoje obveznosti že poplačala. Spreminjanje njihovega dotedanjega položaja in morebitni razlogi za spreminjanje položaja bi morali biti iz predloga zakona jasno razvidni, pa niso. Ker je bil ZOKIPOSR v zakonodajnem postopku temeljito spremenjen z amandmaji, ti pa niso bili ustrezno obrazloženi, iz predloga zakona tako ne izhaja, da bi imel zakonodajalec namen spremeniti dotedanji položaj aktivnih družbenikov oziroma namen, da država poplača dolgove aktivnih družbenikov, niti ne izhaja, da bi imel zakon namen posebnega varstva upnikov, torej da upniki v izvršilnih postopkih prejmejo poplačane terjatve aktivnih družbenikov brez vsakih omejitev. Po mnenju Državnega odvetništva RS torej ni izkazan namen zakonodajalca, da bi ZOKIPOSR predvidel prevzem obveznosti s strani države in porabo proračunskih sredstev tudi za vse tiste (aktivne) družbenike, za katere je bilo s strani sodišča, tako nacionalnega kot evropskega, potrjeno, da država slednjim ni zakrivila nobenih krivic oziroma v razmerju do njih z uzakonitvijo neomejene osebne odgovornosti ni storila nobenih kršitev oziroma kakršnekoli druge protipravnosti.</w:t>
      </w:r>
    </w:p>
    <w:p w14:paraId="64E946B1" w14:textId="77777777" w:rsidR="00695AE2" w:rsidRPr="00CB5050" w:rsidRDefault="00695AE2" w:rsidP="00695AE2">
      <w:pPr>
        <w:spacing w:line="240" w:lineRule="auto"/>
        <w:ind w:right="28"/>
        <w:jc w:val="both"/>
        <w:rPr>
          <w:rFonts w:eastAsia="Calibri"/>
          <w:color w:val="000000"/>
          <w:kern w:val="2"/>
          <w14:ligatures w14:val="standardContextual"/>
        </w:rPr>
      </w:pPr>
    </w:p>
    <w:p w14:paraId="6449D3D5" w14:textId="77777777" w:rsidR="00695AE2" w:rsidRPr="00CB5050" w:rsidRDefault="00695AE2" w:rsidP="00695AE2">
      <w:pPr>
        <w:spacing w:line="240" w:lineRule="auto"/>
        <w:ind w:right="28"/>
        <w:jc w:val="both"/>
        <w:rPr>
          <w:rFonts w:eastAsia="Calibri"/>
          <w:color w:val="000000"/>
          <w:kern w:val="2"/>
          <w14:ligatures w14:val="standardContextual"/>
        </w:rPr>
      </w:pPr>
      <w:r w:rsidRPr="00CB5050">
        <w:rPr>
          <w:rFonts w:eastAsia="Calibri"/>
          <w:color w:val="000000"/>
          <w:kern w:val="2"/>
          <w14:ligatures w14:val="standardContextual"/>
        </w:rPr>
        <w:t>Odškodnina, ki jo prejme upravičenec iz 5. člena ZOKIPOSR, je omejena na 60 odstotkov ugotovljene škode, obresti so omejene na višino glavnice, od škode pa se odšteje tudi vse, kar so prejeli iz naslova izbrisane družbe. Upnik ni zajet v pojem upravičenca, zato se zdi, da naj bi država upniku poplačala dolg v polni višini. Aktivni družbeniki, ki na račun dolga niso še ničesar plačali in so se do sedaj izmikali, so torej obogateni, saj jim k plačilu dolga celo ni treba prispevati ničesar. ZOKIPOSR ne predvideva možnosti, da bi država proti družbeniku vložila regresni zahtevek. Takšno razlikovanje med družbeniki je po mnenju Državnega odvetništva RS neutemeljeno.</w:t>
      </w:r>
      <w:r w:rsidRPr="00CB5050">
        <w:rPr>
          <w:rFonts w:eastAsia="Calibri"/>
        </w:rPr>
        <w:t xml:space="preserve"> </w:t>
      </w:r>
      <w:r w:rsidRPr="00CB5050">
        <w:rPr>
          <w:rFonts w:eastAsia="Calibri"/>
          <w:color w:val="000000"/>
          <w:kern w:val="2"/>
          <w14:ligatures w14:val="standardContextual"/>
        </w:rPr>
        <w:t xml:space="preserve">V kolikor z metodami razlage ni mogoče priti do tega, da se tretji odstavek 17. člena ne nanaša na aktivne družbenike, Državno odvetništvo RS  meni, da je podana kršitev določb 14. in 155. člena Ustave RS in je potrebno tretji odstavek 17. člena ZOKIPOSR razveljaviti. </w:t>
      </w:r>
    </w:p>
    <w:p w14:paraId="7F5082EB" w14:textId="77777777" w:rsidR="00695AE2" w:rsidRPr="00CB5050" w:rsidRDefault="00695AE2" w:rsidP="00695AE2">
      <w:pPr>
        <w:spacing w:line="240" w:lineRule="auto"/>
        <w:ind w:right="28"/>
        <w:jc w:val="both"/>
        <w:rPr>
          <w:rFonts w:eastAsia="Calibri"/>
          <w:color w:val="000000"/>
          <w:kern w:val="2"/>
          <w14:ligatures w14:val="standardContextual"/>
        </w:rPr>
      </w:pPr>
    </w:p>
    <w:p w14:paraId="4EBB6AD4" w14:textId="77777777" w:rsidR="00695AE2" w:rsidRPr="00CB5050" w:rsidRDefault="00695AE2" w:rsidP="00695AE2">
      <w:pPr>
        <w:pStyle w:val="Naslov5"/>
      </w:pPr>
      <w:bookmarkStart w:id="554" w:name="_Toc223093915"/>
      <w:r w:rsidRPr="00CB5050">
        <w:t>Delovna skupina in njene aktivnosti v letu 2025</w:t>
      </w:r>
      <w:bookmarkEnd w:id="554"/>
      <w:r w:rsidRPr="00CB5050">
        <w:t xml:space="preserve"> </w:t>
      </w:r>
    </w:p>
    <w:p w14:paraId="06FE31CB" w14:textId="77777777" w:rsidR="00695AE2" w:rsidRPr="00CB5050" w:rsidRDefault="00695AE2" w:rsidP="00695AE2">
      <w:pPr>
        <w:spacing w:line="240" w:lineRule="auto"/>
        <w:ind w:right="28"/>
        <w:jc w:val="both"/>
        <w:rPr>
          <w:rFonts w:eastAsia="Calibri"/>
          <w:color w:val="000000"/>
          <w:kern w:val="2"/>
          <w14:ligatures w14:val="standardContextual"/>
        </w:rPr>
      </w:pPr>
    </w:p>
    <w:p w14:paraId="60C8E600" w14:textId="77777777" w:rsidR="00695AE2" w:rsidRPr="00CB5050" w:rsidRDefault="00695AE2" w:rsidP="00695AE2">
      <w:pPr>
        <w:spacing w:line="240" w:lineRule="auto"/>
        <w:jc w:val="both"/>
        <w:rPr>
          <w:rFonts w:eastAsia="Calibri"/>
          <w:bCs/>
          <w:szCs w:val="22"/>
        </w:rPr>
      </w:pPr>
      <w:r w:rsidRPr="00CB5050">
        <w:rPr>
          <w:rFonts w:eastAsia="Calibri"/>
          <w:bCs/>
          <w:szCs w:val="22"/>
        </w:rPr>
        <w:t>Državno odvetništvo RS je po uveljavitvi ZOKIPOSR zaznalo več težav pri izvajanju nalog Državnega odvetništva RS, navedenih v ZOKIPOSR, zato je</w:t>
      </w:r>
      <w:r w:rsidRPr="00CB5050">
        <w:rPr>
          <w:rFonts w:eastAsia="Calibri"/>
          <w:szCs w:val="22"/>
        </w:rPr>
        <w:t xml:space="preserve"> g</w:t>
      </w:r>
      <w:r w:rsidRPr="00CB5050">
        <w:rPr>
          <w:rFonts w:eastAsia="Calibri"/>
          <w:bCs/>
          <w:szCs w:val="22"/>
        </w:rPr>
        <w:t xml:space="preserve">eneralni državni odvetnik 22. 12. 2021 ustanovil delovno skupino za koordinacijo dejavnosti v zadevah »Odprava krivic zaradi izbrisa pravnih oseb iz sodnega registra« (v nadaljevanju: delovna skupina). </w:t>
      </w:r>
    </w:p>
    <w:p w14:paraId="162C831E" w14:textId="77777777" w:rsidR="00695AE2" w:rsidRPr="00CB5050" w:rsidRDefault="00695AE2" w:rsidP="00695AE2">
      <w:pPr>
        <w:spacing w:line="240" w:lineRule="auto"/>
        <w:ind w:right="28"/>
        <w:jc w:val="both"/>
        <w:rPr>
          <w:rFonts w:eastAsia="Calibri"/>
          <w:color w:val="000000"/>
          <w:kern w:val="2"/>
          <w14:ligatures w14:val="standardContextual"/>
        </w:rPr>
      </w:pPr>
    </w:p>
    <w:p w14:paraId="44AEC5B4" w14:textId="77777777" w:rsidR="00695AE2" w:rsidRPr="00CB5050" w:rsidRDefault="00695AE2" w:rsidP="00695AE2">
      <w:pPr>
        <w:spacing w:line="240" w:lineRule="auto"/>
        <w:ind w:right="28"/>
        <w:jc w:val="both"/>
        <w:rPr>
          <w:rFonts w:eastAsia="Calibri"/>
          <w:bCs/>
          <w:color w:val="000000"/>
        </w:rPr>
      </w:pPr>
      <w:r w:rsidRPr="00CB5050">
        <w:rPr>
          <w:rFonts w:eastAsia="Calibri"/>
          <w:bCs/>
          <w:color w:val="000000"/>
        </w:rPr>
        <w:t>Delovna skupina ves čas spremlja obravnavo zadev po ZOKIPOSR ter z namenom poenotenega postopanja nosilcev zadev sprejema priporočila za delo.</w:t>
      </w:r>
    </w:p>
    <w:p w14:paraId="7FE35FE1" w14:textId="77777777" w:rsidR="00695AE2" w:rsidRPr="00CB5050" w:rsidRDefault="00695AE2" w:rsidP="00695AE2">
      <w:pPr>
        <w:spacing w:line="240" w:lineRule="auto"/>
        <w:ind w:right="28"/>
        <w:jc w:val="both"/>
        <w:rPr>
          <w:rFonts w:eastAsia="Calibri"/>
          <w:bCs/>
          <w:color w:val="000000"/>
        </w:rPr>
      </w:pPr>
    </w:p>
    <w:p w14:paraId="50E2449B" w14:textId="77777777" w:rsidR="00695AE2" w:rsidRPr="00CB5050" w:rsidRDefault="00695AE2" w:rsidP="00695AE2">
      <w:pPr>
        <w:widowControl w:val="0"/>
        <w:spacing w:line="240" w:lineRule="auto"/>
        <w:ind w:right="28"/>
        <w:jc w:val="both"/>
        <w:rPr>
          <w:rFonts w:eastAsia="Calibri"/>
          <w:bCs/>
        </w:rPr>
      </w:pPr>
      <w:r w:rsidRPr="00CB5050">
        <w:rPr>
          <w:rFonts w:eastAsia="Calibri"/>
          <w:bCs/>
          <w:color w:val="000000"/>
        </w:rPr>
        <w:t>Tako je delovna skupina sprejela stališče, da je treba v  vseh odprtih izvršilnih postopkih vložiti pobudo za vložitev zahteve za varstvo zakonitosti oziroma, kjer je to možno, vložiti predlog za dopustitev revizije. V</w:t>
      </w:r>
      <w:r w:rsidRPr="00CB5050">
        <w:rPr>
          <w:rFonts w:eastAsia="Calibri"/>
          <w:bCs/>
        </w:rPr>
        <w:t xml:space="preserve"> letu 2025 je bilo vloženih 5 predlogov za dopustitev revizije in 1 pobuda za vložitev zahteve za varstvo zakonitosti. </w:t>
      </w:r>
      <w:r w:rsidRPr="00CB5050">
        <w:rPr>
          <w:rFonts w:eastAsia="Calibri"/>
          <w:bCs/>
          <w:color w:val="000000"/>
        </w:rPr>
        <w:t xml:space="preserve">Trenutno se zahteve za varstvo zakonitosti ne vlagajo več, se pa </w:t>
      </w:r>
      <w:r w:rsidRPr="00CB5050">
        <w:rPr>
          <w:rFonts w:eastAsia="Calibri"/>
          <w:bCs/>
        </w:rPr>
        <w:t xml:space="preserve">Vrhovnemu državnemu tožilstvu pošilja v vednost vse sklepe višjih sodišč v zvezi z zavrnjenimi pritožbami Republike Slovenije v postopku izvršbe na podlagi tretjega odstavka 17. člena ZOKIPOSR. V zvezi z vprašanjem obveznosti plačila neizterjanih obresti, </w:t>
      </w:r>
      <w:r w:rsidRPr="00CB5050">
        <w:rPr>
          <w:rFonts w:eastAsia="Calibri"/>
          <w:bCs/>
        </w:rPr>
        <w:lastRenderedPageBreak/>
        <w:t xml:space="preserve">zapadlih do prevzema dolga (430. člen OZ),  je Vrhovno sodišče RS na podlagi dveh predlogov za dopustitev revizije Državnega odvetništva RS dopustilo revizijo, revizija pa je bila nato zavrnjena. </w:t>
      </w:r>
    </w:p>
    <w:p w14:paraId="136ED08B" w14:textId="77777777" w:rsidR="00695AE2" w:rsidRPr="00CB5050" w:rsidRDefault="00695AE2" w:rsidP="00695AE2">
      <w:pPr>
        <w:spacing w:line="240" w:lineRule="auto"/>
        <w:jc w:val="both"/>
        <w:rPr>
          <w:rFonts w:eastAsia="Calibri"/>
          <w:bCs/>
        </w:rPr>
      </w:pPr>
    </w:p>
    <w:p w14:paraId="1D431CFF" w14:textId="77777777" w:rsidR="00695AE2" w:rsidRPr="00CB5050" w:rsidRDefault="00695AE2" w:rsidP="00695AE2">
      <w:pPr>
        <w:spacing w:line="240" w:lineRule="auto"/>
        <w:jc w:val="both"/>
        <w:rPr>
          <w:rFonts w:eastAsia="Calibri"/>
          <w:bCs/>
        </w:rPr>
      </w:pPr>
      <w:r w:rsidRPr="00CB5050">
        <w:rPr>
          <w:rFonts w:eastAsia="Calibri"/>
          <w:bCs/>
        </w:rPr>
        <w:t xml:space="preserve">V letu 2025 se je dopolnila vsebina ugovorov zoper sklep o nadaljevanju izvršbe zoper Republiko Slovenijo, in sicer na način, da se pojasni sodna praksa višjih sodišč na podlagi odločbe Ustavnega sodišča RS, ki sicer ni zajela ustavnih kršitev 14., 155. in 22. člena Ustave RS ter  pomen zgodovinske, logične in namenske razlage zakona. </w:t>
      </w:r>
    </w:p>
    <w:p w14:paraId="32BC1477" w14:textId="77777777" w:rsidR="00695AE2" w:rsidRPr="00CB5050" w:rsidRDefault="00695AE2" w:rsidP="00695AE2">
      <w:pPr>
        <w:spacing w:line="240" w:lineRule="auto"/>
        <w:jc w:val="both"/>
        <w:rPr>
          <w:rFonts w:eastAsia="Calibri"/>
          <w:bCs/>
        </w:rPr>
      </w:pPr>
    </w:p>
    <w:p w14:paraId="7469EB0D" w14:textId="77777777" w:rsidR="00695AE2" w:rsidRPr="00CB5050" w:rsidRDefault="00695AE2" w:rsidP="00695AE2">
      <w:pPr>
        <w:widowControl w:val="0"/>
        <w:spacing w:line="240" w:lineRule="auto"/>
        <w:ind w:right="28"/>
        <w:jc w:val="both"/>
        <w:rPr>
          <w:rFonts w:eastAsia="Calibri"/>
          <w:bCs/>
        </w:rPr>
      </w:pPr>
      <w:r w:rsidRPr="00CB5050">
        <w:rPr>
          <w:rFonts w:eastAsia="Calibri"/>
          <w:bCs/>
        </w:rPr>
        <w:t>Delovna skupina je v letu 2025 pripravila tudi nov dokument, in sicer »Priporočila v zvezi z delom na spisih in dodatna analiza kršitev ustavnih pravic«. Pripravljen je bil tudi tekst, ki naj bi ga posamezni nosilci spisov dodatno vlagali v vsa pravna sredstva, ki se vlagajo v ZOKIPOSR</w:t>
      </w:r>
    </w:p>
    <w:p w14:paraId="1E6B390D" w14:textId="77777777" w:rsidR="00695AE2" w:rsidRPr="00CB5050" w:rsidRDefault="00695AE2" w:rsidP="00695AE2">
      <w:pPr>
        <w:widowControl w:val="0"/>
        <w:spacing w:line="240" w:lineRule="auto"/>
        <w:ind w:right="28"/>
        <w:jc w:val="both"/>
        <w:rPr>
          <w:rFonts w:eastAsia="Calibri"/>
          <w:bCs/>
        </w:rPr>
      </w:pPr>
      <w:r w:rsidRPr="00CB5050">
        <w:rPr>
          <w:rFonts w:eastAsia="Calibri"/>
          <w:bCs/>
        </w:rPr>
        <w:t xml:space="preserve">zadevah. </w:t>
      </w:r>
    </w:p>
    <w:p w14:paraId="12786DC9" w14:textId="77777777" w:rsidR="00695AE2" w:rsidRPr="00CB5050" w:rsidRDefault="00695AE2" w:rsidP="00695AE2">
      <w:pPr>
        <w:widowControl w:val="0"/>
        <w:spacing w:line="240" w:lineRule="auto"/>
        <w:ind w:right="28"/>
        <w:jc w:val="both"/>
        <w:rPr>
          <w:rFonts w:eastAsia="Calibri"/>
          <w:bCs/>
        </w:rPr>
      </w:pPr>
    </w:p>
    <w:p w14:paraId="31186521" w14:textId="77777777" w:rsidR="00695AE2" w:rsidRPr="00CB5050" w:rsidRDefault="00695AE2" w:rsidP="00695AE2">
      <w:pPr>
        <w:widowControl w:val="0"/>
        <w:spacing w:line="240" w:lineRule="auto"/>
        <w:ind w:right="28"/>
        <w:jc w:val="both"/>
        <w:rPr>
          <w:rFonts w:eastAsia="Calibri"/>
          <w:bCs/>
        </w:rPr>
      </w:pPr>
      <w:r w:rsidRPr="00CB5050">
        <w:rPr>
          <w:rFonts w:eastAsia="Calibri"/>
          <w:bCs/>
        </w:rPr>
        <w:t xml:space="preserve">Vodja delovne skupine, višja državna odvetnica Ana Martina Hočevar, je na tem področju sodelovala s strokovnim prispevkom na Šoli državnega odvetništva 2025, ki je potekala v Postojni. </w:t>
      </w:r>
    </w:p>
    <w:p w14:paraId="0FEC63CE" w14:textId="77777777" w:rsidR="00695AE2" w:rsidRPr="00CB5050" w:rsidRDefault="00695AE2" w:rsidP="00695AE2">
      <w:pPr>
        <w:spacing w:line="240" w:lineRule="auto"/>
        <w:ind w:right="28"/>
        <w:jc w:val="both"/>
        <w:rPr>
          <w:rFonts w:eastAsia="Calibri"/>
          <w:bCs/>
        </w:rPr>
      </w:pPr>
    </w:p>
    <w:p w14:paraId="7ABD8DE1" w14:textId="77777777" w:rsidR="00695AE2" w:rsidRPr="00CB5050" w:rsidRDefault="00695AE2" w:rsidP="00695AE2">
      <w:pPr>
        <w:widowControl w:val="0"/>
        <w:spacing w:line="240" w:lineRule="auto"/>
        <w:ind w:right="28"/>
        <w:jc w:val="both"/>
        <w:rPr>
          <w:rFonts w:eastAsia="Calibri"/>
          <w:bCs/>
        </w:rPr>
      </w:pPr>
      <w:r w:rsidRPr="00CB5050">
        <w:rPr>
          <w:rFonts w:eastAsia="Calibri"/>
          <w:bCs/>
        </w:rPr>
        <w:t>Delovna skupina je v septembru 2025 pripravila tudi poročilo za Varuha človekovih pravic.</w:t>
      </w:r>
    </w:p>
    <w:p w14:paraId="54F8EBD8" w14:textId="77777777" w:rsidR="00695AE2" w:rsidRPr="00CB5050" w:rsidRDefault="00695AE2" w:rsidP="00695AE2">
      <w:pPr>
        <w:widowControl w:val="0"/>
        <w:spacing w:line="240" w:lineRule="auto"/>
        <w:ind w:right="28"/>
        <w:jc w:val="both"/>
        <w:rPr>
          <w:rFonts w:eastAsia="Calibri"/>
          <w:bCs/>
        </w:rPr>
      </w:pPr>
    </w:p>
    <w:p w14:paraId="6C7CA817" w14:textId="77777777" w:rsidR="00695AE2" w:rsidRPr="00CB5050" w:rsidRDefault="00695AE2" w:rsidP="00695AE2">
      <w:pPr>
        <w:spacing w:line="240" w:lineRule="auto"/>
        <w:jc w:val="both"/>
        <w:rPr>
          <w:rFonts w:eastAsia="Calibri"/>
          <w:bCs/>
        </w:rPr>
      </w:pPr>
      <w:r w:rsidRPr="00CB5050">
        <w:rPr>
          <w:rFonts w:eastAsia="Calibri"/>
          <w:bCs/>
          <w:color w:val="000000"/>
          <w:lang w:eastAsia="sl-SI"/>
        </w:rPr>
        <w:t xml:space="preserve">V decembru 2025 je delovna skupina pripravila </w:t>
      </w:r>
      <w:r w:rsidRPr="00CB5050">
        <w:rPr>
          <w:rFonts w:eastAsia="Calibri"/>
          <w:bCs/>
        </w:rPr>
        <w:t xml:space="preserve">obvestilo o velikih finančnih odlivih in predlog za morebitno spremembo zakona, ki je bilo poslano Vladi RS, Ministrstvu za finance, Ministrstvu za gospodarstvo, turizem in šport ter Ministrstvu za pravosodje. </w:t>
      </w:r>
    </w:p>
    <w:p w14:paraId="05496668" w14:textId="77777777" w:rsidR="00695AE2" w:rsidRPr="00CB5050" w:rsidRDefault="00695AE2" w:rsidP="00695AE2">
      <w:pPr>
        <w:spacing w:line="240" w:lineRule="auto"/>
        <w:jc w:val="both"/>
        <w:rPr>
          <w:rFonts w:eastAsia="Calibri"/>
          <w:bCs/>
        </w:rPr>
      </w:pPr>
    </w:p>
    <w:p w14:paraId="6BEA548F" w14:textId="77777777" w:rsidR="00695AE2" w:rsidRPr="00CB5050" w:rsidRDefault="00695AE2" w:rsidP="00695AE2">
      <w:pPr>
        <w:widowControl w:val="0"/>
        <w:spacing w:line="240" w:lineRule="auto"/>
        <w:ind w:right="28"/>
        <w:jc w:val="both"/>
        <w:rPr>
          <w:rFonts w:eastAsia="Calibri"/>
          <w:bCs/>
        </w:rPr>
      </w:pPr>
      <w:r w:rsidRPr="00CB5050">
        <w:rPr>
          <w:rFonts w:eastAsia="Calibri"/>
          <w:bCs/>
        </w:rPr>
        <w:t>Po mnenju Državnega odvetništva RS je namreč treba ponovno pretehtati, ali je bil namen ZOKIPOSR takšen, kot se kaže v praksi sodišč, in sicer:</w:t>
      </w:r>
    </w:p>
    <w:p w14:paraId="17BAD54F" w14:textId="77777777" w:rsidR="00695AE2" w:rsidRDefault="00695AE2" w:rsidP="006D16C0">
      <w:pPr>
        <w:widowControl w:val="0"/>
        <w:numPr>
          <w:ilvl w:val="0"/>
          <w:numId w:val="139"/>
        </w:numPr>
        <w:spacing w:line="240" w:lineRule="auto"/>
        <w:ind w:right="28"/>
        <w:jc w:val="both"/>
        <w:rPr>
          <w:rFonts w:eastAsia="Calibri"/>
          <w:bCs/>
        </w:rPr>
      </w:pPr>
      <w:r w:rsidRPr="00CB5050">
        <w:rPr>
          <w:rFonts w:eastAsia="Calibri"/>
          <w:bCs/>
        </w:rPr>
        <w:t xml:space="preserve">plačilo dolgov aktivnih družbenikov, </w:t>
      </w:r>
    </w:p>
    <w:p w14:paraId="7595E5C7" w14:textId="77777777" w:rsidR="00695AE2" w:rsidRPr="00CB5050" w:rsidRDefault="00695AE2" w:rsidP="006D16C0">
      <w:pPr>
        <w:widowControl w:val="0"/>
        <w:numPr>
          <w:ilvl w:val="0"/>
          <w:numId w:val="139"/>
        </w:numPr>
        <w:spacing w:line="240" w:lineRule="auto"/>
        <w:ind w:right="28"/>
        <w:jc w:val="both"/>
        <w:rPr>
          <w:rFonts w:eastAsia="Calibri"/>
          <w:bCs/>
        </w:rPr>
      </w:pPr>
      <w:r w:rsidRPr="00CB5050">
        <w:rPr>
          <w:rFonts w:eastAsia="Calibri"/>
          <w:bCs/>
        </w:rPr>
        <w:t>plačilo dolgov aktivnih družbenikov v celoti brez omejitve plačila odškodnine na 60 odstotkov in omejitve plačila obresti do višine glavnice,</w:t>
      </w:r>
    </w:p>
    <w:p w14:paraId="129CF856" w14:textId="77777777" w:rsidR="00695AE2" w:rsidRPr="00CB5050" w:rsidRDefault="00695AE2" w:rsidP="006D16C0">
      <w:pPr>
        <w:widowControl w:val="0"/>
        <w:numPr>
          <w:ilvl w:val="0"/>
          <w:numId w:val="139"/>
        </w:numPr>
        <w:spacing w:line="240" w:lineRule="auto"/>
        <w:ind w:right="28"/>
        <w:jc w:val="both"/>
        <w:rPr>
          <w:rFonts w:eastAsia="Calibri"/>
          <w:bCs/>
        </w:rPr>
      </w:pPr>
      <w:r w:rsidRPr="00CB5050">
        <w:rPr>
          <w:rFonts w:eastAsia="Calibri"/>
          <w:bCs/>
        </w:rPr>
        <w:t>plačilo terjatev upnikom aktivnih družbenikov v celoti brez omejitev na 60 odstotkov in brez omejitve plačila obresti do višine glavnice.</w:t>
      </w:r>
    </w:p>
    <w:p w14:paraId="2AEFA43B" w14:textId="77777777" w:rsidR="00695AE2" w:rsidRPr="00CB5050" w:rsidRDefault="00695AE2" w:rsidP="00695AE2">
      <w:pPr>
        <w:spacing w:line="240" w:lineRule="auto"/>
        <w:ind w:right="28"/>
        <w:jc w:val="both"/>
        <w:rPr>
          <w:rFonts w:eastAsia="Calibri"/>
          <w:bCs/>
        </w:rPr>
      </w:pPr>
    </w:p>
    <w:p w14:paraId="467C2C9F" w14:textId="77777777" w:rsidR="00695AE2" w:rsidRPr="00CB5050" w:rsidRDefault="00695AE2" w:rsidP="00695AE2">
      <w:pPr>
        <w:spacing w:line="240" w:lineRule="auto"/>
        <w:ind w:right="28"/>
        <w:jc w:val="both"/>
        <w:rPr>
          <w:rFonts w:eastAsia="Calibri"/>
          <w:bCs/>
          <w:color w:val="007466"/>
        </w:rPr>
      </w:pPr>
      <w:r w:rsidRPr="00CB5050">
        <w:rPr>
          <w:rFonts w:eastAsia="Calibri"/>
          <w:bCs/>
          <w:color w:val="007466"/>
        </w:rPr>
        <w:t xml:space="preserve">Državno odvetništvo RS predlaga, da se v izogib dolgotrajnim sodnim postopkom pretehtajo možnosti za morebitno spremembo ZOKIPOSR, vse z namenom, da se odpravijo nepravilnosti zakona in zaščitijo proračunska sredstva. </w:t>
      </w:r>
    </w:p>
    <w:p w14:paraId="24C8AAA7" w14:textId="77777777" w:rsidR="00695AE2" w:rsidRPr="00CB5050" w:rsidRDefault="00695AE2" w:rsidP="00695AE2">
      <w:pPr>
        <w:spacing w:line="240" w:lineRule="auto"/>
        <w:ind w:right="28"/>
        <w:jc w:val="both"/>
        <w:rPr>
          <w:rFonts w:eastAsia="Calibri"/>
          <w:bCs/>
          <w:color w:val="007466"/>
        </w:rPr>
      </w:pPr>
    </w:p>
    <w:p w14:paraId="414788CF" w14:textId="77777777" w:rsidR="00695AE2" w:rsidRPr="00CB5050" w:rsidRDefault="00695AE2" w:rsidP="00695AE2">
      <w:pPr>
        <w:pStyle w:val="Naslov4"/>
      </w:pPr>
      <w:bookmarkStart w:id="555" w:name="_Toc223093916"/>
      <w:r w:rsidRPr="00CB5050">
        <w:t>Zadeve »Agrarne skupnosti«</w:t>
      </w:r>
      <w:bookmarkEnd w:id="555"/>
    </w:p>
    <w:p w14:paraId="70583341" w14:textId="77777777" w:rsidR="00695AE2" w:rsidRPr="00CB5050" w:rsidRDefault="00695AE2" w:rsidP="00695AE2">
      <w:pPr>
        <w:tabs>
          <w:tab w:val="left" w:pos="1440"/>
        </w:tabs>
        <w:spacing w:line="240" w:lineRule="auto"/>
        <w:jc w:val="both"/>
        <w:rPr>
          <w:rFonts w:eastAsia="Calibri" w:cs="Times New Roman"/>
          <w:szCs w:val="22"/>
        </w:rPr>
      </w:pPr>
    </w:p>
    <w:p w14:paraId="02B33E73" w14:textId="77777777" w:rsidR="00695AE2" w:rsidRPr="00CB5050" w:rsidRDefault="00695AE2" w:rsidP="00695AE2">
      <w:pPr>
        <w:tabs>
          <w:tab w:val="left" w:pos="1440"/>
        </w:tabs>
        <w:spacing w:line="240" w:lineRule="auto"/>
        <w:jc w:val="both"/>
        <w:rPr>
          <w:rFonts w:eastAsia="Calibri"/>
          <w:szCs w:val="22"/>
        </w:rPr>
      </w:pPr>
      <w:r w:rsidRPr="00CB5050">
        <w:rPr>
          <w:rFonts w:eastAsia="Calibri"/>
          <w:szCs w:val="22"/>
        </w:rPr>
        <w:t>V januarju 2025 je bila z  odredbo generalne državne odvetnice ustanovljena delovna skupina za koordinacijo in oblikovanje stališč v zadevah »Agrarne skupnosti«.</w:t>
      </w:r>
    </w:p>
    <w:p w14:paraId="316F82BE" w14:textId="77777777" w:rsidR="00695AE2" w:rsidRPr="00CB5050" w:rsidRDefault="00695AE2" w:rsidP="00695AE2">
      <w:pPr>
        <w:tabs>
          <w:tab w:val="left" w:pos="1440"/>
          <w:tab w:val="center" w:pos="4535"/>
        </w:tabs>
        <w:spacing w:line="240" w:lineRule="auto"/>
        <w:jc w:val="both"/>
        <w:rPr>
          <w:rFonts w:eastAsia="Calibri"/>
          <w:szCs w:val="22"/>
        </w:rPr>
      </w:pPr>
      <w:r w:rsidRPr="00CB5050">
        <w:rPr>
          <w:rFonts w:eastAsia="Calibri"/>
          <w:szCs w:val="22"/>
        </w:rPr>
        <w:tab/>
      </w:r>
    </w:p>
    <w:p w14:paraId="1DF77903"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Zakon o agrarnih skupnostih (Uradni list RS, št. 74/2015; v nadaljevanju: ZAgrS) v 43.b členu (po uveljavitvi ZAgrS-A) določa, da Republika Slovenija neodplačno prenese svoj solastniški delež ali nedoločen delež na nepremičnini članov, ki je v skupni lastnini, v agrarni skupnosti na druge člane agrarne skupnosti, če tako odločitev sprejme občni zbor z večino vseh glasov. V tem primeru člani agrarne skupnosti pridobijo lastninsko pravico, ki je predmet prenosa, v enakem deležu. V 15. členu je ZAgrS določil, da se prenos solastniških deležev Republike </w:t>
      </w:r>
      <w:r w:rsidRPr="00CB5050">
        <w:rPr>
          <w:rFonts w:eastAsia="Times New Roman"/>
          <w:lang w:eastAsia="sl-SI"/>
        </w:rPr>
        <w:lastRenderedPageBreak/>
        <w:t xml:space="preserve">Slovenije izvede v dveh letih od uveljavitve novele. Novela ZAgrS-B je rok za prenos solastniškega deleža Republike Slovenije podaljšala za tri leta, pri čemer je triletni rok začel teči z uveljavitvijo novele, tj. dne 8. 5. 2024. </w:t>
      </w:r>
    </w:p>
    <w:p w14:paraId="39EA253B" w14:textId="77777777" w:rsidR="00695AE2" w:rsidRPr="00CB5050" w:rsidRDefault="00695AE2" w:rsidP="00695AE2">
      <w:pPr>
        <w:spacing w:line="240" w:lineRule="auto"/>
        <w:jc w:val="both"/>
        <w:rPr>
          <w:rFonts w:eastAsia="Calibri"/>
        </w:rPr>
      </w:pPr>
    </w:p>
    <w:p w14:paraId="66A32AAA" w14:textId="77777777" w:rsidR="00695AE2" w:rsidRPr="00CB5050" w:rsidRDefault="00695AE2" w:rsidP="00695AE2">
      <w:pPr>
        <w:spacing w:line="240" w:lineRule="auto"/>
        <w:jc w:val="both"/>
        <w:rPr>
          <w:rFonts w:eastAsia="Calibri"/>
          <w:szCs w:val="22"/>
        </w:rPr>
      </w:pPr>
      <w:r w:rsidRPr="00CB5050">
        <w:rPr>
          <w:rFonts w:eastAsia="Calibri"/>
          <w:szCs w:val="22"/>
        </w:rPr>
        <w:t xml:space="preserve">Iz obrazložitve predloga ZAgrS izhaja, da država kot član agrarnih skupnosti ne sodeluje pri razvoju in ohranjanju podeželja, razvoju kmetijstva in dobrobiti lokalnega prebivalstva, pri delovnih akcijah ter da to v praksi povzroča težave pri upravljanju s premoženjem agrarnih skupnosti. Hkrati je navedeno, da se predstavniki države kot člana agrarnih skupnosti ne udeležujejo občnih zborov. Ker je v skupnem interesu vseh, da se olajša delovanje agrarnih skupnosti, je zakonodajalec sprejel rešitev neodplačnega prenosa lastniškega deleža države na člane agrarne skupnosti. Država ima tako dolžnost neodplačnega prenosa deleža ob večinski odločitvi občnega zbora argrarne skupnosti. </w:t>
      </w:r>
    </w:p>
    <w:p w14:paraId="1CA89A9F" w14:textId="77777777" w:rsidR="00695AE2" w:rsidRPr="00CB5050" w:rsidRDefault="00695AE2" w:rsidP="00695AE2">
      <w:pPr>
        <w:spacing w:line="240" w:lineRule="auto"/>
        <w:jc w:val="both"/>
        <w:rPr>
          <w:rFonts w:eastAsia="Calibri"/>
          <w:szCs w:val="22"/>
        </w:rPr>
      </w:pPr>
    </w:p>
    <w:p w14:paraId="0B407798" w14:textId="77777777" w:rsidR="00695AE2" w:rsidRPr="00CB5050" w:rsidRDefault="00695AE2" w:rsidP="00695AE2">
      <w:pPr>
        <w:spacing w:line="240" w:lineRule="auto"/>
        <w:jc w:val="both"/>
        <w:rPr>
          <w:rFonts w:eastAsia="Calibri"/>
          <w:szCs w:val="22"/>
        </w:rPr>
      </w:pPr>
      <w:r w:rsidRPr="00CB5050">
        <w:rPr>
          <w:rFonts w:eastAsia="Calibri"/>
          <w:szCs w:val="22"/>
        </w:rPr>
        <w:t>Sklad kmetijskih zemljišč in gozdov (v nadaljevanju: SKZG) in družba Slovenski državni gozdovi d. o. o. (v nadaljevanju: SiDG, d. o. o.) sta na Ustavno sodišče vložila pobudi za začetek postopka za oceno ustavnosti prvega odstavka 43.b člena ZAgrS, ki sta bili zavrženi z obrazložitvijo, da predlagatelja nista izkazala pravnega interesa. Vendar sta dva ustavna sodnika v ločenih mnenjih opozorila, da pobudi odpirata pomembno vprašanje, ali se lahko državno premoženje neodplačno prenese v last članov agrarnih skupnosti.</w:t>
      </w:r>
    </w:p>
    <w:p w14:paraId="4338ADAD" w14:textId="77777777" w:rsidR="00695AE2" w:rsidRPr="00CB5050" w:rsidRDefault="00695AE2" w:rsidP="00695AE2">
      <w:pPr>
        <w:spacing w:line="240" w:lineRule="auto"/>
        <w:jc w:val="both"/>
        <w:rPr>
          <w:rFonts w:eastAsia="Calibri"/>
          <w:szCs w:val="22"/>
        </w:rPr>
      </w:pPr>
    </w:p>
    <w:p w14:paraId="706BAD2C"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zvezi z vprašanji sodnih postopkov, v katerih bi se izpodbijali sklepi občnih zborov agrarnih skupnosti, je Državno odvetništvo RS soočeno s pravnimi vprašanji, na katere bo odgovore lahko podalo zgolj sodišče. </w:t>
      </w:r>
    </w:p>
    <w:p w14:paraId="6DDF5D54" w14:textId="77777777" w:rsidR="00695AE2" w:rsidRPr="00CB5050" w:rsidRDefault="00695AE2" w:rsidP="00695AE2">
      <w:pPr>
        <w:spacing w:line="240" w:lineRule="auto"/>
        <w:jc w:val="both"/>
        <w:rPr>
          <w:rFonts w:eastAsia="Calibri"/>
          <w:szCs w:val="22"/>
        </w:rPr>
      </w:pPr>
    </w:p>
    <w:p w14:paraId="2D0C5288" w14:textId="77777777" w:rsidR="00695AE2" w:rsidRPr="00CB5050" w:rsidRDefault="00695AE2" w:rsidP="00695AE2">
      <w:pPr>
        <w:spacing w:line="240" w:lineRule="auto"/>
        <w:jc w:val="both"/>
        <w:rPr>
          <w:rFonts w:eastAsia="Calibri" w:cs="Times New Roman"/>
          <w:szCs w:val="22"/>
        </w:rPr>
      </w:pPr>
      <w:r w:rsidRPr="00CB5050">
        <w:rPr>
          <w:rFonts w:eastAsia="Calibri"/>
          <w:szCs w:val="22"/>
        </w:rPr>
        <w:t xml:space="preserve">Glede na ureditev veljavnosti izpodbijanja sklepov občnih zborov agrarnih skupnosti se primarno postavlja vprašanje stvarne pristojnosti sodišč. Za odločanje o sporih na podlagi 36. člena ZAgrS, torej o sporih iz razmerij med člani agrarne skupnosti, je pristojno pravdno sodišče. Agrarna skupnost je skladno s sodno prakso skupnost fizičnih in pravnih oseb na podlagi pogodbe. Te imajo skupne pravice, dolžnosti in obveznosti, določene z zakonom in pravili agrarne skupnosti. Vendar se narava spora spremeni, če pogoji za izpodbijanje sklepov občnih zborov na podlagi 36. člena ZAgrS niso izpolnjeni. Bodisi sklep občnega zbora agrarne skupnosti ni veljaven zaradi neizpolnjenega kvoruma zastopanja 20 odstotkov solastniških deležev bodisi je prekluzivni šestmesečni rok od sprejetja sklepa občnega zbora za izpodbijanje potekel. V zvezi s potekom roka za izpodbijanje sklepa je dodatno podana okoliščina, ki vpliva na presojo veljavnosti teka prekluzivnega roka, in sicer država s sprejetimi sklepi agrarnih skupnosti v nasprotju z določbami zakona ni bila veljavno seznanjena oziroma je bila s tem seznanjena po poteku zakonskega roka. Ob tem je mogoče uspešnost tožbenega zahtevka preizkusiti tudi v upravnem sporu na podlagi drugega odstavka 157. člena Ustave RS. Ustavno pravico do sodnega varstva v upravnem sporu je mogoče zagovarjati tudi, ko ne gre za akte in dejanja nosilcev oblasti, temveč ne glede na subjekt ogrožanja te pravice. Glede uveljavljanja vsake ustavne pravice mora biti namreč zagotovljeno sodno varstvo. Pristojnost upravnega sodišča ni podana, če je zagotovljeno varstvo pred rednim sodiščem. Slednje je razlog, da je Državno odvetništvo RS do sedaj prevzelo zastopanje SKZG in SiDG, d. o. o. ter vložilo tožbe pred rednimi sodišči. V več postopkih so agrarne skupnosti na podlagi vloženih tožb razveljavile sklepe o neodplačnem prenosu solastniških deležev z države na druge člane agrarnih skupnosti, zaradi česar so bile tožbe umaknjene. </w:t>
      </w:r>
    </w:p>
    <w:p w14:paraId="4CC6FE5A" w14:textId="77777777" w:rsidR="00695AE2" w:rsidRPr="00CB5050" w:rsidRDefault="00695AE2" w:rsidP="00695AE2">
      <w:pPr>
        <w:pStyle w:val="Jasna"/>
      </w:pPr>
    </w:p>
    <w:p w14:paraId="09189F76" w14:textId="77777777" w:rsidR="00695AE2" w:rsidRPr="00CB5050" w:rsidRDefault="00695AE2" w:rsidP="00695AE2">
      <w:pPr>
        <w:pStyle w:val="Naslov4"/>
        <w:ind w:left="0" w:firstLine="0"/>
      </w:pPr>
      <w:bookmarkStart w:id="556" w:name="_Toc95149732"/>
      <w:bookmarkStart w:id="557" w:name="_Toc168844943"/>
      <w:bookmarkStart w:id="558" w:name="_Toc191561919"/>
      <w:bookmarkStart w:id="559" w:name="_Toc223093917"/>
      <w:r w:rsidRPr="00CB5050">
        <w:lastRenderedPageBreak/>
        <w:t>Zadeve, ki se nanašajo na obravnavo zahtevkov iz naslova kršitev pogodb v zvezi s poslovanjem in obratovanjem Letališča E. Rusjana Maribor</w:t>
      </w:r>
      <w:bookmarkEnd w:id="556"/>
      <w:bookmarkEnd w:id="557"/>
      <w:bookmarkEnd w:id="558"/>
      <w:bookmarkEnd w:id="559"/>
    </w:p>
    <w:p w14:paraId="10AA2067" w14:textId="77777777" w:rsidR="00695AE2" w:rsidRPr="00CB5050" w:rsidRDefault="00695AE2" w:rsidP="00695AE2">
      <w:pPr>
        <w:pStyle w:val="Jasna"/>
      </w:pPr>
    </w:p>
    <w:p w14:paraId="69A9BB2D" w14:textId="77777777" w:rsidR="00695AE2" w:rsidRPr="00CB5050" w:rsidRDefault="00695AE2" w:rsidP="00695AE2">
      <w:pPr>
        <w:spacing w:line="240" w:lineRule="auto"/>
        <w:jc w:val="both"/>
        <w:rPr>
          <w:rFonts w:eastAsia="Calibri"/>
        </w:rPr>
      </w:pPr>
      <w:r w:rsidRPr="00CB5050">
        <w:rPr>
          <w:rFonts w:eastAsia="Calibri"/>
        </w:rPr>
        <w:t xml:space="preserve">Državno odvetništvo RS že od leta 2019 obravnava zadeve, v katerih so kot stranke udeležene Republika Slovenija in gospodarski družbi Aerodrom Maribor, podjetje za letališko dejavnost, gostinstvo in turizem d. o. o. (v nadaljevanju: Aerodrom Maribor) in Aerodrom nepremičnine, poslovanje z nepremičninami d. o. o. (v nadaljevanju: Aerodrom nepremičnine). Vse spore obravnavata članici delovne skupine, ki je bila zaradi celostne in enotne obravnave zadev z odredbo generalnega državnega odvetnika ustanovljena v letu 2021. </w:t>
      </w:r>
    </w:p>
    <w:p w14:paraId="2F7E8A2F" w14:textId="77777777" w:rsidR="00695AE2" w:rsidRPr="00CB5050" w:rsidRDefault="00695AE2" w:rsidP="00695AE2">
      <w:pPr>
        <w:spacing w:line="240" w:lineRule="auto"/>
        <w:jc w:val="both"/>
        <w:rPr>
          <w:rFonts w:eastAsia="Calibri"/>
        </w:rPr>
      </w:pPr>
    </w:p>
    <w:p w14:paraId="248808F0" w14:textId="77777777" w:rsidR="00695AE2" w:rsidRPr="00CB5050" w:rsidRDefault="00695AE2" w:rsidP="00695AE2">
      <w:pPr>
        <w:spacing w:line="240" w:lineRule="auto"/>
        <w:jc w:val="both"/>
        <w:rPr>
          <w:rFonts w:eastAsia="Calibri"/>
        </w:rPr>
      </w:pPr>
      <w:r w:rsidRPr="00CB5050">
        <w:rPr>
          <w:rFonts w:eastAsia="Calibri"/>
        </w:rPr>
        <w:t xml:space="preserve">V letu 2025 je delovna skupina imela v obravnavi tožbo iz naslova plačila odškodnine zaradi kršitve najemne pogodbe v višini 162.106,42 evrov s pp, tožbo na vzpostavitev ustreznega zavarovanja po 592. členu ZGD-1, tožbo na plačilo uporabnine v višini 125.229,17 evrov s pp, predlog za določitev nujne poti ter razlastitvena postopka. </w:t>
      </w:r>
    </w:p>
    <w:p w14:paraId="11CBAD31" w14:textId="77777777" w:rsidR="00695AE2" w:rsidRPr="00CB5050" w:rsidRDefault="00695AE2" w:rsidP="00695AE2">
      <w:pPr>
        <w:spacing w:line="240" w:lineRule="auto"/>
        <w:jc w:val="both"/>
        <w:rPr>
          <w:rFonts w:eastAsia="Calibri"/>
        </w:rPr>
      </w:pPr>
    </w:p>
    <w:p w14:paraId="4DBFE7A6" w14:textId="77777777" w:rsidR="00695AE2" w:rsidRPr="00CB5050" w:rsidRDefault="00695AE2" w:rsidP="00695AE2">
      <w:pPr>
        <w:spacing w:line="240" w:lineRule="auto"/>
        <w:jc w:val="both"/>
        <w:rPr>
          <w:rFonts w:eastAsia="Calibri"/>
        </w:rPr>
      </w:pPr>
      <w:r w:rsidRPr="00CB5050">
        <w:rPr>
          <w:rFonts w:eastAsia="Calibri"/>
        </w:rPr>
        <w:t xml:space="preserve">Vse zadeve se nanašajo na spore, ki izvirajo iz naslova obratovanja in upravljanja z Letališčem Edvarda Rusjana Maribor (v nadaljevanju: LERM), predvsem iz naslova odpovedi v letu 2017 sklenjene najemne pogodbe in leto prej sklenjene pogodbe o ustanovitvi odplačne stvarne služnosti, za katero je bilo pravnomočno ugotovljeno, da je služnostna pogodba nična, v posledici česar dostop do varovanega dela letališča v lasti Republike Slovenije ni urejen. </w:t>
      </w:r>
    </w:p>
    <w:p w14:paraId="5626A3A5" w14:textId="77777777" w:rsidR="00695AE2" w:rsidRPr="00CB5050" w:rsidRDefault="00695AE2" w:rsidP="00695AE2">
      <w:pPr>
        <w:spacing w:line="240" w:lineRule="auto"/>
        <w:jc w:val="both"/>
        <w:rPr>
          <w:rFonts w:eastAsia="Calibri"/>
        </w:rPr>
      </w:pPr>
    </w:p>
    <w:p w14:paraId="2360D0B4" w14:textId="77777777" w:rsidR="00695AE2" w:rsidRPr="00CB5050" w:rsidRDefault="00695AE2" w:rsidP="00695AE2">
      <w:pPr>
        <w:spacing w:line="240" w:lineRule="auto"/>
        <w:jc w:val="both"/>
        <w:rPr>
          <w:rFonts w:eastAsia="Calibri"/>
        </w:rPr>
      </w:pPr>
      <w:r w:rsidRPr="00CB5050">
        <w:rPr>
          <w:rFonts w:eastAsia="Calibri"/>
        </w:rPr>
        <w:t>Problem v zvezi z nemotenim obratovanjem in upravljanjem z letališčem še vedno predstavlja dostop do varovanega dela letališča, v okviru katerega se nahajajo vzletno pristajalna steza, kontrolni stolp, hangarji in drugi letališki objekti, in ki poteka po nepremičninah, ki so v lasti Aerodroma Maribor in Aerodroma nepremičnine. Dejstvo tudi je, da LERM ne predstavlja le infrastrukturnega objekta državnega pomena, kot je bil opredeljen s sklepom Vlade RS v letu 2006. LERM je za državo izrednega pomena tudi zato, ker predstavlja infrastrukturni objekt, ki je bil s sklepom Vlade RS dne 7. 2. 2019 razglašen za objekt, ki je sestavni del kritične infrastrukture Republike Slovenije. Nadalje je Republika Slovenija dolžna na podlagi Uredbe (EU) 2016/399 in Zakonika Unije o pravilih, ki določajo gibanje oseb preko meja (zakonih o Schengenskih mejah) in nacionalne Uredbe o določitvi mejnih prehodov Republike Slovenije na LERM vsakodnevno izvajati kontrolo v okviru mejnega prehoda za mednarodni zračni promet. Z LERM se izvajajo nujne službe, ki so nujne za obratovanje, vzdrževanje in varovanje letališča in jih kot tak predpisuje tudi Zakon o letalstvu. Na LERM opravlja svoje delo tudi služba nujne medicinske pomoči in z LERM opravlja svojo dejavnost tudi Evrotransplant. Zaradi vseh dejavnosti in pristojnosti, ki se izvršujejo na LERM, je urejen dostop in možnost parkiranja za službena vozila še toliko bolj pomemben.</w:t>
      </w:r>
    </w:p>
    <w:p w14:paraId="5433421C" w14:textId="77777777" w:rsidR="00695AE2" w:rsidRPr="00CB5050" w:rsidRDefault="00695AE2" w:rsidP="00695AE2">
      <w:pPr>
        <w:spacing w:line="240" w:lineRule="auto"/>
        <w:jc w:val="both"/>
        <w:rPr>
          <w:rFonts w:eastAsia="Calibri"/>
        </w:rPr>
      </w:pPr>
    </w:p>
    <w:p w14:paraId="4D7C1944" w14:textId="77777777" w:rsidR="00695AE2" w:rsidRPr="00CB5050" w:rsidRDefault="00695AE2" w:rsidP="00695AE2">
      <w:pPr>
        <w:spacing w:line="240" w:lineRule="auto"/>
        <w:jc w:val="both"/>
        <w:rPr>
          <w:rFonts w:eastAsia="Calibri"/>
        </w:rPr>
      </w:pPr>
      <w:r w:rsidRPr="00CB5050">
        <w:rPr>
          <w:rFonts w:eastAsia="Calibri"/>
        </w:rPr>
        <w:t>Državno odvetništvo RS si vseskozi prizadeva, da bi se spori rešili po mirni poti, a do tega tudi v letu 2025 ni prišlo.</w:t>
      </w:r>
    </w:p>
    <w:p w14:paraId="7C92CA20" w14:textId="77777777" w:rsidR="00695AE2" w:rsidRPr="00CB5050" w:rsidRDefault="00695AE2" w:rsidP="00695AE2">
      <w:pPr>
        <w:spacing w:line="240" w:lineRule="auto"/>
        <w:jc w:val="both"/>
        <w:rPr>
          <w:rFonts w:eastAsia="Calibri"/>
        </w:rPr>
      </w:pPr>
    </w:p>
    <w:p w14:paraId="266135C6" w14:textId="77777777" w:rsidR="00695AE2" w:rsidRPr="00CB5050" w:rsidRDefault="00695AE2" w:rsidP="00695AE2">
      <w:pPr>
        <w:spacing w:line="240" w:lineRule="auto"/>
        <w:jc w:val="both"/>
        <w:rPr>
          <w:rFonts w:eastAsia="Calibri"/>
        </w:rPr>
      </w:pPr>
      <w:r w:rsidRPr="00CB5050">
        <w:rPr>
          <w:rFonts w:eastAsia="Calibri"/>
        </w:rPr>
        <w:t xml:space="preserve">Državno odvetništvo RS glede na stanje sodnih postopkov in postopkov razlastitve ter glede na stanje poravnalnih pogajanj še vedno meni, da je smiselno spore končati po mirni poti, in si prizadeva za sklenitev sodne poravnave, predvsem iz razloga, ker sodna poravnava pomeni takojšnjo rešitev problema dostopa in parkiranja na LERM, nadalje, ker je poravnava edino smiselna in tudi ekonomsko upravičena in nenazadnje tudi iz razloga, ker številne tožbe med </w:t>
      </w:r>
      <w:r w:rsidRPr="00CB5050">
        <w:rPr>
          <w:rFonts w:eastAsia="Calibri"/>
        </w:rPr>
        <w:lastRenderedPageBreak/>
        <w:t>nekdanjima poslovnima partnerjema ne predstavljajo prave poti k ureditvi vseh spornih razmerij.</w:t>
      </w:r>
    </w:p>
    <w:p w14:paraId="7A58A20D" w14:textId="77777777" w:rsidR="00695AE2" w:rsidRPr="00CB5050" w:rsidRDefault="00695AE2" w:rsidP="00695AE2">
      <w:pPr>
        <w:spacing w:line="240" w:lineRule="auto"/>
        <w:jc w:val="both"/>
        <w:rPr>
          <w:rFonts w:eastAsia="Calibri"/>
        </w:rPr>
      </w:pPr>
    </w:p>
    <w:p w14:paraId="354DC49C" w14:textId="77777777" w:rsidR="00695AE2" w:rsidRPr="00CB5050" w:rsidRDefault="00695AE2" w:rsidP="00695AE2">
      <w:pPr>
        <w:pStyle w:val="Naslov4"/>
        <w:rPr>
          <w:bCs/>
        </w:rPr>
      </w:pPr>
      <w:bookmarkStart w:id="560" w:name="_Toc223093918"/>
      <w:r w:rsidRPr="00CB5050">
        <w:t>Zadeve lovskih družin zaradi ugotovitve lastninske pravice</w:t>
      </w:r>
      <w:bookmarkEnd w:id="560"/>
      <w:r w:rsidRPr="00CB5050">
        <w:t xml:space="preserve"> </w:t>
      </w:r>
    </w:p>
    <w:p w14:paraId="037C6021" w14:textId="77777777" w:rsidR="00695AE2" w:rsidRPr="00CB5050" w:rsidRDefault="00695AE2" w:rsidP="00695AE2">
      <w:pPr>
        <w:spacing w:line="240" w:lineRule="auto"/>
        <w:jc w:val="both"/>
        <w:rPr>
          <w:rFonts w:eastAsia="Calibri"/>
          <w:szCs w:val="22"/>
        </w:rPr>
      </w:pPr>
    </w:p>
    <w:p w14:paraId="55808217" w14:textId="77777777" w:rsidR="00695AE2" w:rsidRPr="00CB5050" w:rsidRDefault="00695AE2" w:rsidP="00695AE2">
      <w:pPr>
        <w:spacing w:line="240" w:lineRule="auto"/>
        <w:jc w:val="both"/>
        <w:rPr>
          <w:rFonts w:eastAsia="Calibri"/>
          <w:szCs w:val="22"/>
        </w:rPr>
      </w:pPr>
      <w:r w:rsidRPr="00CB5050">
        <w:rPr>
          <w:rFonts w:eastAsia="Calibri"/>
          <w:szCs w:val="22"/>
        </w:rPr>
        <w:t>Na podlagi Zakona o Skladu kmetijskih zemljišč in gozdov Republike Slovenije (v nadaljevanju: ZSKZ), ki je pričel veljati 11. 3. 1993 in določil, da kmetijska zemljišča, kmetije in gozdovi v družbeni lastnini, ki niso postali last Republike Slovenije oziroma občin po Zakonu o lastninskem preoblikovanju podjetij (ZLPP) oziroma po Zakonu o zadrugah (ZZad), ter kmetijska zemljišča in gozdovi, ki so jih temeljne organizacije kooperantov dobile v upravljanje in razpolago na neodplačen način, postanejo z dnem uveljavitve tega zakona last Republike Slovenije, Državno odvetništvo RS na predlog Sklada kmetijskih zemljišč in gozdov (SKZG) vlaga lastninske tožbe zoper lovske družine, saj te prostovoljno s pogodbo ne prenašajo kmetijskih zemljišč na Republiko Slovenijo.</w:t>
      </w:r>
    </w:p>
    <w:p w14:paraId="3E0B9DB9" w14:textId="77777777" w:rsidR="00695AE2" w:rsidRPr="00CB5050" w:rsidRDefault="00695AE2" w:rsidP="00695AE2">
      <w:pPr>
        <w:spacing w:line="240" w:lineRule="auto"/>
        <w:jc w:val="both"/>
        <w:rPr>
          <w:rFonts w:eastAsia="Calibri"/>
          <w:szCs w:val="22"/>
        </w:rPr>
      </w:pPr>
    </w:p>
    <w:p w14:paraId="5EAE953A" w14:textId="77777777" w:rsidR="00695AE2" w:rsidRPr="00CB5050" w:rsidRDefault="00695AE2" w:rsidP="00695AE2">
      <w:pPr>
        <w:spacing w:line="240" w:lineRule="auto"/>
        <w:jc w:val="both"/>
        <w:rPr>
          <w:rFonts w:eastAsia="Calibri"/>
          <w:szCs w:val="22"/>
        </w:rPr>
      </w:pPr>
      <w:r w:rsidRPr="00CB5050">
        <w:rPr>
          <w:rFonts w:eastAsia="Calibri"/>
          <w:szCs w:val="22"/>
        </w:rPr>
        <w:t xml:space="preserve">Kmetijska zemljišča so lovske družine lahko pridobile le po predpisih o prometu s kmetijskimi zemljišči na podlagi predkupne pravice kot kmetijske organizacije, zato je na pridobljenih kmetijskih zemljiščih lovska družina pridobila le pravico uporabe, nepremičnine pa so bile v družbeni lastnini. </w:t>
      </w:r>
    </w:p>
    <w:p w14:paraId="6A9FB5CC" w14:textId="77777777" w:rsidR="00695AE2" w:rsidRPr="00CB5050" w:rsidRDefault="00695AE2" w:rsidP="00695AE2">
      <w:pPr>
        <w:spacing w:line="240" w:lineRule="auto"/>
        <w:jc w:val="both"/>
        <w:rPr>
          <w:rFonts w:eastAsia="Calibri"/>
          <w:szCs w:val="22"/>
        </w:rPr>
      </w:pPr>
    </w:p>
    <w:p w14:paraId="0C0E4A40" w14:textId="77777777" w:rsidR="00695AE2" w:rsidRPr="00CB5050" w:rsidRDefault="00695AE2" w:rsidP="00695AE2">
      <w:pPr>
        <w:spacing w:line="240" w:lineRule="auto"/>
        <w:jc w:val="both"/>
        <w:rPr>
          <w:rFonts w:eastAsia="Calibri"/>
          <w:szCs w:val="22"/>
        </w:rPr>
      </w:pPr>
      <w:r w:rsidRPr="00CB5050">
        <w:rPr>
          <w:rFonts w:eastAsia="Calibri"/>
          <w:szCs w:val="22"/>
        </w:rPr>
        <w:t xml:space="preserve">Vrhovno sodišče RS je že večkrat odločilo, da ni pomembno, ali je lovska družina zemljišča pridobila odplačno, ali je njihov singularni pravni prednik na teh zemljiščih imel lastninsko pravico ali pravico uporabe in ali je bila po prenosu na kmetijskem zemljišču na lovsko družino vpisana lastninska pravica ali pravica uporabe. V vsakem primeru so po prenosu na lovsko družino kmetijska zemljišča prešla v družbeno lastnino. </w:t>
      </w:r>
    </w:p>
    <w:p w14:paraId="1B432563" w14:textId="77777777" w:rsidR="00695AE2" w:rsidRPr="00CB5050" w:rsidRDefault="00695AE2" w:rsidP="00695AE2">
      <w:pPr>
        <w:spacing w:line="240" w:lineRule="auto"/>
        <w:jc w:val="both"/>
        <w:rPr>
          <w:rFonts w:eastAsia="Calibri"/>
          <w:szCs w:val="22"/>
        </w:rPr>
      </w:pPr>
    </w:p>
    <w:p w14:paraId="79FDF9EA" w14:textId="77777777" w:rsidR="00695AE2" w:rsidRPr="00CB5050" w:rsidRDefault="00695AE2" w:rsidP="00695AE2">
      <w:pPr>
        <w:spacing w:line="240" w:lineRule="auto"/>
        <w:jc w:val="both"/>
        <w:rPr>
          <w:rFonts w:eastAsia="Calibri"/>
          <w:szCs w:val="22"/>
        </w:rPr>
      </w:pPr>
      <w:r w:rsidRPr="00CB5050">
        <w:rPr>
          <w:rFonts w:eastAsia="Calibri"/>
          <w:szCs w:val="22"/>
        </w:rPr>
        <w:t>Lovske družine so bile družbene organizacije, ki so delovale v družbenem interesu in so lahko imele na svojih sredstvih (nepremičninah) zgolj družbeno lastnino.</w:t>
      </w:r>
    </w:p>
    <w:p w14:paraId="1F6973A1" w14:textId="77777777" w:rsidR="00695AE2" w:rsidRPr="00CB5050" w:rsidRDefault="00695AE2" w:rsidP="00695AE2">
      <w:pPr>
        <w:spacing w:line="240" w:lineRule="auto"/>
        <w:jc w:val="both"/>
        <w:rPr>
          <w:rFonts w:eastAsia="Calibri"/>
          <w:szCs w:val="22"/>
        </w:rPr>
      </w:pPr>
    </w:p>
    <w:p w14:paraId="2B85B770" w14:textId="77777777" w:rsidR="00695AE2" w:rsidRPr="00CB5050" w:rsidRDefault="00695AE2" w:rsidP="00695AE2">
      <w:pPr>
        <w:spacing w:line="240" w:lineRule="auto"/>
        <w:jc w:val="both"/>
        <w:rPr>
          <w:rFonts w:eastAsia="Calibri"/>
          <w:szCs w:val="22"/>
        </w:rPr>
      </w:pPr>
      <w:r w:rsidRPr="00CB5050">
        <w:rPr>
          <w:rFonts w:eastAsia="Calibri"/>
          <w:szCs w:val="22"/>
        </w:rPr>
        <w:t>Iz navedenega nedvomno izhaja, da je lastnica kmetijskih zemljišč, ki so bila v upravljanju lovskih družin po 14. členu ZSKZ, postala Republika Slovenija. Ostaja pa pomislek glede zahtevkov po prenosu lastninske pravice po preteku več kot 30 let po sprejetju zakona.</w:t>
      </w:r>
    </w:p>
    <w:p w14:paraId="43DB1642" w14:textId="77777777" w:rsidR="00695AE2" w:rsidRPr="00CB5050" w:rsidRDefault="00695AE2" w:rsidP="00695AE2">
      <w:pPr>
        <w:spacing w:line="240" w:lineRule="auto"/>
        <w:jc w:val="both"/>
        <w:rPr>
          <w:rFonts w:eastAsia="Calibri"/>
          <w:szCs w:val="22"/>
        </w:rPr>
      </w:pPr>
    </w:p>
    <w:p w14:paraId="46F1C242" w14:textId="77777777" w:rsidR="00695AE2" w:rsidRPr="00F32CED" w:rsidRDefault="00695AE2" w:rsidP="00695AE2">
      <w:pPr>
        <w:spacing w:line="240" w:lineRule="auto"/>
        <w:jc w:val="both"/>
        <w:rPr>
          <w:rFonts w:eastAsia="Calibri"/>
          <w:szCs w:val="22"/>
        </w:rPr>
      </w:pPr>
      <w:r w:rsidRPr="00CB5050">
        <w:rPr>
          <w:rFonts w:eastAsia="Calibri"/>
          <w:szCs w:val="22"/>
        </w:rPr>
        <w:t>Istovrstni spori se vrstijo že vrsto let, sodna praksa se je izoblikovala, vendar lovske družine z novimi pooblaščenci še vedno vztrajajo pri dosedanjih in na instancah že preizkušenih stališčih. Prav tako je bil neuspešen poskus spremembe ZSKZ (predlagano je bilo določilo, da bi kmetijska zemljišča, ki so v uporabi lovskih družin, prešla v last lovskih družin po samem zakonu).</w:t>
      </w:r>
    </w:p>
    <w:p w14:paraId="43B6477A" w14:textId="77777777" w:rsidR="00695AE2" w:rsidRPr="00CB5050" w:rsidRDefault="00695AE2" w:rsidP="00695AE2">
      <w:pPr>
        <w:spacing w:line="240" w:lineRule="auto"/>
        <w:jc w:val="both"/>
        <w:rPr>
          <w:rFonts w:eastAsia="Calibri"/>
          <w:sz w:val="32"/>
          <w:szCs w:val="32"/>
        </w:rPr>
      </w:pPr>
    </w:p>
    <w:p w14:paraId="42E0E392" w14:textId="77777777" w:rsidR="00695AE2" w:rsidRPr="00CB5050" w:rsidRDefault="00695AE2" w:rsidP="00695AE2">
      <w:pPr>
        <w:pStyle w:val="Naslov2"/>
      </w:pPr>
      <w:bookmarkStart w:id="561" w:name="_Toc95149735"/>
      <w:bookmarkStart w:id="562" w:name="_Toc168844945"/>
      <w:bookmarkStart w:id="563" w:name="_Toc191561923"/>
      <w:bookmarkStart w:id="564" w:name="_Toc223093919"/>
      <w:r w:rsidRPr="00CB5050">
        <w:t>Delovnopravne in socialnopravne zadeve</w:t>
      </w:r>
      <w:bookmarkEnd w:id="561"/>
      <w:bookmarkEnd w:id="562"/>
      <w:bookmarkEnd w:id="563"/>
      <w:bookmarkEnd w:id="564"/>
    </w:p>
    <w:p w14:paraId="4887201F" w14:textId="77777777" w:rsidR="00695AE2" w:rsidRPr="00CB5050" w:rsidRDefault="00695AE2" w:rsidP="00695AE2">
      <w:pPr>
        <w:spacing w:line="240" w:lineRule="auto"/>
        <w:rPr>
          <w:rFonts w:eastAsia="Calibri"/>
          <w:sz w:val="32"/>
          <w:szCs w:val="32"/>
        </w:rPr>
      </w:pPr>
    </w:p>
    <w:p w14:paraId="02E81510" w14:textId="77777777" w:rsidR="00695AE2" w:rsidRPr="00CB5050" w:rsidRDefault="00695AE2" w:rsidP="00695AE2">
      <w:pPr>
        <w:pStyle w:val="Naslov3"/>
      </w:pPr>
      <w:bookmarkStart w:id="565" w:name="_Toc95149736"/>
      <w:bookmarkStart w:id="566" w:name="_Toc168844946"/>
      <w:bookmarkStart w:id="567" w:name="_Toc191561924"/>
      <w:bookmarkStart w:id="568" w:name="_Toc223093920"/>
      <w:r w:rsidRPr="00CB5050">
        <w:t>Uvod</w:t>
      </w:r>
      <w:bookmarkEnd w:id="565"/>
      <w:bookmarkEnd w:id="566"/>
      <w:bookmarkEnd w:id="567"/>
      <w:bookmarkEnd w:id="568"/>
    </w:p>
    <w:p w14:paraId="1C7CCB73" w14:textId="77777777" w:rsidR="00695AE2" w:rsidRPr="00CB5050" w:rsidRDefault="00695AE2" w:rsidP="00695AE2">
      <w:pPr>
        <w:spacing w:line="240" w:lineRule="auto"/>
        <w:rPr>
          <w:rFonts w:eastAsia="Calibri"/>
          <w:sz w:val="28"/>
          <w:szCs w:val="28"/>
        </w:rPr>
      </w:pPr>
    </w:p>
    <w:p w14:paraId="7A95BCF0" w14:textId="77777777" w:rsidR="00695AE2" w:rsidRPr="00CB5050" w:rsidRDefault="00695AE2" w:rsidP="00695AE2">
      <w:pPr>
        <w:spacing w:line="240" w:lineRule="auto"/>
        <w:jc w:val="both"/>
        <w:rPr>
          <w:rFonts w:eastAsia="Calibri"/>
          <w:color w:val="007466"/>
        </w:rPr>
      </w:pPr>
      <w:r w:rsidRPr="00CB5050">
        <w:rPr>
          <w:rFonts w:eastAsia="Calibri"/>
        </w:rPr>
        <w:t xml:space="preserve">Republika Slovenija je delodajalec, ki v državi zaposluje daleč največ delavcev, posledično je tudi največkrat udeležena kot tožena stranka tako v individualnih kot tudi v kolektivnih delovnih sporih.  </w:t>
      </w:r>
    </w:p>
    <w:p w14:paraId="4FDAE5DA" w14:textId="77777777" w:rsidR="00695AE2" w:rsidRPr="00CB5050" w:rsidRDefault="00695AE2" w:rsidP="00695AE2">
      <w:pPr>
        <w:spacing w:line="240" w:lineRule="auto"/>
        <w:jc w:val="both"/>
        <w:rPr>
          <w:rFonts w:eastAsia="Calibri"/>
        </w:rPr>
      </w:pPr>
      <w:r w:rsidRPr="00CB5050">
        <w:rPr>
          <w:rFonts w:eastAsia="Calibri"/>
          <w:color w:val="007466"/>
        </w:rPr>
        <w:lastRenderedPageBreak/>
        <w:t>Delovna in socialna sodišča</w:t>
      </w:r>
      <w:r w:rsidRPr="00CB5050">
        <w:rPr>
          <w:rFonts w:eastAsia="Calibri"/>
        </w:rPr>
        <w:t xml:space="preserve"> so specializirana sodišča za odločanje v individualnih in kolektivnih delovnih sporih ter v socialnih sporih. </w:t>
      </w:r>
    </w:p>
    <w:p w14:paraId="1BB0AEEB" w14:textId="77777777" w:rsidR="00695AE2" w:rsidRPr="00CB5050" w:rsidRDefault="00695AE2" w:rsidP="00695AE2">
      <w:pPr>
        <w:spacing w:line="240" w:lineRule="auto"/>
        <w:jc w:val="both"/>
        <w:rPr>
          <w:rFonts w:eastAsia="Calibri"/>
        </w:rPr>
      </w:pPr>
    </w:p>
    <w:p w14:paraId="6433353A" w14:textId="77777777" w:rsidR="00695AE2" w:rsidRPr="00CB5050" w:rsidRDefault="00695AE2" w:rsidP="00695AE2">
      <w:pPr>
        <w:spacing w:line="240" w:lineRule="auto"/>
        <w:jc w:val="both"/>
        <w:rPr>
          <w:rFonts w:eastAsia="Calibri"/>
        </w:rPr>
      </w:pPr>
      <w:r w:rsidRPr="00CB5050">
        <w:rPr>
          <w:rFonts w:eastAsia="Calibri"/>
          <w:color w:val="007466"/>
        </w:rPr>
        <w:t xml:space="preserve">Individualni delovni spori </w:t>
      </w:r>
      <w:r w:rsidRPr="00CB5050">
        <w:rPr>
          <w:rFonts w:eastAsia="Calibri"/>
        </w:rPr>
        <w:t xml:space="preserve">so spori med delavcem in delodajalcem, njihov predmet so individualna pravica, obveznost ali pravno razmerje. </w:t>
      </w:r>
    </w:p>
    <w:p w14:paraId="1B8DD354" w14:textId="77777777" w:rsidR="00695AE2" w:rsidRPr="00CB5050" w:rsidRDefault="00695AE2" w:rsidP="00695AE2">
      <w:pPr>
        <w:spacing w:line="240" w:lineRule="auto"/>
        <w:jc w:val="both"/>
        <w:rPr>
          <w:rFonts w:eastAsia="Calibri"/>
        </w:rPr>
      </w:pPr>
    </w:p>
    <w:p w14:paraId="2AF10E84" w14:textId="77777777" w:rsidR="00695AE2" w:rsidRPr="00CB5050" w:rsidRDefault="00695AE2" w:rsidP="00695AE2">
      <w:pPr>
        <w:spacing w:line="240" w:lineRule="auto"/>
        <w:jc w:val="both"/>
        <w:rPr>
          <w:rFonts w:eastAsia="Calibri"/>
        </w:rPr>
      </w:pPr>
      <w:r w:rsidRPr="00CB5050">
        <w:rPr>
          <w:rFonts w:eastAsia="Calibri"/>
        </w:rPr>
        <w:t>Delovna sodišča so skladno s svojo pristojnostjo v sporih z Republiko Slovenijo kot pravdno stranko v obdobju poročanja odločala v individualnih sporih naslednje vsebine:</w:t>
      </w:r>
    </w:p>
    <w:p w14:paraId="7CC69EFD" w14:textId="77777777" w:rsidR="00695AE2" w:rsidRPr="00CB5050" w:rsidRDefault="00695AE2" w:rsidP="00695AE2">
      <w:pPr>
        <w:numPr>
          <w:ilvl w:val="0"/>
          <w:numId w:val="113"/>
        </w:numPr>
        <w:spacing w:after="160" w:line="240" w:lineRule="auto"/>
        <w:jc w:val="both"/>
        <w:rPr>
          <w:rFonts w:eastAsia="Calibri"/>
        </w:rPr>
      </w:pPr>
      <w:r w:rsidRPr="00CB5050">
        <w:rPr>
          <w:rFonts w:eastAsia="Calibri"/>
        </w:rPr>
        <w:t xml:space="preserve">o sklenitvi pogodbe o zaposlitvi (zaradi ugotovitve, da je bila pogodba o zaposlitvi sklenjena, zaradi ugotavljanja bistvene vsebine pogodbe o zaposlitvi, zaradi ugotovitve datuma nastopa dela ali sklenitve pogodbe o zaposlitvi, zaradi ugotovitev elementov delovnega razmerja, zaradi izročitve pisne pogodbe o zaposlitvi delavcu), o obstoju pogodbe o zaposlitvi (zaradi ugotovitve vseh elementov delovnega razmerja oziroma ali je delavec, ki sicer ni imel sklenjene pogodbe o zaposlitvi, dejansko opravljal delo, kot bi ga, če bi bil v delovnem razmerju, in ali je bila torej »de facto« sklenjena pogodba o zaposlitvi; največkrat gre za spore na ugotovitev spremembe pogodbe o zaposlitvi za določen čas v pogodbo o zaposlitvi za nedoločen čas), o trajanju in prenehanju delovnega razmerja (zaradi ugotovitve o (ne)zakonitosti izredne oziroma redne odpovedi pogodbe o zaposlitvi z reintegracijskim in reparacijskim zahtevkom oziroma zaradi predloga po 118. členu ZDR-1, tj. o sodni razvezi pogodbe o zaposlitvi, dodatno tudi spori glede ugotavljanja obstoja razloga nesposobnosti oziroma neuspešno zaključenega poskusnega dela); </w:t>
      </w:r>
    </w:p>
    <w:p w14:paraId="6ACE4339" w14:textId="77777777" w:rsidR="00695AE2" w:rsidRPr="00CB5050" w:rsidRDefault="00695AE2" w:rsidP="00695AE2">
      <w:pPr>
        <w:numPr>
          <w:ilvl w:val="0"/>
          <w:numId w:val="113"/>
        </w:numPr>
        <w:spacing w:after="160" w:line="240" w:lineRule="auto"/>
        <w:jc w:val="both"/>
        <w:rPr>
          <w:rFonts w:eastAsia="Calibri"/>
        </w:rPr>
      </w:pPr>
      <w:r w:rsidRPr="00CB5050">
        <w:rPr>
          <w:rFonts w:eastAsia="Calibri"/>
        </w:rPr>
        <w:t>o pravicah in obveznostih, ki jih določa ZDR-1 in/ali so dogovorjene v pogodbi o zaposlitvi (opravljanje pripravništva, poskusno delo, plača in sestavine plače, povračilo stroškov v zvezi z delom, regres, odpravnina ob upokojitvi, nadomestilo plače, delovni čas ter v zvezi s tem plačilo nadurnega dela, dodatnega plačila za čas odrejene stalne pripravljenosti na določenem kraju, odmori in počitki, letni dopust, druge odsotnosti z dela, opravljanje drugega dela zaradi izjemnih okoliščin in izobraževanje, plačila po dejansko opravljenem delu, izpolnjevanje pogojev za napredovanje v plačnem razredu), ter o odgovornostih (disciplinske odgovornosti zaradi kršitev delovnih obveznosti, odškodninske odgovornosti, tj. odgovornost delavca za škodo, ki jo ta povzroči tretji osebi ali delodajalcu na delu ali v zvezi z delom, in odgovornost delodajalca za škodo, ki jo njegov delavec pretrpi pri delu oziroma v zvezi z delom, tj. zaradi poškodbe pri delu ali v zvezi z delom in poklicne bolezni, vključno za škodo, ki jo je delodajalec povzročil delavcu s kršenjem pravic iz delovnega razmerja), o regresnih zahtevkih delodajalca zoper svojega delavca, povzročitelja škode;</w:t>
      </w:r>
    </w:p>
    <w:p w14:paraId="05F5D088" w14:textId="77777777" w:rsidR="00695AE2" w:rsidRPr="00CB5050" w:rsidRDefault="00695AE2" w:rsidP="00695AE2">
      <w:pPr>
        <w:numPr>
          <w:ilvl w:val="0"/>
          <w:numId w:val="113"/>
        </w:numPr>
        <w:spacing w:after="160" w:line="240" w:lineRule="auto"/>
        <w:jc w:val="both"/>
        <w:rPr>
          <w:rFonts w:eastAsia="Calibri"/>
        </w:rPr>
      </w:pPr>
      <w:r w:rsidRPr="00CB5050">
        <w:rPr>
          <w:rFonts w:eastAsia="Calibri"/>
        </w:rPr>
        <w:t>v zvezi s postopkom zaposlovanja delavca med delodajalcem in kandidatom (spori, ko neizbrani kandidat zahteva sodno varstvo pred delovnim sodiščem, če meni, da so bile pri izbiri kršene določbe ZDR o prepovedi diskriminacije, pa tudi glede napotitve na zdravniški pregled na stroške delodajalca, izročitve pisnega obvestila kandidatu, da ni bil izbran, ali vrnitve dokumentov, ki jih je kandidat predložil kot dokaz za izpolnjevanje zahtevanih pogojev za opravljanje dela).</w:t>
      </w:r>
    </w:p>
    <w:p w14:paraId="424D9765" w14:textId="77777777" w:rsidR="00695AE2" w:rsidRPr="00CB5050" w:rsidRDefault="00695AE2" w:rsidP="00695AE2">
      <w:pPr>
        <w:spacing w:line="240" w:lineRule="auto"/>
        <w:jc w:val="both"/>
        <w:rPr>
          <w:rFonts w:eastAsia="Calibri"/>
        </w:rPr>
      </w:pPr>
    </w:p>
    <w:p w14:paraId="35B5DB0E" w14:textId="77777777" w:rsidR="00695AE2" w:rsidRPr="00CB5050" w:rsidRDefault="00695AE2" w:rsidP="00695AE2">
      <w:pPr>
        <w:spacing w:line="240" w:lineRule="auto"/>
        <w:jc w:val="both"/>
        <w:rPr>
          <w:rFonts w:eastAsia="Calibri"/>
        </w:rPr>
      </w:pPr>
      <w:r w:rsidRPr="00CB5050">
        <w:rPr>
          <w:rFonts w:eastAsia="Calibri"/>
        </w:rPr>
        <w:lastRenderedPageBreak/>
        <w:t xml:space="preserve">V individualnih delovnih sporih Državno odvetništvo RS opravlja zakonito zastopstvo Republike Slovenije v funkciji delodajalca, največkrat kot tožena, dosti redkeje pa kot tožeča stranka.  </w:t>
      </w:r>
    </w:p>
    <w:p w14:paraId="1CA16801" w14:textId="77777777" w:rsidR="00695AE2" w:rsidRPr="00CB5050" w:rsidRDefault="00695AE2" w:rsidP="00695AE2">
      <w:pPr>
        <w:spacing w:line="240" w:lineRule="auto"/>
        <w:jc w:val="both"/>
        <w:rPr>
          <w:rFonts w:eastAsia="Calibri"/>
        </w:rPr>
      </w:pPr>
    </w:p>
    <w:p w14:paraId="771F9F83" w14:textId="77777777" w:rsidR="00695AE2" w:rsidRPr="00CB5050" w:rsidRDefault="00695AE2" w:rsidP="00695AE2">
      <w:pPr>
        <w:spacing w:line="240" w:lineRule="auto"/>
        <w:jc w:val="both"/>
        <w:rPr>
          <w:rFonts w:eastAsia="Calibri"/>
        </w:rPr>
      </w:pPr>
      <w:r w:rsidRPr="00CB5050">
        <w:rPr>
          <w:rFonts w:eastAsia="Calibri"/>
          <w:color w:val="007466"/>
        </w:rPr>
        <w:t>Kolektivni delovni spori</w:t>
      </w:r>
      <w:r w:rsidRPr="00CB5050">
        <w:rPr>
          <w:rFonts w:eastAsia="Calibri"/>
        </w:rPr>
        <w:t xml:space="preserve"> so spori med strankami kolektivnih delovnih razmerij, njihov predmet so kolektivne pravice, obveznosti, pravna razmerja ali interesi. Gre za spore o veljavnosti kolektivne pogodbe in njenem izvrševanju (in torej tudi o pravicah, ki jih delavcem zagotavlja KP), o pristojnosti za kolektivno pogajanje, o skladnosti kolektivnih pogodb z zakonom, o medsebojni skladnosti kolektivnih pogodb in skladnosti splošnih aktov delodajalca z zakonom in kolektivnimi pogodbami, o zakonitosti stavke in drugih industrijskih akcij, o sodelovanju delavcev pri upravljanju, o pristojnostih sindikata v zvezi z delovnimi razmerji, v zvezi z določitvijo reprezentativnosti sindikata in v drugih primerih, ko to določa zakon. </w:t>
      </w:r>
    </w:p>
    <w:p w14:paraId="13376ACA" w14:textId="77777777" w:rsidR="00695AE2" w:rsidRPr="00CB5050" w:rsidRDefault="00695AE2" w:rsidP="00695AE2">
      <w:pPr>
        <w:spacing w:line="240" w:lineRule="auto"/>
        <w:jc w:val="both"/>
        <w:rPr>
          <w:rFonts w:eastAsia="Calibri"/>
        </w:rPr>
      </w:pPr>
    </w:p>
    <w:p w14:paraId="50088725" w14:textId="77777777" w:rsidR="00695AE2" w:rsidRPr="00CB5050" w:rsidRDefault="00695AE2" w:rsidP="00695AE2">
      <w:pPr>
        <w:spacing w:line="240" w:lineRule="auto"/>
        <w:jc w:val="both"/>
        <w:rPr>
          <w:rFonts w:eastAsia="Calibri"/>
        </w:rPr>
      </w:pPr>
      <w:r w:rsidRPr="00CB5050">
        <w:rPr>
          <w:rFonts w:eastAsia="Calibri"/>
        </w:rPr>
        <w:t xml:space="preserve">V kolektivnih delovnih sporih Državno odvetništvo RS zastopa Vlado RS kot stranko kolektivnega dogovarjanja v javnem sektorju in podpisnico kolektivnih pogodb v javnem sektorju, a tudi kot delodajalca, ki mora svojim zaposlenim zagotoviti pravice, ki jih imajo po kolektivnih pogodbah in drugih predpisih. </w:t>
      </w:r>
    </w:p>
    <w:p w14:paraId="72358662" w14:textId="77777777" w:rsidR="00695AE2" w:rsidRPr="00CB5050" w:rsidRDefault="00695AE2" w:rsidP="00695AE2">
      <w:pPr>
        <w:spacing w:line="240" w:lineRule="auto"/>
        <w:jc w:val="both"/>
        <w:rPr>
          <w:rFonts w:eastAsia="Calibri"/>
        </w:rPr>
      </w:pPr>
    </w:p>
    <w:p w14:paraId="0A7145AE" w14:textId="77777777" w:rsidR="00695AE2" w:rsidRPr="00CB5050" w:rsidRDefault="00695AE2" w:rsidP="00695AE2">
      <w:pPr>
        <w:spacing w:line="240" w:lineRule="auto"/>
        <w:jc w:val="both"/>
        <w:rPr>
          <w:rFonts w:eastAsia="Calibri"/>
        </w:rPr>
      </w:pPr>
      <w:r w:rsidRPr="00CB5050">
        <w:rPr>
          <w:rFonts w:eastAsia="Calibri"/>
        </w:rPr>
        <w:t>Državno odvetništvo RS zastopa Republiko Slovenijo tudi v</w:t>
      </w:r>
      <w:r w:rsidRPr="00CB5050">
        <w:rPr>
          <w:rFonts w:eastAsia="Calibri"/>
          <w:b/>
          <w:bCs/>
        </w:rPr>
        <w:t xml:space="preserve"> </w:t>
      </w:r>
      <w:r w:rsidRPr="00CB5050">
        <w:rPr>
          <w:rFonts w:eastAsia="Calibri"/>
          <w:color w:val="007466"/>
        </w:rPr>
        <w:t>socialnih sporih</w:t>
      </w:r>
      <w:r w:rsidRPr="00CB5050">
        <w:rPr>
          <w:rFonts w:eastAsia="Calibri"/>
        </w:rPr>
        <w:t>, v katerih</w:t>
      </w:r>
      <w:r w:rsidRPr="00CB5050">
        <w:rPr>
          <w:rFonts w:eastAsia="Calibri"/>
          <w:b/>
          <w:bCs/>
        </w:rPr>
        <w:t xml:space="preserve"> </w:t>
      </w:r>
      <w:r w:rsidRPr="00CB5050">
        <w:rPr>
          <w:rFonts w:eastAsia="Calibri"/>
        </w:rPr>
        <w:t xml:space="preserve">se zagotavlja sodno varstvo proti odločitvam in dejanjem državnih organov in nosilcev javnih pooblastil v zadevah s področja socialne varnosti, na področju zavarovanja za primer brezposelnosti, na področju štipendij, pri podeljevanju katerih je odločilen premoženjski cenzus, štipendij za nadarjene, na področju starševskega varstva in družinskih prejemkov ter na področju socialnih prejemkov. Socialno sodišče je na navedenih področjih pristojno odločati tudi v socialnih sporih o povrnitvi neupravičeno pridobljenih javnih sredstev ter o povrnitvi škode, ki jo je upravičencu povzročil državni organ, oziroma škode, ki jo je upravičenec v zvezi z uveljavljanjem pravic iz socialnega varstva povzročil državnemu organu. </w:t>
      </w:r>
    </w:p>
    <w:p w14:paraId="368AE33A" w14:textId="77777777" w:rsidR="00695AE2" w:rsidRPr="00CB5050" w:rsidRDefault="00695AE2" w:rsidP="00695AE2">
      <w:pPr>
        <w:spacing w:line="240" w:lineRule="auto"/>
        <w:rPr>
          <w:rFonts w:eastAsia="Calibri"/>
          <w:sz w:val="28"/>
          <w:szCs w:val="28"/>
        </w:rPr>
      </w:pPr>
    </w:p>
    <w:p w14:paraId="093BF8B2" w14:textId="77777777" w:rsidR="00695AE2" w:rsidRPr="00CB5050" w:rsidRDefault="00695AE2" w:rsidP="00695AE2">
      <w:pPr>
        <w:pStyle w:val="Naslov3"/>
      </w:pPr>
      <w:bookmarkStart w:id="569" w:name="_Toc95149737"/>
      <w:bookmarkStart w:id="570" w:name="_Toc168844947"/>
      <w:bookmarkStart w:id="571" w:name="_Toc191561925"/>
      <w:bookmarkStart w:id="572" w:name="_Toc223093921"/>
      <w:r w:rsidRPr="00CB5050">
        <w:t>Statisti</w:t>
      </w:r>
      <w:bookmarkEnd w:id="569"/>
      <w:bookmarkEnd w:id="570"/>
      <w:r w:rsidRPr="00CB5050">
        <w:t>čni podatki</w:t>
      </w:r>
      <w:bookmarkEnd w:id="571"/>
      <w:bookmarkEnd w:id="572"/>
    </w:p>
    <w:p w14:paraId="5CC08939" w14:textId="77777777" w:rsidR="00695AE2" w:rsidRPr="00CB5050" w:rsidRDefault="00695AE2" w:rsidP="00695AE2">
      <w:pPr>
        <w:spacing w:line="240" w:lineRule="auto"/>
        <w:rPr>
          <w:rFonts w:eastAsia="Calibri"/>
          <w:sz w:val="28"/>
          <w:szCs w:val="28"/>
        </w:rPr>
      </w:pPr>
    </w:p>
    <w:p w14:paraId="615D3143" w14:textId="77777777" w:rsidR="00695AE2" w:rsidRPr="00CB5050" w:rsidRDefault="00695AE2" w:rsidP="00695AE2">
      <w:pPr>
        <w:spacing w:line="240" w:lineRule="auto"/>
        <w:jc w:val="both"/>
        <w:rPr>
          <w:rFonts w:eastAsia="Calibri"/>
          <w:szCs w:val="22"/>
        </w:rPr>
      </w:pPr>
      <w:r w:rsidRPr="00CB5050">
        <w:rPr>
          <w:rFonts w:eastAsia="Calibri"/>
          <w:szCs w:val="22"/>
        </w:rPr>
        <w:t>Na dan 1. 1. 2025 je bilo na Državnem odvetništvu RS odprtih</w:t>
      </w:r>
      <w:r w:rsidRPr="00CB5050">
        <w:rPr>
          <w:rFonts w:eastAsia="Calibri"/>
          <w:b/>
          <w:bCs/>
          <w:szCs w:val="22"/>
        </w:rPr>
        <w:t xml:space="preserve"> </w:t>
      </w:r>
      <w:r w:rsidRPr="00CB5050">
        <w:rPr>
          <w:rFonts w:eastAsia="Calibri"/>
          <w:szCs w:val="22"/>
        </w:rPr>
        <w:t xml:space="preserve">1.927 delovnopravnih in socialnopravnih zadev, in sicer je bilo odprtih 1.738 delovnopravnih zadev in 189 socialnopravnih zadev. </w:t>
      </w:r>
    </w:p>
    <w:p w14:paraId="4F37C436" w14:textId="77777777" w:rsidR="00695AE2" w:rsidRPr="00CB5050" w:rsidRDefault="00695AE2" w:rsidP="00695AE2">
      <w:pPr>
        <w:spacing w:line="240" w:lineRule="auto"/>
        <w:jc w:val="both"/>
        <w:rPr>
          <w:rFonts w:eastAsia="Calibri"/>
        </w:rPr>
      </w:pPr>
    </w:p>
    <w:p w14:paraId="296F2289"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prejelo v delo 1.353 novih delovnopravnih in socialnopravnih zadev, in sicer 1.151 novih delovnopravnih in 202 novi socialnopravni zadevi. </w:t>
      </w:r>
    </w:p>
    <w:p w14:paraId="278CB039" w14:textId="77777777" w:rsidR="00695AE2" w:rsidRPr="00CB5050" w:rsidRDefault="00695AE2" w:rsidP="00695AE2">
      <w:pPr>
        <w:spacing w:line="240" w:lineRule="auto"/>
        <w:jc w:val="both"/>
        <w:rPr>
          <w:rFonts w:eastAsia="Calibri"/>
        </w:rPr>
      </w:pPr>
    </w:p>
    <w:p w14:paraId="5B513500"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imelo Državno odvetništvo RS tako skupno v delu 3.280 delovnopravnih in socialnopravnih zadev, in sicer 2.889 delovnopravnih zadev in 391 socialnopravnih zadev. </w:t>
      </w:r>
    </w:p>
    <w:p w14:paraId="556B26FA" w14:textId="77777777" w:rsidR="00695AE2" w:rsidRPr="00CB5050" w:rsidRDefault="00695AE2" w:rsidP="00695AE2">
      <w:pPr>
        <w:spacing w:line="240" w:lineRule="auto"/>
        <w:rPr>
          <w:rFonts w:eastAsia="Calibri"/>
        </w:rPr>
      </w:pPr>
    </w:p>
    <w:p w14:paraId="0AC326D5" w14:textId="77777777" w:rsidR="00695AE2" w:rsidRPr="00CB5050" w:rsidRDefault="00695AE2" w:rsidP="00695AE2">
      <w:pPr>
        <w:spacing w:line="240" w:lineRule="auto"/>
        <w:jc w:val="both"/>
        <w:rPr>
          <w:rFonts w:eastAsia="Calibri"/>
          <w:szCs w:val="22"/>
        </w:rPr>
      </w:pPr>
      <w:r w:rsidRPr="00CB5050">
        <w:rPr>
          <w:rFonts w:eastAsia="Calibri"/>
          <w:szCs w:val="22"/>
        </w:rPr>
        <w:t xml:space="preserve">Zaključenih delovnopravnih in socialnopravnih zadev na dan 31. 12. 2025 je bilo 1.986, in sicer je bilo v letu 2025 zaključenih 1.838 delovnopravnih zadev in 148 socialnopravnih zadev. </w:t>
      </w:r>
    </w:p>
    <w:p w14:paraId="7BB55CF7" w14:textId="77777777" w:rsidR="00695AE2" w:rsidRPr="00CB5050" w:rsidRDefault="00695AE2" w:rsidP="00695AE2">
      <w:pPr>
        <w:spacing w:line="240" w:lineRule="auto"/>
        <w:jc w:val="both"/>
        <w:rPr>
          <w:rFonts w:eastAsia="Calibri"/>
        </w:rPr>
      </w:pPr>
    </w:p>
    <w:p w14:paraId="77BC7AA5" w14:textId="77777777" w:rsidR="00695AE2" w:rsidRPr="00CB5050" w:rsidRDefault="00695AE2" w:rsidP="00695AE2">
      <w:pPr>
        <w:spacing w:line="240" w:lineRule="auto"/>
        <w:jc w:val="both"/>
        <w:rPr>
          <w:rFonts w:eastAsia="Calibri"/>
          <w:szCs w:val="22"/>
        </w:rPr>
      </w:pPr>
      <w:r w:rsidRPr="00CB5050">
        <w:rPr>
          <w:rFonts w:eastAsia="Calibri"/>
          <w:szCs w:val="22"/>
        </w:rPr>
        <w:t>Na dan 31. 12. 2025 je bilo na Državnem odvetništvu RS odprtih še 1.294 delovnopravnih in socialnopravnih zadev, in sicer 1.051 delovnopravnih zadev in 243 socialnopravnih zadev.</w:t>
      </w:r>
    </w:p>
    <w:p w14:paraId="14BA0328" w14:textId="77777777" w:rsidR="00695AE2" w:rsidRPr="00CB5050" w:rsidRDefault="00695AE2" w:rsidP="00695AE2">
      <w:pPr>
        <w:spacing w:line="240" w:lineRule="auto"/>
        <w:jc w:val="both"/>
        <w:rPr>
          <w:rFonts w:eastAsia="Calibri"/>
          <w:sz w:val="28"/>
          <w:szCs w:val="28"/>
        </w:rPr>
      </w:pPr>
    </w:p>
    <w:p w14:paraId="3F17C8B5" w14:textId="77777777" w:rsidR="00695AE2" w:rsidRPr="00CB5050" w:rsidRDefault="00695AE2" w:rsidP="00695AE2">
      <w:pPr>
        <w:pStyle w:val="Naslov3"/>
      </w:pPr>
      <w:bookmarkStart w:id="573" w:name="_Toc95149738"/>
      <w:bookmarkStart w:id="574" w:name="_Toc168844948"/>
      <w:bookmarkStart w:id="575" w:name="_Toc191561926"/>
      <w:bookmarkStart w:id="576" w:name="_Toc223093922"/>
      <w:r w:rsidRPr="00CB5050">
        <w:lastRenderedPageBreak/>
        <w:t>Analiza primerjalnih vrednosti</w:t>
      </w:r>
      <w:bookmarkEnd w:id="573"/>
      <w:bookmarkEnd w:id="574"/>
      <w:bookmarkEnd w:id="575"/>
      <w:bookmarkEnd w:id="576"/>
    </w:p>
    <w:p w14:paraId="0E7BA3EB" w14:textId="77777777" w:rsidR="00695AE2" w:rsidRPr="00CB5050" w:rsidRDefault="00695AE2" w:rsidP="00695AE2">
      <w:pPr>
        <w:spacing w:line="240" w:lineRule="auto"/>
        <w:rPr>
          <w:rFonts w:eastAsia="Calibri"/>
          <w:sz w:val="28"/>
          <w:szCs w:val="28"/>
        </w:rPr>
      </w:pPr>
    </w:p>
    <w:p w14:paraId="384C31E2" w14:textId="77777777" w:rsidR="00695AE2" w:rsidRPr="00CB5050" w:rsidRDefault="00695AE2" w:rsidP="00695AE2">
      <w:pPr>
        <w:spacing w:line="240" w:lineRule="auto"/>
        <w:jc w:val="both"/>
        <w:rPr>
          <w:rFonts w:eastAsia="Calibri"/>
          <w:szCs w:val="22"/>
        </w:rPr>
      </w:pPr>
      <w:bookmarkStart w:id="577" w:name="_Hlk95410689"/>
      <w:r w:rsidRPr="00CB5050">
        <w:rPr>
          <w:rFonts w:eastAsia="Calibri"/>
          <w:szCs w:val="22"/>
        </w:rPr>
        <w:t xml:space="preserve">V letu 2024 je znašalo število novih delovnopravnih zadev 444, v letu 2025 pa kar 1.151, kar pomeni, da se je število novih delovnopravnih zadev zvišalo za 159,23 odstotka. S področja prejetih socialnopravnih zadev se je pripad novih zadev glede na leto 2024, ko je bilo prejetih 167 novih socialnopravnih zadev, zvišal za 20,96 odstotka, saj sta bili v obdobju poročanja prejeti 202 novi zadevi. </w:t>
      </w:r>
    </w:p>
    <w:p w14:paraId="5E2277D4" w14:textId="77777777" w:rsidR="00695AE2" w:rsidRPr="00CB5050" w:rsidRDefault="00695AE2" w:rsidP="00695AE2">
      <w:pPr>
        <w:spacing w:line="240" w:lineRule="auto"/>
        <w:jc w:val="both"/>
        <w:rPr>
          <w:rFonts w:eastAsia="Calibri"/>
          <w:szCs w:val="22"/>
        </w:rPr>
      </w:pPr>
    </w:p>
    <w:p w14:paraId="6B5BD9DA" w14:textId="77777777" w:rsidR="00695AE2" w:rsidRPr="00CB5050" w:rsidRDefault="00695AE2" w:rsidP="00695AE2">
      <w:pPr>
        <w:spacing w:line="240" w:lineRule="auto"/>
        <w:jc w:val="both"/>
        <w:rPr>
          <w:rFonts w:eastAsia="Calibri"/>
          <w:szCs w:val="22"/>
        </w:rPr>
      </w:pPr>
      <w:bookmarkStart w:id="578" w:name="_Hlk95410720"/>
      <w:r w:rsidRPr="00CB5050">
        <w:rPr>
          <w:rFonts w:eastAsia="Calibri"/>
          <w:szCs w:val="22"/>
        </w:rPr>
        <w:t xml:space="preserve">V obdobju poročanja je bilo zaključenih skupno kar 1.986 zadev, v letu 2024 pa je bilo zaključenih 853 zadev. V obdobju poročanja je bilo zaključenih 1.838 delovnopravnih sporov, kar je 260,39 odstotka več kot v letu 2024, ko jih je bilo zaključenih 510, medtem ko je bilo socialnopravnih sporov zaključenih 148, kar je 56,85 odstotka manj kot v letu 2024, ko jih je bilo zaključenih 343.  </w:t>
      </w:r>
    </w:p>
    <w:p w14:paraId="3DC1783B" w14:textId="77777777" w:rsidR="00695AE2" w:rsidRPr="00CB5050" w:rsidRDefault="00695AE2" w:rsidP="00695AE2">
      <w:pPr>
        <w:spacing w:line="240" w:lineRule="auto"/>
        <w:jc w:val="both"/>
        <w:rPr>
          <w:rFonts w:eastAsia="Calibri"/>
          <w:szCs w:val="22"/>
        </w:rPr>
      </w:pPr>
    </w:p>
    <w:bookmarkEnd w:id="578"/>
    <w:p w14:paraId="422E48F9"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dan 31. 12. 2025 je ostalo v reševanju še 1.294 delovnopravnih in socialnopravnih zadev (1.051 delovnopravnih zadev in 243 socialnopravnih zadev), kar je skupno manj kot v letu 2024, ko jih je na koncu obdobja poročanja, to je na dan 31. 12., ostalo v reševanju 1.904 (1.717 delovnopravnih in 187 socialnopravnih zadev). Število zadev v reševanju ob zaključku obdobja poročanja se je v primerjavi z letom 2024 bistveno znižalo predvsem na delovnopravnem področju, kar gre zagotovo pripisati prizadevanjem Državnega odvetništva RS za sistemske rešitve oziroma končanje zadev po mirni poti s sklepanje poravnav. </w:t>
      </w:r>
    </w:p>
    <w:p w14:paraId="04B2549F" w14:textId="77777777" w:rsidR="00695AE2" w:rsidRPr="00CB5050" w:rsidRDefault="00695AE2" w:rsidP="00695AE2">
      <w:pPr>
        <w:spacing w:line="240" w:lineRule="auto"/>
        <w:jc w:val="both"/>
        <w:rPr>
          <w:rFonts w:eastAsia="Calibri"/>
          <w:szCs w:val="22"/>
        </w:rPr>
      </w:pPr>
    </w:p>
    <w:p w14:paraId="48651B46" w14:textId="77777777" w:rsidR="00695AE2" w:rsidRPr="00CB5050" w:rsidRDefault="00695AE2" w:rsidP="00695AE2">
      <w:pPr>
        <w:spacing w:line="240" w:lineRule="auto"/>
        <w:jc w:val="both"/>
        <w:rPr>
          <w:rFonts w:eastAsia="Calibri"/>
          <w:szCs w:val="22"/>
        </w:rPr>
      </w:pPr>
      <w:r w:rsidRPr="00CB5050">
        <w:rPr>
          <w:rFonts w:eastAsia="Calibri"/>
          <w:szCs w:val="22"/>
        </w:rPr>
        <w:t xml:space="preserve">Spodnji grafikon kaže, da je bilo število na novo prejetih zadev na delovnopravnem in socialnopravnem področju v okviru analiziranega petletnega obdobja v letih 2021, 2023 in 2024 na približno enakem letnem nivoju, z odstopanji, ki sicer ne zahtevajo poglobljene analize vzrokov. Glede števila pripada novih zadev je do leta 2025 s 1.537 novimi zadevami izrazito odstopalo leto 2022 (v letu 2022 so namreč pripadniki SV po tem, ko je Vrhovno sodišče RS izdalo sodbo, opr. št. VIII Ips 196/2018 z dne 1. 2. 2022, začeli množično vlagati tožbe iz naslova plačila za čas stalne pripravljenosti), na podlagi statističnih podatkov pa je mogoče ugotoviti, da je bil pripad novih zadev v letu 2025 zelo podoben pripadu novih zadev iz leta 2022 – s 1.353 na novo prejetimi zadevami je bil samo za 11,97 odstotka manjši kot leta 2022. V letu 2025 je bil sicer pripad novih zadev na delovnopravnem in socialnopravnem področju kar za 121,44 odstotka višji kot v letu 2024. </w:t>
      </w:r>
    </w:p>
    <w:p w14:paraId="69D41927" w14:textId="77777777" w:rsidR="00695AE2" w:rsidRDefault="00695AE2" w:rsidP="00695AE2">
      <w:pPr>
        <w:spacing w:line="240" w:lineRule="auto"/>
        <w:jc w:val="both"/>
        <w:rPr>
          <w:rFonts w:eastAsia="Calibri"/>
          <w:b/>
          <w:bCs/>
          <w:color w:val="007466"/>
          <w:sz w:val="20"/>
          <w:szCs w:val="20"/>
        </w:rPr>
      </w:pPr>
    </w:p>
    <w:p w14:paraId="08D5ED60" w14:textId="77777777" w:rsidR="00695AE2" w:rsidRPr="00CB5050" w:rsidRDefault="00695AE2" w:rsidP="00695AE2">
      <w:pPr>
        <w:spacing w:line="240" w:lineRule="auto"/>
        <w:jc w:val="both"/>
        <w:rPr>
          <w:rFonts w:eastAsia="Calibri"/>
          <w:b/>
          <w:bCs/>
          <w:color w:val="007466"/>
          <w:sz w:val="20"/>
          <w:szCs w:val="20"/>
        </w:rPr>
      </w:pPr>
      <w:r w:rsidRPr="00CB5050">
        <w:rPr>
          <w:rFonts w:eastAsia="Calibri"/>
          <w:b/>
          <w:bCs/>
          <w:color w:val="007466"/>
          <w:sz w:val="20"/>
          <w:szCs w:val="20"/>
        </w:rPr>
        <w:t>Grafikon: Število prejetih zadev na delovnopravnem in socialno-pravnem področju v obdobju 2021 – 2025:</w:t>
      </w:r>
    </w:p>
    <w:p w14:paraId="12002730" w14:textId="77777777" w:rsidR="00695AE2" w:rsidRPr="00CB5050" w:rsidRDefault="00695AE2" w:rsidP="00695AE2">
      <w:pPr>
        <w:spacing w:line="240" w:lineRule="auto"/>
        <w:jc w:val="both"/>
        <w:rPr>
          <w:rFonts w:eastAsia="Calibri"/>
          <w:b/>
          <w:color w:val="007466"/>
          <w:sz w:val="20"/>
          <w:szCs w:val="20"/>
        </w:rPr>
      </w:pPr>
    </w:p>
    <w:p w14:paraId="2AEC0F77" w14:textId="77777777" w:rsidR="00695AE2" w:rsidRPr="00CB5050" w:rsidRDefault="00695AE2" w:rsidP="00695AE2">
      <w:pPr>
        <w:spacing w:beforeLines="20" w:before="48" w:afterLines="20" w:after="48" w:line="240" w:lineRule="auto"/>
        <w:jc w:val="center"/>
        <w:rPr>
          <w:rFonts w:eastAsia="Calibri"/>
          <w:szCs w:val="22"/>
        </w:rPr>
      </w:pPr>
      <w:r w:rsidRPr="00CB5050">
        <w:rPr>
          <w:rFonts w:eastAsia="Calibri"/>
          <w:noProof/>
          <w:szCs w:val="22"/>
        </w:rPr>
        <w:lastRenderedPageBreak/>
        <w:drawing>
          <wp:inline distT="0" distB="0" distL="0" distR="0" wp14:anchorId="590AF63E" wp14:editId="14959A44">
            <wp:extent cx="4584700" cy="2755900"/>
            <wp:effectExtent l="0" t="0" r="6350" b="6350"/>
            <wp:docPr id="991335902" name="Slika 1"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35902" name="Slika 1" descr="Slika, ki vsebuje besede besedilo, posnetek zaslona, pravokotnik, številka&#10;&#10;Vsebina, ustvarjena z UI, morda ni praviln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bookmarkEnd w:id="577"/>
    <w:p w14:paraId="3D1A1675" w14:textId="77777777" w:rsidR="00695AE2" w:rsidRPr="00CB5050" w:rsidRDefault="00695AE2" w:rsidP="00695AE2">
      <w:pPr>
        <w:spacing w:line="240" w:lineRule="auto"/>
        <w:jc w:val="both"/>
        <w:rPr>
          <w:rFonts w:eastAsia="Calibri"/>
          <w:sz w:val="28"/>
          <w:szCs w:val="28"/>
        </w:rPr>
      </w:pPr>
    </w:p>
    <w:p w14:paraId="2CDC5242" w14:textId="77777777" w:rsidR="00695AE2" w:rsidRPr="00CB5050" w:rsidRDefault="00695AE2" w:rsidP="00695AE2">
      <w:pPr>
        <w:pStyle w:val="Naslov3"/>
      </w:pPr>
      <w:bookmarkStart w:id="579" w:name="_Toc95149739"/>
      <w:bookmarkStart w:id="580" w:name="_Toc168844949"/>
      <w:bookmarkStart w:id="581" w:name="_Toc191561927"/>
      <w:bookmarkStart w:id="582" w:name="_Toc223093923"/>
      <w:r w:rsidRPr="00CB5050">
        <w:t>Ukrepi za obvladovanje zadev in priporočila Državnega odvetništva RS</w:t>
      </w:r>
      <w:bookmarkEnd w:id="579"/>
      <w:bookmarkEnd w:id="580"/>
      <w:bookmarkEnd w:id="581"/>
      <w:bookmarkEnd w:id="582"/>
    </w:p>
    <w:p w14:paraId="1B4C79F5" w14:textId="77777777" w:rsidR="00695AE2" w:rsidRPr="001462ED" w:rsidRDefault="00695AE2" w:rsidP="00695AE2">
      <w:pPr>
        <w:pStyle w:val="Jasna"/>
        <w:rPr>
          <w:sz w:val="28"/>
          <w:szCs w:val="28"/>
        </w:rPr>
      </w:pPr>
    </w:p>
    <w:p w14:paraId="5FEF6685" w14:textId="77777777" w:rsidR="00695AE2" w:rsidRPr="00CB5050" w:rsidRDefault="00695AE2" w:rsidP="00695AE2">
      <w:pPr>
        <w:pStyle w:val="Naslov4"/>
        <w:rPr>
          <w:rFonts w:eastAsia="Calibri"/>
        </w:rPr>
      </w:pPr>
      <w:bookmarkStart w:id="583" w:name="_Toc223093924"/>
      <w:bookmarkStart w:id="584" w:name="_Toc95149740"/>
      <w:bookmarkStart w:id="585" w:name="_Toc168844950"/>
      <w:bookmarkStart w:id="586" w:name="_Toc191561928"/>
      <w:r w:rsidRPr="00CB5050">
        <w:rPr>
          <w:rFonts w:eastAsia="Calibri"/>
        </w:rPr>
        <w:t>Uvodno</w:t>
      </w:r>
      <w:bookmarkEnd w:id="583"/>
    </w:p>
    <w:p w14:paraId="7E3CF732" w14:textId="77777777" w:rsidR="00695AE2" w:rsidRPr="00CB5050" w:rsidRDefault="00695AE2" w:rsidP="00695AE2">
      <w:pPr>
        <w:spacing w:line="240" w:lineRule="auto"/>
        <w:jc w:val="both"/>
        <w:rPr>
          <w:rFonts w:eastAsia="Calibri"/>
        </w:rPr>
      </w:pPr>
    </w:p>
    <w:p w14:paraId="03E4352D" w14:textId="77777777" w:rsidR="00695AE2" w:rsidRPr="00CB5050" w:rsidRDefault="00695AE2" w:rsidP="00695AE2">
      <w:pPr>
        <w:spacing w:line="240" w:lineRule="auto"/>
        <w:jc w:val="both"/>
        <w:rPr>
          <w:rFonts w:eastAsia="Calibri"/>
          <w:color w:val="000000"/>
          <w:szCs w:val="22"/>
        </w:rPr>
      </w:pPr>
      <w:r w:rsidRPr="00CB5050">
        <w:rPr>
          <w:rFonts w:eastAsia="Calibri"/>
        </w:rPr>
        <w:t xml:space="preserve">Državno odvetništvo RS je v obdobju poročanja na </w:t>
      </w:r>
      <w:r w:rsidRPr="00CB5050">
        <w:rPr>
          <w:rFonts w:eastAsia="Calibri"/>
          <w:b/>
          <w:bCs/>
          <w:color w:val="007466"/>
        </w:rPr>
        <w:t>delovnopravnem področju</w:t>
      </w:r>
      <w:r w:rsidRPr="00CB5050">
        <w:rPr>
          <w:rFonts w:eastAsia="Calibri"/>
          <w:color w:val="007466"/>
        </w:rPr>
        <w:t xml:space="preserve"> v individualnih delovnih sporih </w:t>
      </w:r>
      <w:r w:rsidRPr="00CB5050">
        <w:rPr>
          <w:rFonts w:eastAsia="Calibri"/>
        </w:rPr>
        <w:t xml:space="preserve">prejelo največ, </w:t>
      </w:r>
      <w:r w:rsidRPr="00CB5050">
        <w:rPr>
          <w:rFonts w:eastAsia="Calibri"/>
          <w:szCs w:val="22"/>
        </w:rPr>
        <w:t xml:space="preserve">tj. kar 735, tožb </w:t>
      </w:r>
      <w:r w:rsidRPr="00CB5050">
        <w:rPr>
          <w:rFonts w:eastAsia="Calibri"/>
          <w:color w:val="007466"/>
          <w:szCs w:val="22"/>
        </w:rPr>
        <w:t>pripadnikov Slovenske vojske</w:t>
      </w:r>
      <w:r w:rsidRPr="00CB5050">
        <w:rPr>
          <w:rFonts w:eastAsia="Calibri"/>
          <w:szCs w:val="22"/>
        </w:rPr>
        <w:t xml:space="preserve">, s katerimi zahtevajo dodatno plačilo delovnega časa za čas odrejene stalne pripravljenosti na določenem kraju. Vrhovno sodišče RS je namreč v letu 2024 v tovrstnih sporih odločilo praktično o vseh relevantnih pravnih vprašanjih in z izdanimi sodbami </w:t>
      </w:r>
      <w:r w:rsidRPr="00CB5050">
        <w:rPr>
          <w:rFonts w:eastAsia="Calibri"/>
          <w:color w:val="000000"/>
          <w:szCs w:val="22"/>
        </w:rPr>
        <w:t xml:space="preserve">večinoma oziroma v pretežnem delu odločilo v korist tožnikov. </w:t>
      </w:r>
    </w:p>
    <w:p w14:paraId="64D8A423" w14:textId="77777777" w:rsidR="00695AE2" w:rsidRPr="00CB5050" w:rsidRDefault="00695AE2" w:rsidP="00695AE2">
      <w:pPr>
        <w:spacing w:line="240" w:lineRule="auto"/>
        <w:jc w:val="both"/>
        <w:rPr>
          <w:rFonts w:eastAsia="Calibri"/>
          <w:color w:val="000000"/>
          <w:szCs w:val="22"/>
        </w:rPr>
      </w:pPr>
    </w:p>
    <w:p w14:paraId="661DB3AC"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v delo prejelo tudi 22 tožb zaradi prenehanja delovnega razmerja ter 81 zadev, s katerimi se uveljavljajo nekatere pravice in obveznosti iz delovnega razmerja, 9 zadev zaradi plačila plače, 24 zadev zaradi razveljavitve odločb delodajalca, 21 zadev zaradi razlike v plači – funkcionarji ter 59 zadev vključitve v obvezno dodatno pokojninsko zavarovanje (81. člen Zakona o organiziranosti in delu v  policiji (ZODPol), medtem ko je bilo preostalih novih zadev glede na posamezne temelje prejetih manj kot deset in jih ne izpostavljamo posebej.  </w:t>
      </w:r>
    </w:p>
    <w:p w14:paraId="1C82A8F9" w14:textId="77777777" w:rsidR="00695AE2" w:rsidRPr="00CB5050" w:rsidRDefault="00695AE2" w:rsidP="00695AE2">
      <w:pPr>
        <w:spacing w:line="240" w:lineRule="auto"/>
        <w:jc w:val="both"/>
        <w:rPr>
          <w:rFonts w:eastAsia="Calibri"/>
        </w:rPr>
      </w:pPr>
    </w:p>
    <w:p w14:paraId="5B9929FA" w14:textId="77777777" w:rsidR="00695AE2" w:rsidRPr="00CB5050" w:rsidRDefault="00695AE2" w:rsidP="00695AE2">
      <w:pPr>
        <w:spacing w:line="240" w:lineRule="auto"/>
        <w:jc w:val="both"/>
        <w:rPr>
          <w:rFonts w:eastAsia="Calibri"/>
          <w:szCs w:val="22"/>
        </w:rPr>
      </w:pPr>
      <w:r w:rsidRPr="00CB5050">
        <w:rPr>
          <w:rFonts w:eastAsia="Calibri"/>
          <w:szCs w:val="22"/>
        </w:rPr>
        <w:t xml:space="preserve">Ugotoviti je tudi, da se je zaradi sodb Vrhovnega sodišča RS, izdanih od 2019 dalje v zadevah, v katerih so pripadniki Slovenske vojske zahtevali plačilo odškodnine za neizkoriščene dneve tedenskega počitka na misijah v tujini, število novo prejetih tožb iz tega naslova pomembno znižalo, saj so bile  v letu 2025 vložene le 4 tožbe. Za primerjavo: leta 2024 in 2023 je bilo vloženih po 10 tožb te vsebine,  leta 2022 in 2021 pa 53 tožb. Zmanjševanje števila novo vloženih tožb je zagotovo vsaj delno posledica tudi spremembe določbe 53. člena Zakona o službi v Slovenski vojski, s katero je bila pravica do tedenskega počitka ustrezneje urejena. </w:t>
      </w:r>
    </w:p>
    <w:p w14:paraId="1DEC4DA4" w14:textId="77777777" w:rsidR="00695AE2" w:rsidRPr="00CB5050" w:rsidRDefault="00695AE2" w:rsidP="00695AE2">
      <w:pPr>
        <w:spacing w:line="240" w:lineRule="auto"/>
        <w:jc w:val="both"/>
        <w:rPr>
          <w:rFonts w:eastAsia="Calibri"/>
        </w:rPr>
      </w:pPr>
    </w:p>
    <w:p w14:paraId="0D6B3CAF" w14:textId="77777777" w:rsidR="00695AE2" w:rsidRPr="00CB5050" w:rsidRDefault="00695AE2" w:rsidP="00695AE2">
      <w:pPr>
        <w:spacing w:line="240" w:lineRule="auto"/>
        <w:jc w:val="both"/>
        <w:rPr>
          <w:rFonts w:eastAsia="Calibri"/>
          <w:szCs w:val="22"/>
        </w:rPr>
      </w:pPr>
      <w:r w:rsidRPr="00CB5050">
        <w:rPr>
          <w:rFonts w:eastAsia="Calibri"/>
        </w:rPr>
        <w:t xml:space="preserve">V letu 2025 ni bil zoper Republiko Slovenijo vložen noben predlog v </w:t>
      </w:r>
      <w:r w:rsidRPr="00CB5050">
        <w:rPr>
          <w:rFonts w:eastAsia="Calibri"/>
          <w:color w:val="007466"/>
        </w:rPr>
        <w:t xml:space="preserve">kolektivnem delovnem sporu </w:t>
      </w:r>
      <w:r w:rsidRPr="00CB5050">
        <w:rPr>
          <w:rFonts w:eastAsia="Calibri"/>
        </w:rPr>
        <w:t xml:space="preserve">(v letu 2024 pa je bilo na primer zoper Republiko Slovenijo vloženih kar 20 predlogov v kolektivnih delovnih sporih). </w:t>
      </w:r>
      <w:r w:rsidRPr="00CB5050">
        <w:rPr>
          <w:rFonts w:eastAsia="Calibri"/>
          <w:szCs w:val="22"/>
        </w:rPr>
        <w:t xml:space="preserve">Ob zaključku leta poročanja so bili vsi kolektivni spori pravnomočno zaključeni v korist Republike Slovenije, edino izjemo predstavlja kolektivni spor </w:t>
      </w:r>
      <w:r w:rsidRPr="00CB5050">
        <w:rPr>
          <w:rFonts w:eastAsia="Calibri"/>
          <w:szCs w:val="22"/>
        </w:rPr>
        <w:lastRenderedPageBreak/>
        <w:t xml:space="preserve">predlagatelja RTV zoper Ministrstvo za delo, družino, socialne zadeve in enake možnosti, v katerem je bilo predlogu predlagatelja delno ugodeno in je bila izpodbijana odločba razveljavljena ter zadeva vrnjena v ponovno odločanje upravnemu organu.  </w:t>
      </w:r>
    </w:p>
    <w:p w14:paraId="6603D093" w14:textId="77777777" w:rsidR="00695AE2" w:rsidRPr="00CB5050" w:rsidRDefault="00695AE2" w:rsidP="00695AE2">
      <w:pPr>
        <w:spacing w:line="240" w:lineRule="auto"/>
        <w:jc w:val="both"/>
        <w:rPr>
          <w:rFonts w:eastAsia="Calibri"/>
        </w:rPr>
      </w:pPr>
    </w:p>
    <w:p w14:paraId="3B6590C9" w14:textId="77777777" w:rsidR="00695AE2" w:rsidRPr="00CB5050" w:rsidRDefault="00695AE2" w:rsidP="00695AE2">
      <w:pPr>
        <w:spacing w:line="240" w:lineRule="auto"/>
        <w:jc w:val="both"/>
        <w:rPr>
          <w:rFonts w:eastAsia="Calibri"/>
          <w:szCs w:val="22"/>
        </w:rPr>
      </w:pPr>
      <w:r w:rsidRPr="00CB5050">
        <w:rPr>
          <w:rFonts w:eastAsia="Calibri"/>
        </w:rPr>
        <w:t xml:space="preserve">Državno odvetništvo RS je v letu 2025 na področju </w:t>
      </w:r>
      <w:r w:rsidRPr="00CB5050">
        <w:rPr>
          <w:rFonts w:eastAsia="Calibri"/>
          <w:b/>
          <w:bCs/>
          <w:color w:val="007466"/>
        </w:rPr>
        <w:t>socialnopravnih sporov</w:t>
      </w:r>
      <w:r w:rsidRPr="00CB5050">
        <w:rPr>
          <w:rFonts w:eastAsia="Calibri"/>
          <w:color w:val="007466"/>
        </w:rPr>
        <w:t xml:space="preserve"> </w:t>
      </w:r>
      <w:r w:rsidRPr="00CB5050">
        <w:rPr>
          <w:rFonts w:eastAsia="Calibri"/>
        </w:rPr>
        <w:t xml:space="preserve">kot najštevilčnejše prejelo v reševanje zadeve v zvezi s socialno-varstvenimi pravicami, ki jih je bilo skupno 102. Sledi jim 62 tožb glede pravice do štipendije, nato 23 zadev v zvezi s pravicami po Zakonu o starševskem varstvu in družinskih prejemkih (ZSDP-1), 11 zadev glede nadomestil brezposelnim in 1 tožba glede pravic iz ZPIZ. </w:t>
      </w:r>
    </w:p>
    <w:bookmarkEnd w:id="584"/>
    <w:bookmarkEnd w:id="585"/>
    <w:bookmarkEnd w:id="586"/>
    <w:p w14:paraId="427052C0" w14:textId="77777777" w:rsidR="00695AE2" w:rsidRPr="00CB5050" w:rsidRDefault="00695AE2" w:rsidP="00695AE2">
      <w:pPr>
        <w:spacing w:line="240" w:lineRule="auto"/>
        <w:rPr>
          <w:rFonts w:eastAsia="Calibri"/>
          <w:szCs w:val="22"/>
        </w:rPr>
      </w:pPr>
    </w:p>
    <w:p w14:paraId="6A236085" w14:textId="77777777" w:rsidR="00695AE2" w:rsidRPr="00CB5050" w:rsidRDefault="00695AE2" w:rsidP="00695AE2">
      <w:pPr>
        <w:pStyle w:val="Naslov4"/>
      </w:pPr>
      <w:bookmarkStart w:id="587" w:name="_Toc223093925"/>
      <w:r w:rsidRPr="00CB5050">
        <w:t>Prizadevanja Državnega odvetništva RS za mirno reševanje sporov</w:t>
      </w:r>
      <w:bookmarkEnd w:id="587"/>
    </w:p>
    <w:p w14:paraId="6A3AC72C" w14:textId="77777777" w:rsidR="00695AE2" w:rsidRPr="00CB5050" w:rsidRDefault="00695AE2" w:rsidP="00695AE2">
      <w:pPr>
        <w:spacing w:line="240" w:lineRule="auto"/>
        <w:jc w:val="both"/>
        <w:rPr>
          <w:rFonts w:eastAsia="Calibri"/>
        </w:rPr>
      </w:pPr>
    </w:p>
    <w:p w14:paraId="6BF7E2A9"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tudi v letu 2025 nadaljevalo prakso prejšnjih let, da se z namenom razbremenjevanja sodišč čim več spornih razmerij uredi dogovorno s sklenitvijo poravnave oziroma na drug ustrezen način.  </w:t>
      </w:r>
    </w:p>
    <w:p w14:paraId="1FBF5B04" w14:textId="77777777" w:rsidR="00695AE2" w:rsidRPr="00CB5050" w:rsidRDefault="00695AE2" w:rsidP="00695AE2">
      <w:pPr>
        <w:spacing w:line="240" w:lineRule="auto"/>
        <w:jc w:val="both"/>
        <w:rPr>
          <w:rFonts w:eastAsia="Calibri"/>
        </w:rPr>
      </w:pPr>
    </w:p>
    <w:p w14:paraId="0B137868" w14:textId="77777777" w:rsidR="00695AE2" w:rsidRPr="00CB5050" w:rsidRDefault="00695AE2" w:rsidP="00695AE2">
      <w:pPr>
        <w:spacing w:line="240" w:lineRule="auto"/>
        <w:jc w:val="both"/>
        <w:rPr>
          <w:rFonts w:ascii="Aptos" w:eastAsia="Calibri" w:hAnsi="Aptos" w:cs="Times New Roman"/>
          <w:szCs w:val="22"/>
        </w:rPr>
      </w:pPr>
      <w:r w:rsidRPr="00CB5050">
        <w:rPr>
          <w:rFonts w:eastAsia="Calibri" w:cs="Times New Roman"/>
          <w:szCs w:val="22"/>
        </w:rPr>
        <w:t xml:space="preserve">V letu 2025 je bilo na delovnopravnem in socialnopravnem področju skupno zaključenih 1.986 zadev, od tega 1.977 zadev v sodnem postopku in 9 zadev v predhodnem postopku. </w:t>
      </w:r>
    </w:p>
    <w:p w14:paraId="04FED9FE" w14:textId="77777777" w:rsidR="00695AE2" w:rsidRPr="00CB5050" w:rsidRDefault="00695AE2" w:rsidP="00695AE2">
      <w:pPr>
        <w:spacing w:line="240" w:lineRule="auto"/>
        <w:jc w:val="both"/>
        <w:rPr>
          <w:rFonts w:eastAsia="Calibri"/>
          <w:szCs w:val="22"/>
        </w:rPr>
      </w:pPr>
    </w:p>
    <w:p w14:paraId="3FFD9F31" w14:textId="77777777" w:rsidR="00695AE2" w:rsidRPr="00CB5050" w:rsidRDefault="00695AE2" w:rsidP="00695AE2">
      <w:pPr>
        <w:spacing w:line="240" w:lineRule="auto"/>
        <w:jc w:val="both"/>
        <w:rPr>
          <w:rFonts w:eastAsia="Calibri"/>
          <w:szCs w:val="22"/>
        </w:rPr>
      </w:pPr>
      <w:r w:rsidRPr="00CB5050">
        <w:rPr>
          <w:rFonts w:eastAsia="Calibri"/>
          <w:szCs w:val="22"/>
        </w:rPr>
        <w:t xml:space="preserve">Pri tem je treba poudariti, da določba šestega odstavka 27. člena ZDOdv izrecno določa, da določbe glede predhodnega postopka pred državnim odvetništvom (kot procesne predpostavke) ne veljajo za postopke uveljavljanja pravic iz delovnega razmerja in postopke uveljavljanja socialnovarstvenih pravic, zato je odločanje v predhodnem postopku omejeno izključno na odločanje o odškodninah zaradi trpinčenja, šikaniranja in diskriminacije na delovnem mestu in o odškodninah zaradi poškodbe pri delu. Navedeno je razlog, da je število izvedenih predhodnih postopkov za obe področji po 27. členu ZDOdv izjemno nizko. </w:t>
      </w:r>
    </w:p>
    <w:p w14:paraId="7FD1044C" w14:textId="77777777" w:rsidR="00695AE2" w:rsidRPr="00CB5050" w:rsidRDefault="00695AE2" w:rsidP="00695AE2">
      <w:pPr>
        <w:spacing w:line="240" w:lineRule="auto"/>
        <w:jc w:val="both"/>
        <w:rPr>
          <w:rFonts w:eastAsia="Calibri"/>
          <w:szCs w:val="22"/>
        </w:rPr>
      </w:pPr>
    </w:p>
    <w:p w14:paraId="109ECE39" w14:textId="77777777" w:rsidR="00695AE2" w:rsidRPr="00CB5050" w:rsidRDefault="00695AE2" w:rsidP="00695AE2">
      <w:pPr>
        <w:spacing w:line="240" w:lineRule="auto"/>
        <w:jc w:val="both"/>
        <w:rPr>
          <w:rFonts w:eastAsia="Calibri" w:cs="Times New Roman"/>
          <w:szCs w:val="22"/>
        </w:rPr>
      </w:pPr>
      <w:r w:rsidRPr="00CB5050">
        <w:rPr>
          <w:rFonts w:eastAsia="Calibri"/>
          <w:szCs w:val="22"/>
        </w:rPr>
        <w:t>9 izvedenih</w:t>
      </w:r>
      <w:r w:rsidRPr="00CB5050">
        <w:rPr>
          <w:rFonts w:eastAsia="Calibri" w:cs="Times New Roman"/>
          <w:szCs w:val="22"/>
        </w:rPr>
        <w:t xml:space="preserve"> predhodnih postopkov se je zaključilo z odločitvami kot sledi:</w:t>
      </w:r>
    </w:p>
    <w:p w14:paraId="375A28DD" w14:textId="77777777" w:rsidR="00695AE2" w:rsidRPr="00CB5050" w:rsidRDefault="00695AE2" w:rsidP="00695AE2">
      <w:pPr>
        <w:numPr>
          <w:ilvl w:val="0"/>
          <w:numId w:val="98"/>
        </w:numPr>
        <w:spacing w:line="240" w:lineRule="auto"/>
        <w:rPr>
          <w:rFonts w:eastAsia="Calibri" w:cs="Times New Roman"/>
          <w:szCs w:val="22"/>
        </w:rPr>
      </w:pPr>
      <w:r w:rsidRPr="00CB5050">
        <w:rPr>
          <w:rFonts w:eastAsia="Calibri" w:cs="Times New Roman"/>
          <w:szCs w:val="22"/>
        </w:rPr>
        <w:t>v 2 zadevah je bila sklenjena izvensodna poravnava,</w:t>
      </w:r>
    </w:p>
    <w:p w14:paraId="18DE7D0E" w14:textId="77777777" w:rsidR="00695AE2" w:rsidRPr="00CB5050" w:rsidRDefault="00695AE2" w:rsidP="00695AE2">
      <w:pPr>
        <w:numPr>
          <w:ilvl w:val="0"/>
          <w:numId w:val="98"/>
        </w:numPr>
        <w:spacing w:line="240" w:lineRule="auto"/>
        <w:rPr>
          <w:rFonts w:eastAsia="Calibri" w:cs="Times New Roman"/>
          <w:szCs w:val="22"/>
        </w:rPr>
      </w:pPr>
      <w:r w:rsidRPr="00CB5050">
        <w:rPr>
          <w:rFonts w:eastAsia="Calibri" w:cs="Times New Roman"/>
          <w:szCs w:val="22"/>
        </w:rPr>
        <w:t>v 4 zadevah je Državno odvetništvo RS zahtevek zavrnilo,</w:t>
      </w:r>
    </w:p>
    <w:p w14:paraId="2A70429A" w14:textId="77777777" w:rsidR="00695AE2" w:rsidRPr="00CB5050" w:rsidRDefault="00695AE2" w:rsidP="00695AE2">
      <w:pPr>
        <w:numPr>
          <w:ilvl w:val="0"/>
          <w:numId w:val="98"/>
        </w:numPr>
        <w:spacing w:line="240" w:lineRule="auto"/>
        <w:jc w:val="both"/>
        <w:rPr>
          <w:rFonts w:eastAsia="Calibri"/>
        </w:rPr>
      </w:pPr>
      <w:r w:rsidRPr="00CB5050">
        <w:rPr>
          <w:rFonts w:eastAsia="Calibri" w:cs="Times New Roman"/>
          <w:szCs w:val="22"/>
        </w:rPr>
        <w:t>vse preostale zadeve so bile zaključene na drug način.</w:t>
      </w:r>
    </w:p>
    <w:p w14:paraId="2FB7D07C" w14:textId="77777777" w:rsidR="00695AE2" w:rsidRPr="00CB5050" w:rsidRDefault="00695AE2" w:rsidP="00695AE2">
      <w:pPr>
        <w:spacing w:line="240" w:lineRule="auto"/>
        <w:jc w:val="both"/>
        <w:rPr>
          <w:rFonts w:eastAsia="Calibri" w:cs="Times New Roman"/>
          <w:szCs w:val="22"/>
        </w:rPr>
      </w:pPr>
    </w:p>
    <w:p w14:paraId="39C5E3EA" w14:textId="0DE312D5" w:rsidR="00695AE2" w:rsidRPr="00CB5050" w:rsidRDefault="00695AE2" w:rsidP="00695AE2">
      <w:pPr>
        <w:pStyle w:val="Jasna"/>
      </w:pPr>
      <w:r w:rsidRPr="00CB5050">
        <w:t>Iz statističnih podatkov, predstavljenih v t</w:t>
      </w:r>
      <w:r w:rsidR="00C70D20">
        <w:t>o</w:t>
      </w:r>
      <w:r w:rsidRPr="00CB5050">
        <w:t>č</w:t>
      </w:r>
      <w:r w:rsidR="00C70D20">
        <w:t>ki</w:t>
      </w:r>
      <w:r w:rsidRPr="00CB5050">
        <w:t xml:space="preserve"> </w:t>
      </w:r>
      <w:r w:rsidRPr="00C70D20">
        <w:t>1 (str</w:t>
      </w:r>
      <w:r w:rsidR="00C70D20" w:rsidRPr="00C70D20">
        <w:t>an 165</w:t>
      </w:r>
      <w:r w:rsidR="00C70D20">
        <w:t xml:space="preserve"> in 166</w:t>
      </w:r>
      <w:r w:rsidRPr="00C70D20">
        <w:t>), izhaja</w:t>
      </w:r>
      <w:r w:rsidRPr="00CB5050">
        <w:t xml:space="preserve">, da je bil delež delovnopravnih in socialnopravnih sporov, ki so se zaključili s poravnavo, v letu 2025 izjemno visok; večinoma je šlo za spore zaradi dodatnega plačila delovnega časa odrejene stalne pripravljenosti na določenem kraju. V zvezi s tovrstnimi spori je treba poudariti še dejstvo, da je bilo veliko tovrstnih sporov zaključenih tudi z (delno) sodbo na podlagi pripoznave in brez glavne obravnave, in sicer v vseh tistih primerih, ko je bil zahtevek v celoti ali delno utemeljen, poravnalna pogajanja pa niso bila uspešna.  </w:t>
      </w:r>
    </w:p>
    <w:p w14:paraId="77C54AB1" w14:textId="77777777" w:rsidR="00695AE2" w:rsidRPr="00CB5050" w:rsidRDefault="00695AE2" w:rsidP="00695AE2">
      <w:pPr>
        <w:pStyle w:val="Jasna"/>
      </w:pPr>
    </w:p>
    <w:p w14:paraId="66CF5B77" w14:textId="77777777" w:rsidR="00695AE2" w:rsidRPr="00CB5050" w:rsidRDefault="00695AE2" w:rsidP="00695AE2">
      <w:pPr>
        <w:pStyle w:val="Naslov4"/>
      </w:pPr>
      <w:bookmarkStart w:id="588" w:name="_Toc223093926"/>
      <w:r w:rsidRPr="00CB5050">
        <w:t>Delovnopravne zadeve</w:t>
      </w:r>
      <w:bookmarkEnd w:id="588"/>
    </w:p>
    <w:p w14:paraId="3BF4C51D" w14:textId="77777777" w:rsidR="00695AE2" w:rsidRPr="00CB5050" w:rsidRDefault="00695AE2" w:rsidP="00695AE2">
      <w:pPr>
        <w:spacing w:line="240" w:lineRule="auto"/>
        <w:jc w:val="both"/>
        <w:rPr>
          <w:rFonts w:eastAsia="Calibri"/>
        </w:rPr>
      </w:pPr>
    </w:p>
    <w:p w14:paraId="383ABE0E" w14:textId="77777777" w:rsidR="00695AE2" w:rsidRPr="00CB5050" w:rsidRDefault="00695AE2" w:rsidP="00695AE2">
      <w:pPr>
        <w:pStyle w:val="Naslov5"/>
      </w:pPr>
      <w:bookmarkStart w:id="589" w:name="_Toc168844952"/>
      <w:bookmarkStart w:id="590" w:name="_Toc191561930"/>
      <w:bookmarkStart w:id="591" w:name="_Toc223093927"/>
      <w:r w:rsidRPr="00CB5050">
        <w:t xml:space="preserve">Delovni spori </w:t>
      </w:r>
      <w:bookmarkEnd w:id="589"/>
      <w:bookmarkEnd w:id="590"/>
      <w:r w:rsidRPr="00CB5050">
        <w:t>iz naslova stalne pripravljenosti</w:t>
      </w:r>
      <w:bookmarkEnd w:id="591"/>
    </w:p>
    <w:p w14:paraId="4099F4BB" w14:textId="77777777" w:rsidR="00695AE2" w:rsidRPr="00CB5050" w:rsidRDefault="00695AE2" w:rsidP="00695AE2">
      <w:pPr>
        <w:pStyle w:val="Jasna"/>
      </w:pPr>
    </w:p>
    <w:p w14:paraId="6D4E7502" w14:textId="77777777" w:rsidR="00695AE2" w:rsidRPr="00CB5050" w:rsidRDefault="00695AE2" w:rsidP="00695AE2">
      <w:pPr>
        <w:spacing w:line="240" w:lineRule="auto"/>
        <w:jc w:val="both"/>
        <w:rPr>
          <w:rFonts w:eastAsia="Calibri"/>
          <w:szCs w:val="22"/>
        </w:rPr>
      </w:pPr>
      <w:r w:rsidRPr="00CB5050">
        <w:rPr>
          <w:rFonts w:eastAsia="Calibri"/>
          <w:szCs w:val="22"/>
        </w:rPr>
        <w:t xml:space="preserve">Predmetno problematiko spremlja in skrbi za usklajeno delovanje Državnega odvetništva RS pri obravnavi tovrstnih zadev v letu 2022 z odredbo generalnega državnega odvetnika </w:t>
      </w:r>
      <w:r w:rsidRPr="00CB5050">
        <w:rPr>
          <w:rFonts w:eastAsia="Calibri"/>
          <w:szCs w:val="22"/>
        </w:rPr>
        <w:lastRenderedPageBreak/>
        <w:t xml:space="preserve">ustanovljena delovna skupina, ki se je z odredbo generalne državne odvetnice v marcu 2025 preimenovala v Delovno skupino za zahtevke iz naslova stalne pripravljenosti. </w:t>
      </w:r>
    </w:p>
    <w:p w14:paraId="75EBCE13" w14:textId="77777777" w:rsidR="00695AE2" w:rsidRPr="00CB5050" w:rsidRDefault="00695AE2" w:rsidP="00695AE2">
      <w:pPr>
        <w:spacing w:line="240" w:lineRule="auto"/>
        <w:jc w:val="both"/>
        <w:rPr>
          <w:rFonts w:eastAsia="Calibri" w:cs="Arial"/>
          <w:szCs w:val="20"/>
        </w:rPr>
      </w:pPr>
    </w:p>
    <w:p w14:paraId="724DB4F2" w14:textId="77777777" w:rsidR="00695AE2" w:rsidRPr="00CB5050" w:rsidRDefault="00695AE2" w:rsidP="00695AE2">
      <w:pPr>
        <w:spacing w:line="240" w:lineRule="auto"/>
        <w:jc w:val="both"/>
        <w:rPr>
          <w:rFonts w:eastAsia="Calibri"/>
        </w:rPr>
      </w:pPr>
      <w:r w:rsidRPr="00CB5050">
        <w:rPr>
          <w:rFonts w:eastAsia="Calibri" w:cs="Arial"/>
          <w:szCs w:val="20"/>
        </w:rPr>
        <w:t>Na podlagi sodbe Vrhovnega sodišča RS, opr. št. VIII Ips 196/2018 z dne 1. 2. 2022</w:t>
      </w:r>
      <w:r w:rsidRPr="00CB5050">
        <w:rPr>
          <w:rFonts w:eastAsia="Calibri" w:cs="Arial"/>
          <w:szCs w:val="20"/>
          <w:vertAlign w:val="superscript"/>
        </w:rPr>
        <w:footnoteReference w:id="15"/>
      </w:r>
      <w:r w:rsidRPr="00CB5050">
        <w:rPr>
          <w:rFonts w:eastAsia="Calibri" w:cs="Arial"/>
          <w:szCs w:val="20"/>
        </w:rPr>
        <w:t xml:space="preserve"> in nadaljnjih sodb tega sodišča, opr. št. VIII Ips 11/2024 z dne 14. 5. 2024, opr. št. VIII Ips 15/2024 z dne 14. 5. 2024 in sklepa, opr. št. VIII Ips 16/2024 z dne 18. 5. 2024, s katerimi je bilo odločeno o vseh pomembnih pravnih vprašanjih v tovrstnih sporih, je Državno odvetništvo RS tudi v letu 2025 beležilo povečan pripad novih tožb v individualnih delovnih sporih zaradi dodatnega plačila delovnega časa za čas odrejene stalne pripravljenosti na določenem kraju. </w:t>
      </w:r>
    </w:p>
    <w:p w14:paraId="2A23A678" w14:textId="77777777" w:rsidR="00695AE2" w:rsidRPr="00CB5050" w:rsidRDefault="00695AE2" w:rsidP="00695AE2">
      <w:pPr>
        <w:spacing w:line="240" w:lineRule="auto"/>
        <w:jc w:val="both"/>
        <w:rPr>
          <w:rFonts w:eastAsia="Calibri"/>
        </w:rPr>
      </w:pPr>
    </w:p>
    <w:p w14:paraId="34B61B7E"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do zaključka obdobja poročanja tako evidentiralo skupno kar 2.477 delovnih sporov te vsebine, v katerih tožeče stranke – </w:t>
      </w:r>
      <w:r w:rsidRPr="00CB5050">
        <w:rPr>
          <w:rFonts w:eastAsia="Calibri"/>
          <w:color w:val="007466"/>
        </w:rPr>
        <w:t xml:space="preserve">pripadniki Slovenske vojske </w:t>
      </w:r>
      <w:r w:rsidRPr="00CB5050">
        <w:rPr>
          <w:rFonts w:eastAsia="Calibri"/>
        </w:rPr>
        <w:t xml:space="preserve">zahtevajo skupno več kot 16 milijonov evrov, pri čemer gre zgolj za vsoto zahtevanih glavnic brez obresti in stroškov postopka. </w:t>
      </w:r>
    </w:p>
    <w:p w14:paraId="494978B4" w14:textId="77777777" w:rsidR="00695AE2" w:rsidRPr="00CB5050" w:rsidRDefault="00695AE2" w:rsidP="00695AE2">
      <w:pPr>
        <w:spacing w:line="240" w:lineRule="auto"/>
        <w:jc w:val="both"/>
        <w:rPr>
          <w:rFonts w:eastAsia="Calibri"/>
        </w:rPr>
      </w:pPr>
    </w:p>
    <w:p w14:paraId="22A8799E" w14:textId="77777777" w:rsidR="00695AE2" w:rsidRPr="00CB5050" w:rsidRDefault="00695AE2" w:rsidP="00695AE2">
      <w:pPr>
        <w:spacing w:line="240" w:lineRule="auto"/>
        <w:jc w:val="both"/>
        <w:rPr>
          <w:rFonts w:eastAsia="Calibri"/>
        </w:rPr>
      </w:pPr>
      <w:r w:rsidRPr="00CB5050">
        <w:rPr>
          <w:rFonts w:eastAsia="Calibri"/>
        </w:rPr>
        <w:t>V</w:t>
      </w:r>
      <w:r w:rsidRPr="00CB5050">
        <w:rPr>
          <w:rFonts w:eastAsia="Calibri" w:cs="Arial"/>
          <w:szCs w:val="20"/>
        </w:rPr>
        <w:t xml:space="preserve"> letu 2025 je Državno odvetništvo RS na novo prejelo 735 teh zadev v skupni vtoževani višini 3.191.297,67 evra, na dan 31. 12. 2025 pa je imelo Državno odvetništvo RS v reševanju 476 teh zadev v skupni vtoževani višini 2.168.457,57 evrov; v navedene zneske niso vključene zakonske zamudne obresti, ki jih tožniki uveljavljajo za tri leta za nazaj od dneva vložitve tožbe, ter stroški postopka. Novo vložene tožbe so večinoma v celoti utemeljene, saj tožniki tožbeni zahtevek oblikujejo upoštevaje aktualno sodno prakso, ki se</w:t>
      </w:r>
      <w:r w:rsidRPr="00CB5050">
        <w:rPr>
          <w:rFonts w:eastAsia="Calibri"/>
          <w:bCs/>
          <w:szCs w:val="22"/>
        </w:rPr>
        <w:t xml:space="preserve"> oblikovala v smeri, da straža in varovanje državne meje ne prestavljata izjeme od uporabe Direktive 2003/88/ES, medtem ko je vaje/usposabljanja potrebno izključiti s področja uporabe Direktive 2003/88/ES. </w:t>
      </w:r>
    </w:p>
    <w:p w14:paraId="400FB835" w14:textId="77777777" w:rsidR="00695AE2" w:rsidRPr="00CB5050" w:rsidRDefault="00695AE2" w:rsidP="00695AE2">
      <w:pPr>
        <w:spacing w:line="240" w:lineRule="auto"/>
        <w:jc w:val="both"/>
        <w:rPr>
          <w:rFonts w:eastAsia="Calibri"/>
          <w:szCs w:val="22"/>
        </w:rPr>
      </w:pPr>
      <w:r w:rsidRPr="00CB5050">
        <w:rPr>
          <w:rFonts w:eastAsia="Calibri"/>
          <w:szCs w:val="22"/>
        </w:rPr>
        <w:lastRenderedPageBreak/>
        <w:t xml:space="preserve">Zaradi vsega navedenega je bila tem sporom namenjena izjemna pozornost in so bile na strani Državnega odvetništva RS opravljene številne aktivnosti, da bi se zajezilo vlaganje novih tožb in da bi se delovni spori zaključili hitro, na miren način, s kar najmanjšo obremenitvijo sodišč in s čim manjšimi stroški. </w:t>
      </w:r>
    </w:p>
    <w:p w14:paraId="361A92AF" w14:textId="77777777" w:rsidR="00695AE2" w:rsidRPr="00CB5050" w:rsidRDefault="00695AE2" w:rsidP="00695AE2">
      <w:pPr>
        <w:spacing w:line="240" w:lineRule="auto"/>
        <w:jc w:val="both"/>
        <w:rPr>
          <w:rFonts w:eastAsia="Calibri"/>
          <w:highlight w:val="yellow"/>
        </w:rPr>
      </w:pPr>
    </w:p>
    <w:p w14:paraId="347A1DB7" w14:textId="77777777" w:rsidR="00695AE2" w:rsidRPr="00CB5050" w:rsidRDefault="00695AE2" w:rsidP="00695AE2">
      <w:pPr>
        <w:spacing w:line="240" w:lineRule="auto"/>
        <w:jc w:val="both"/>
        <w:rPr>
          <w:rFonts w:eastAsia="Calibri"/>
          <w:szCs w:val="22"/>
        </w:rPr>
      </w:pPr>
      <w:r w:rsidRPr="00CB5050">
        <w:rPr>
          <w:rFonts w:eastAsia="Calibri"/>
          <w:szCs w:val="22"/>
        </w:rPr>
        <w:t xml:space="preserve">Delovna skupina je z Ministrstvom za obrambo v juliju 2024 sklenila dogovor, da je v interesu vseh deležnikov, da se delovni spori glede dodatnega plačila ur odrejene stalne pripravljenosti na določenem kraju zaključijo v najkrajšem možnem času na miren način s sklenitvijo poravnave oziroma če poravnavanje ni uspešno, z (delno) pripoznavo zahtevkov. Delovna skupina je v nadaljevanju pozvala ministrstvo, da minister izda generalno soglasje za sklepanje poravnav in pripoznavo zahtevkov, prav tako tudi, da je dolžno pridobiti generalni sklep Vlade RS za sklepanje poravnav nad zneskom 10.000,00 evrov. Državno odvetništvo RS je z dopisom ministrstva iz septembra 2024 pridobilo generalno soglasje za sklepanje poravnav. Z dopisom ministrstva iz oktobra 2024 je Državno odvetništvo RS prejelo generalno soglasje ministra za pripoznavo tožbenih zahtevkov (če je pripoznava ugodnejša od poravnave). V decembru 2024 je Vlada RS sprejela sklep, s katerim je sprejela informacijo o nameravani sklenitvi sodnih poravnav s tožniki, zaradi prikrajšanja iz naslova stalne pripravljenosti na delovnem mestu ali določenem kraju. </w:t>
      </w:r>
    </w:p>
    <w:p w14:paraId="4BD2BCA9" w14:textId="77777777" w:rsidR="00695AE2" w:rsidRPr="00CB5050" w:rsidRDefault="00695AE2" w:rsidP="00695AE2">
      <w:pPr>
        <w:spacing w:line="240" w:lineRule="auto"/>
        <w:jc w:val="both"/>
        <w:rPr>
          <w:rFonts w:eastAsia="Calibri"/>
          <w:szCs w:val="22"/>
        </w:rPr>
      </w:pPr>
    </w:p>
    <w:p w14:paraId="6E9C8EA9" w14:textId="77777777" w:rsidR="00695AE2" w:rsidRPr="00CB5050" w:rsidRDefault="00695AE2" w:rsidP="00695AE2">
      <w:pPr>
        <w:spacing w:line="240" w:lineRule="auto"/>
        <w:jc w:val="both"/>
        <w:rPr>
          <w:rFonts w:eastAsia="Calibri"/>
          <w:szCs w:val="22"/>
        </w:rPr>
      </w:pPr>
      <w:r w:rsidRPr="00CB5050">
        <w:rPr>
          <w:rFonts w:eastAsia="Calibri"/>
          <w:szCs w:val="22"/>
        </w:rPr>
        <w:t xml:space="preserve">Delovna skupina je o pridobljenih soglasjih sproti obveščala vodje vseh oddelkov ter jih pozvala, da državni odvetniki aktivno pristopijo k poravnavanju v tovrstnih delovnih sporih oziroma k pripoznavi utemeljenih tožbenih zahtevkov. Leto 2025 je bilo tako zaznamovano z intenzivnim delom državnih odvetnikov na tovrstnih delovnih sporih in tudi rezultati niso izostali, saj je bila konec leta 2025 večina tovrstnih sporov, v katerih je bila tožena stranka Ministrstvo za obrambo, pravnomočno zaključenih. Skupno je bilo tako zaključenih kar 1.544 tovrstnih delovnih sporov in zgolj 476 sporov je še v teku; gre večinoma za spore, začete v letu 2025, glede katerih državni odvetniki še niso prejeli zaprošenih podatkov oziroma so zahtevki (vsaj deloma) neutemeljeni, tožniki pa kljub temu vztrajajo pri vloženih tožbah. </w:t>
      </w:r>
    </w:p>
    <w:p w14:paraId="0719DF7C" w14:textId="77777777" w:rsidR="00695AE2" w:rsidRPr="00CB5050" w:rsidRDefault="00695AE2" w:rsidP="00695AE2">
      <w:pPr>
        <w:spacing w:line="240" w:lineRule="auto"/>
        <w:jc w:val="both"/>
        <w:rPr>
          <w:rFonts w:eastAsia="Calibri"/>
          <w:szCs w:val="22"/>
        </w:rPr>
      </w:pPr>
    </w:p>
    <w:p w14:paraId="069F55B7" w14:textId="77777777" w:rsidR="00695AE2" w:rsidRPr="00CB5050" w:rsidRDefault="00695AE2" w:rsidP="00695AE2">
      <w:pPr>
        <w:spacing w:line="240" w:lineRule="auto"/>
        <w:jc w:val="both"/>
        <w:rPr>
          <w:rFonts w:eastAsia="Calibri"/>
          <w:color w:val="000000"/>
          <w:szCs w:val="22"/>
        </w:rPr>
      </w:pPr>
      <w:r w:rsidRPr="00CB5050">
        <w:rPr>
          <w:rFonts w:eastAsia="Calibri" w:cs="Arial"/>
          <w:szCs w:val="20"/>
        </w:rPr>
        <w:t xml:space="preserve">Na predlog Državnega odvetništva RS, da bi Ministrstvo za obrambo prostovoljno izpolnilo obveznosti vsem pripadnikom Slovenske vojske, je minister za obrambo </w:t>
      </w:r>
      <w:r w:rsidRPr="00CB5050">
        <w:rPr>
          <w:rFonts w:eastAsia="Calibri"/>
          <w:szCs w:val="22"/>
        </w:rPr>
        <w:t>(po predhodni opredelitvi delovne skupine glede njene vsebine in ustreznosti, pri čemer so bile vse pripombe delovne skupine tudi upoštevane)</w:t>
      </w:r>
      <w:r w:rsidRPr="00CB5050">
        <w:rPr>
          <w:rFonts w:eastAsia="Calibri" w:cs="Arial"/>
          <w:szCs w:val="20"/>
        </w:rPr>
        <w:t xml:space="preserve"> dne </w:t>
      </w:r>
      <w:r w:rsidRPr="00CB5050">
        <w:rPr>
          <w:rFonts w:eastAsia="Calibri"/>
          <w:color w:val="000000"/>
          <w:szCs w:val="22"/>
        </w:rPr>
        <w:t xml:space="preserve">1. 10. 2025 izdal odredbo, s katero se je ministrstvo zavezalo, da bo do avgusta 2026 poravnalo vse svoje nezastarane obveznosti in vsem pripadnikom Slovenske vojske in vsem pripadnikom rezervnih sil dodatno plačalo delovni čas odrejene stalne pripravljenosti na določenem kraju, skupaj z zakonskimi zamudnimi obrestmi, ki do dneva izdaje odredbe še niso zastarale. Državno odvetništvo RS je prepričano, da bo izdana odredba odvrnila tožnike od vlaganja novih tožb, da bo najkasneje z realizacijo odredbe večina tožnikov v aktualnih delovnih sporih izgubila pravni interes, posledično tudi, da bo večina tovrstnih delovnih sporov do konca leta 2026 pravnomočno zaključenih. </w:t>
      </w:r>
    </w:p>
    <w:p w14:paraId="29A813C4" w14:textId="77777777" w:rsidR="00695AE2" w:rsidRPr="00CB5050" w:rsidRDefault="00695AE2" w:rsidP="00695AE2">
      <w:pPr>
        <w:spacing w:line="240" w:lineRule="auto"/>
        <w:jc w:val="both"/>
        <w:rPr>
          <w:rFonts w:eastAsia="Calibri"/>
          <w:color w:val="000000"/>
          <w:szCs w:val="22"/>
        </w:rPr>
      </w:pPr>
    </w:p>
    <w:p w14:paraId="300B0837"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ocenjuje, da je bila delovna skupina v svojem prizadevanju za mirno rešitev sporov in razbremenjevanje sodišč, za poenoteno obravnavanje vseh tožnikov, za poenoteno zastopanje vseh državnih odvetnikov in končno za čimprejšnji zaključek delovnih sporov, vloženih zoper Ministrstvo za obrambo, uspešna, kar nedvomno izkazuje visoko število zaključenih delovnih sporov te vsebine, pri čemer je bila velika večina sporov zaključena s poravnavo in/ali pripoznavo. Poudariti je treba, da je bila delovna skupina uspešna tudi v svojih </w:t>
      </w:r>
      <w:r w:rsidRPr="00CB5050">
        <w:rPr>
          <w:rFonts w:eastAsia="Calibri"/>
          <w:szCs w:val="22"/>
        </w:rPr>
        <w:lastRenderedPageBreak/>
        <w:t xml:space="preserve">prizadevanjih, da Ministrstvo za obrambo samo in izvensodno izpolni svoje obveznosti ter uredi vsa sporna razmerja, kar je bilo opravljeno z izdajo odredbe 1. 10. 2025. </w:t>
      </w:r>
    </w:p>
    <w:p w14:paraId="324700CB" w14:textId="77777777" w:rsidR="00695AE2" w:rsidRPr="00CB5050" w:rsidRDefault="00695AE2" w:rsidP="00695AE2">
      <w:pPr>
        <w:spacing w:line="240" w:lineRule="auto"/>
        <w:jc w:val="both"/>
        <w:rPr>
          <w:rFonts w:eastAsia="Calibri"/>
          <w:szCs w:val="22"/>
        </w:rPr>
      </w:pPr>
    </w:p>
    <w:p w14:paraId="68F64B47" w14:textId="77777777" w:rsidR="00695AE2" w:rsidRPr="00CB5050" w:rsidRDefault="00695AE2" w:rsidP="00695AE2">
      <w:pPr>
        <w:spacing w:line="240" w:lineRule="auto"/>
        <w:jc w:val="both"/>
        <w:rPr>
          <w:rFonts w:eastAsia="Calibri"/>
          <w:szCs w:val="22"/>
        </w:rPr>
      </w:pPr>
      <w:r w:rsidRPr="00CB5050">
        <w:rPr>
          <w:rFonts w:eastAsia="Calibri"/>
          <w:szCs w:val="22"/>
        </w:rPr>
        <w:t xml:space="preserve">Po izdaji številnih sodb Vrhovnega sodišča RS, s katerimi je bilo odločeno o vseh pravnih vprašanjih in je bilo tožbenim zahtevkom v pretežnem delu ugodeno, je Ministrstvo za obrambo s 1. 1. 2023 reorganiziralo varovanje objektov na način, da so se spoštovale zahteve omenjene Direktive, prav tako pa Slovenska vojska od tedaj dalje ni več sodelovala s Policijo pri varovanju državne meje. Na opisani način je ministrstvo preprečilo nastajanje novih obveznosti po tej pravni podlagi, od 1. 1. 2025 dalje pa je bilo plačilo stalne pripravljenosti na določenem kraju, ki se všteva v delovni čas, ustrezno urejeno z Zakonom o skupnih temeljih sistema plač v javnem sektorju in s 27. členom nove Kolektivne pogodbe za javni sektor, ki določa, da se stalna pripravljenost na določenem kraju in dežurstvo štejeta kot delovni čas in plačata kot redno delo. </w:t>
      </w:r>
    </w:p>
    <w:p w14:paraId="4BB2D356" w14:textId="77777777" w:rsidR="00695AE2" w:rsidRPr="00CB5050" w:rsidRDefault="00695AE2" w:rsidP="00695AE2">
      <w:pPr>
        <w:spacing w:line="240" w:lineRule="auto"/>
        <w:jc w:val="both"/>
        <w:rPr>
          <w:rFonts w:eastAsia="Calibri"/>
          <w:color w:val="000000"/>
          <w:szCs w:val="22"/>
        </w:rPr>
      </w:pPr>
    </w:p>
    <w:p w14:paraId="26625D57"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prejelo tudi 105 tožb </w:t>
      </w:r>
      <w:r w:rsidRPr="00CB5050">
        <w:rPr>
          <w:rFonts w:eastAsia="Calibri"/>
          <w:color w:val="007466"/>
          <w:szCs w:val="22"/>
        </w:rPr>
        <w:t>policistov</w:t>
      </w:r>
      <w:r w:rsidRPr="00CB5050">
        <w:rPr>
          <w:rFonts w:eastAsia="Calibri"/>
          <w:color w:val="000000"/>
          <w:szCs w:val="22"/>
        </w:rPr>
        <w:t xml:space="preserve">, ki jim je bila odrejena stalna pripravljenost na določenem kraju v okviru nalog, ki so jih opravljali v Centru za varnost in zaščito in v Specialni enoti. </w:t>
      </w:r>
      <w:r w:rsidRPr="00CB5050">
        <w:rPr>
          <w:rFonts w:eastAsia="Calibri"/>
          <w:szCs w:val="22"/>
        </w:rPr>
        <w:t xml:space="preserve">Skupna vtoževana vrednost v teh zadevah, ki jih je Državno odvetništvo RS prejelo v letu 2025, je 1.629.734,56 evrov, </w:t>
      </w:r>
      <w:r w:rsidRPr="00CB5050">
        <w:rPr>
          <w:rFonts w:eastAsia="Calibri" w:cs="Arial"/>
          <w:szCs w:val="20"/>
        </w:rPr>
        <w:t>pri čemer v znesek niso vključene obresti in stroški postopka. V</w:t>
      </w:r>
      <w:r w:rsidRPr="00CB5050">
        <w:rPr>
          <w:rFonts w:eastAsia="Calibri"/>
          <w:szCs w:val="22"/>
        </w:rPr>
        <w:t xml:space="preserve"> zadevah policistov Centra za varovanje in zaščito je vložen ugovor zaradi neprimernosti oziroma nemožnosti sistema rotacij, v zadevah policistov Specialne enote pa ugovor, da gre za izjemo od Direktive po 17. 3. b. členu.</w:t>
      </w:r>
    </w:p>
    <w:p w14:paraId="26A396F1" w14:textId="77777777" w:rsidR="00695AE2" w:rsidRPr="00CB5050" w:rsidRDefault="00695AE2" w:rsidP="00695AE2">
      <w:pPr>
        <w:spacing w:line="240" w:lineRule="auto"/>
        <w:jc w:val="both"/>
        <w:rPr>
          <w:rFonts w:eastAsia="Calibri"/>
          <w:szCs w:val="22"/>
        </w:rPr>
      </w:pPr>
    </w:p>
    <w:p w14:paraId="6CE26833" w14:textId="77777777" w:rsidR="00695AE2" w:rsidRPr="00CB5050" w:rsidRDefault="00695AE2" w:rsidP="00695AE2">
      <w:pPr>
        <w:spacing w:line="240" w:lineRule="auto"/>
        <w:jc w:val="both"/>
        <w:rPr>
          <w:rFonts w:eastAsia="Calibri"/>
          <w:szCs w:val="22"/>
        </w:rPr>
      </w:pPr>
      <w:r w:rsidRPr="00CB5050">
        <w:rPr>
          <w:rFonts w:eastAsia="Calibri"/>
          <w:szCs w:val="22"/>
        </w:rPr>
        <w:t xml:space="preserve">Delovna skupina je ugotovila, da gre za vsebinsko zelo različne tožbe oziroma različne dejanske okoliščine, zaradi česar ni mogoče vnaprej oceniti uspešnosti tožnikov v vseh teh sporih. </w:t>
      </w:r>
    </w:p>
    <w:p w14:paraId="44C465C3" w14:textId="77777777" w:rsidR="00695AE2" w:rsidRPr="00CB5050" w:rsidRDefault="00695AE2" w:rsidP="00695AE2">
      <w:pPr>
        <w:spacing w:line="240" w:lineRule="auto"/>
        <w:jc w:val="both"/>
        <w:rPr>
          <w:rFonts w:eastAsia="Calibri"/>
          <w:szCs w:val="22"/>
        </w:rPr>
      </w:pPr>
    </w:p>
    <w:p w14:paraId="3D80BFC8" w14:textId="77777777" w:rsidR="00695AE2" w:rsidRPr="00CB5050" w:rsidRDefault="00695AE2" w:rsidP="00695AE2">
      <w:pPr>
        <w:spacing w:line="240" w:lineRule="auto"/>
        <w:jc w:val="both"/>
        <w:rPr>
          <w:rFonts w:eastAsia="Calibri"/>
          <w:szCs w:val="22"/>
        </w:rPr>
      </w:pPr>
      <w:r w:rsidRPr="00CB5050">
        <w:rPr>
          <w:rFonts w:eastAsia="Calibri"/>
          <w:szCs w:val="22"/>
        </w:rPr>
        <w:t xml:space="preserve">Delovno sodišče v Murski Soboti je s sodbo Pd 49/2024 z dne 3. 6. 2025 tovrstnemu tožbenemu zahtevku že ugodilo, saj Ministrstvo za notranje zadeve ni niti predložilo niti predlagalo dokazov, s katerimi bi lahko tožena stranka zahtevku uspešno ugovarjala. </w:t>
      </w:r>
    </w:p>
    <w:p w14:paraId="0F4A429C" w14:textId="77777777" w:rsidR="00695AE2" w:rsidRPr="00CB5050" w:rsidRDefault="00695AE2" w:rsidP="00695AE2">
      <w:pPr>
        <w:spacing w:line="240" w:lineRule="auto"/>
        <w:jc w:val="both"/>
        <w:rPr>
          <w:rFonts w:eastAsia="Calibri"/>
          <w:szCs w:val="22"/>
        </w:rPr>
      </w:pPr>
    </w:p>
    <w:p w14:paraId="2EEA242E" w14:textId="77777777" w:rsidR="00695AE2" w:rsidRPr="00CB5050" w:rsidRDefault="00695AE2" w:rsidP="00695AE2">
      <w:pPr>
        <w:spacing w:line="240" w:lineRule="auto"/>
        <w:jc w:val="both"/>
        <w:rPr>
          <w:rFonts w:eastAsia="Calibri"/>
          <w:szCs w:val="22"/>
        </w:rPr>
      </w:pPr>
      <w:r w:rsidRPr="00CB5050">
        <w:rPr>
          <w:rFonts w:eastAsia="Calibri"/>
          <w:szCs w:val="22"/>
        </w:rPr>
        <w:t xml:space="preserve">Delovna skupina bo tudi v letu 2026 nadaljevala s svojim delom, saj v času priprave tega poročila o delu narašča število omenjenih delovnih sporov policistov zoper Ministrstvo za notranje zadeve oziroma Policijo. </w:t>
      </w:r>
    </w:p>
    <w:p w14:paraId="677AB374" w14:textId="77777777" w:rsidR="00695AE2" w:rsidRPr="00CB5050" w:rsidRDefault="00695AE2" w:rsidP="00695AE2">
      <w:pPr>
        <w:spacing w:line="240" w:lineRule="auto"/>
        <w:jc w:val="both"/>
        <w:rPr>
          <w:rFonts w:eastAsia="Calibri"/>
          <w:szCs w:val="22"/>
        </w:rPr>
      </w:pPr>
    </w:p>
    <w:p w14:paraId="69435290" w14:textId="77777777" w:rsidR="00695AE2" w:rsidRPr="00CB5050" w:rsidRDefault="00695AE2" w:rsidP="00695AE2">
      <w:pPr>
        <w:pStyle w:val="Naslov5"/>
      </w:pPr>
      <w:bookmarkStart w:id="592" w:name="_Toc223093928"/>
      <w:r w:rsidRPr="00CB5050">
        <w:t>Tožbe sodnikov na izplačilo razlike v plači</w:t>
      </w:r>
      <w:bookmarkEnd w:id="592"/>
      <w:r w:rsidRPr="00CB5050">
        <w:t xml:space="preserve"> </w:t>
      </w:r>
    </w:p>
    <w:p w14:paraId="56C34DF4" w14:textId="77777777" w:rsidR="00695AE2" w:rsidRPr="00CB5050" w:rsidRDefault="00695AE2" w:rsidP="00695AE2">
      <w:pPr>
        <w:tabs>
          <w:tab w:val="left" w:pos="1440"/>
        </w:tabs>
        <w:spacing w:line="240" w:lineRule="auto"/>
        <w:rPr>
          <w:rFonts w:eastAsia="Calibri"/>
          <w:szCs w:val="22"/>
        </w:rPr>
      </w:pPr>
    </w:p>
    <w:p w14:paraId="1D927C35" w14:textId="77777777" w:rsidR="00695AE2" w:rsidRPr="00CB5050" w:rsidRDefault="00695AE2" w:rsidP="00695AE2">
      <w:pPr>
        <w:tabs>
          <w:tab w:val="left" w:pos="1440"/>
        </w:tabs>
        <w:spacing w:line="240" w:lineRule="auto"/>
        <w:jc w:val="both"/>
        <w:rPr>
          <w:rFonts w:eastAsia="Calibri" w:cs="Times New Roman"/>
          <w:b/>
          <w:bCs/>
          <w:szCs w:val="22"/>
        </w:rPr>
      </w:pPr>
      <w:r w:rsidRPr="00CB5050">
        <w:rPr>
          <w:rFonts w:eastAsia="Calibri" w:cs="Times New Roman"/>
          <w:szCs w:val="22"/>
        </w:rPr>
        <w:t xml:space="preserve">Delovna skupina, ki se ukvarja s predmetno problematiko, je bila ustanovljena z odredbo generalne državne odvetnice januarja 2024. </w:t>
      </w:r>
    </w:p>
    <w:p w14:paraId="17B3CCAE" w14:textId="77777777" w:rsidR="00695AE2" w:rsidRPr="00CB5050" w:rsidRDefault="00695AE2" w:rsidP="00695AE2">
      <w:pPr>
        <w:tabs>
          <w:tab w:val="left" w:pos="1440"/>
        </w:tabs>
        <w:spacing w:line="240" w:lineRule="auto"/>
        <w:rPr>
          <w:rFonts w:eastAsia="Calibri" w:cs="Times New Roman"/>
          <w:b/>
          <w:bCs/>
          <w:szCs w:val="22"/>
        </w:rPr>
      </w:pPr>
    </w:p>
    <w:p w14:paraId="67BFF75D" w14:textId="77777777" w:rsidR="00695AE2" w:rsidRPr="00CB5050" w:rsidRDefault="00695AE2" w:rsidP="00695AE2">
      <w:pPr>
        <w:spacing w:line="240" w:lineRule="auto"/>
        <w:jc w:val="both"/>
        <w:rPr>
          <w:rFonts w:eastAsia="Calibri"/>
          <w:szCs w:val="22"/>
        </w:rPr>
      </w:pPr>
      <w:r w:rsidRPr="00CB5050">
        <w:rPr>
          <w:rFonts w:eastAsia="Calibri"/>
          <w:szCs w:val="22"/>
        </w:rPr>
        <w:t xml:space="preserve">Ustavno sodišče je z odločbo, št. U-I-772/21-37 z dne 1. 6. 2023 odločilo, da so določbe četrtega, petega in šestega odstavka 5. člena ZSPJS, v kolikor se nanašajo na usklajevanje sodniških plač, in določbe drugega odstavka 10. člena v zvezi s Prilogo 1 in prilogo 3 ZSPJS, v kolikor se nanašajo na sodnike, v neskladju z Ustavo RS in državnemu zboru odredilo, da mora v roku šestih mesecev po objavi te odločbe v Uradnem listu Republike Slovenije ugotovljeno neskladje odpraviti. </w:t>
      </w:r>
    </w:p>
    <w:p w14:paraId="4A81A7EA" w14:textId="77777777" w:rsidR="00695AE2" w:rsidRPr="00CB5050" w:rsidRDefault="00695AE2" w:rsidP="00695AE2">
      <w:pPr>
        <w:spacing w:line="240" w:lineRule="auto"/>
        <w:jc w:val="both"/>
        <w:rPr>
          <w:rFonts w:eastAsia="Calibri"/>
          <w:szCs w:val="22"/>
        </w:rPr>
      </w:pPr>
    </w:p>
    <w:p w14:paraId="6B13A2E2" w14:textId="77777777" w:rsidR="00695AE2" w:rsidRPr="00CB5050" w:rsidRDefault="00695AE2" w:rsidP="00695AE2">
      <w:pPr>
        <w:spacing w:line="240" w:lineRule="auto"/>
        <w:jc w:val="both"/>
        <w:rPr>
          <w:rFonts w:eastAsia="Calibri"/>
          <w:szCs w:val="22"/>
        </w:rPr>
      </w:pPr>
      <w:r w:rsidRPr="00CB5050">
        <w:rPr>
          <w:rFonts w:eastAsia="Calibri"/>
          <w:szCs w:val="22"/>
        </w:rPr>
        <w:t xml:space="preserve">Ustavno sodišče je po tem, ko njegova odločba z dne 1. 6. 2023 do roka 3. 1. 2024 ni bila realizirana in ko ugotovljena neskladja ZSPJS z Ustavo RS niso bila odpravljena, dne 30. 5. 2024 </w:t>
      </w:r>
      <w:r w:rsidRPr="00CB5050">
        <w:rPr>
          <w:rFonts w:eastAsia="Calibri"/>
          <w:szCs w:val="22"/>
        </w:rPr>
        <w:lastRenderedPageBreak/>
        <w:t xml:space="preserve">izdalo dopolnilno odločbo in sklep, št. U-I-8/20-23, s katero je bila določena izvršitev odločbe z dne 1. 6. 2023 na način, da se plačni razredi sodniških funkcij, kot so bili v veljavi na dan 1. 6. 2021, uskladijo s stopnjo rasti cen in življenjskih potrebščin v obdobju od 1. 6. 2012 do 31. 12. 2023 ter da se za uskladitev uporabi uradni podatek Statističnega urada Republike Slovenije o rasti cen življenjskih potrebščin v upoštevnem obdobju. Nadalje je bilo odločeno, da se plače, izračunane ob upoštevanju tako usklajenih plačnih razredov, sodnikom prvič izplačajo pri izplačilu plač za mesec september 2024, tedaj tudi razlike med pripadajočimi in dejansko prejetimi plačami za obdobje od 3. 1. 2024 do 31. 7. 2024. </w:t>
      </w:r>
    </w:p>
    <w:p w14:paraId="6B5CA100" w14:textId="77777777" w:rsidR="00695AE2" w:rsidRPr="00CB5050" w:rsidRDefault="00695AE2" w:rsidP="00695AE2">
      <w:pPr>
        <w:spacing w:line="240" w:lineRule="auto"/>
        <w:jc w:val="both"/>
        <w:rPr>
          <w:rFonts w:eastAsia="Calibri"/>
          <w:color w:val="FF0000"/>
          <w:szCs w:val="22"/>
        </w:rPr>
      </w:pPr>
    </w:p>
    <w:p w14:paraId="5B99623A"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2024 je bila vložena prva tožba s trditvijo, da so sodniki prejeli nižjo uskladitev plač, kot bi jim po ustavni odločbi pripadala.  </w:t>
      </w:r>
    </w:p>
    <w:p w14:paraId="265A3432" w14:textId="77777777" w:rsidR="00695AE2" w:rsidRPr="00CB5050" w:rsidRDefault="00695AE2" w:rsidP="00695AE2">
      <w:pPr>
        <w:spacing w:line="240" w:lineRule="auto"/>
        <w:jc w:val="both"/>
        <w:rPr>
          <w:rFonts w:eastAsia="Calibri"/>
          <w:szCs w:val="22"/>
        </w:rPr>
      </w:pPr>
    </w:p>
    <w:p w14:paraId="6D9135EE" w14:textId="77777777" w:rsidR="00695AE2" w:rsidRPr="00CB5050" w:rsidRDefault="00695AE2" w:rsidP="00695AE2">
      <w:pPr>
        <w:spacing w:line="240" w:lineRule="auto"/>
        <w:jc w:val="both"/>
        <w:rPr>
          <w:rFonts w:eastAsia="Calibri"/>
          <w:szCs w:val="22"/>
        </w:rPr>
      </w:pPr>
      <w:r w:rsidRPr="00CB5050">
        <w:rPr>
          <w:rFonts w:eastAsia="Calibri"/>
          <w:szCs w:val="22"/>
        </w:rPr>
        <w:t>S 1. 1. 2025 se je začel uporabljati Zakon o skupnih temeljih sistema plač v javnem sektorju (v nadaljevanju: ZSTSPJS), s katerim so bile na novo urejene tudi plače sodnikov. Z omenjenim zakonom je določeno postopno dvigovanje plač, ki se bo zaključilo s 1. 1. 2028, medtem ko je z omenjeno odločbo Ustavnega sodišča z dne 1. 6. 2023 določeno, da mora zakonodajalec odpraviti ugotovljena neskladja najkasneje do 3. 1. 2024; prav tako je mogoče ugotoviti, da so med plačnimi razredi funkcionarjev vseh treh vej oblasti še vedno precejšnje razlike.</w:t>
      </w:r>
    </w:p>
    <w:p w14:paraId="76CEEE82" w14:textId="77777777" w:rsidR="00695AE2" w:rsidRPr="00CB5050" w:rsidRDefault="00695AE2" w:rsidP="00695AE2">
      <w:pPr>
        <w:spacing w:line="240" w:lineRule="auto"/>
        <w:jc w:val="both"/>
        <w:rPr>
          <w:rFonts w:eastAsia="Calibri"/>
          <w:szCs w:val="22"/>
        </w:rPr>
      </w:pPr>
    </w:p>
    <w:p w14:paraId="7BA0E596" w14:textId="77777777" w:rsidR="00695AE2" w:rsidRPr="00CB5050" w:rsidRDefault="00695AE2" w:rsidP="00695AE2">
      <w:pPr>
        <w:spacing w:line="240" w:lineRule="auto"/>
        <w:jc w:val="both"/>
        <w:rPr>
          <w:rFonts w:eastAsia="Calibri"/>
          <w:szCs w:val="22"/>
        </w:rPr>
      </w:pPr>
      <w:r w:rsidRPr="00CB5050">
        <w:rPr>
          <w:rFonts w:eastAsia="Calibri"/>
          <w:szCs w:val="22"/>
        </w:rPr>
        <w:t xml:space="preserve">Zato ni presenetljivo, da je v začetku leta 2025 Državno odvetništvo RS s strani delovnega sodišča prejelo več </w:t>
      </w:r>
      <w:r w:rsidRPr="00CB5050">
        <w:rPr>
          <w:rFonts w:eastAsia="Calibri" w:cs="Times New Roman"/>
          <w:szCs w:val="22"/>
        </w:rPr>
        <w:t>tožb, s katerimi sodniki uveljavljajo odškodninsko odgovornost Republike Slovenije kot delodajalca, nadalje odškodnino zaradi kvalificirano protipravnega ravnanja Republike Slovenije (očita se neodzivnost, pasivnost, nepravilne izvršitve odločb Ustavnega sodišča) kot oblastvenega, tj. zakonodajnega in izvršilnega organa po 26. členu Ustave RS, ter odškodnino zaradi kršitve pravic iz pokojninskega zavarovanja</w:t>
      </w:r>
      <w:r w:rsidRPr="00CB5050">
        <w:rPr>
          <w:rFonts w:eastAsia="Calibri"/>
          <w:szCs w:val="22"/>
        </w:rPr>
        <w:t xml:space="preserve">. </w:t>
      </w:r>
    </w:p>
    <w:p w14:paraId="6694AF24" w14:textId="77777777" w:rsidR="00695AE2" w:rsidRPr="00CB5050" w:rsidRDefault="00695AE2" w:rsidP="00695AE2">
      <w:pPr>
        <w:spacing w:line="240" w:lineRule="auto"/>
        <w:jc w:val="both"/>
        <w:rPr>
          <w:rFonts w:eastAsia="Calibri"/>
          <w:szCs w:val="22"/>
        </w:rPr>
      </w:pPr>
    </w:p>
    <w:p w14:paraId="710FD776" w14:textId="77777777" w:rsidR="00695AE2" w:rsidRPr="00CB5050" w:rsidRDefault="00695AE2" w:rsidP="00695AE2">
      <w:pPr>
        <w:spacing w:line="240" w:lineRule="auto"/>
        <w:jc w:val="both"/>
        <w:rPr>
          <w:rFonts w:eastAsia="Calibri" w:cs="Times New Roman"/>
          <w:szCs w:val="22"/>
        </w:rPr>
      </w:pPr>
      <w:r w:rsidRPr="00CB5050">
        <w:rPr>
          <w:rFonts w:eastAsia="Calibri" w:cs="Times New Roman"/>
          <w:szCs w:val="22"/>
        </w:rPr>
        <w:t xml:space="preserve">Delovno in socialno sodišče v Ljubljani je v letu 2025 razpisalo prvi narok za glavno obravnavo v vodilni zadevi. Sodišče je zavzelo stališče, da je zahtevek utemeljen po delovnopravnih temeljih in je ugodilo predlogu tožnice po postavitvi izvedenca finančne stroke. Sodni postopek še ni zaključen, je pa pričakovati, da bo v letu 2026 v vodilni zadevi izdana prvostopna sodba; pričakovati je, da bo tožbenemu zahtevku (vsaj delno) ugodeno. </w:t>
      </w:r>
      <w:r w:rsidRPr="00CB5050">
        <w:rPr>
          <w:rFonts w:eastAsia="Calibri"/>
          <w:szCs w:val="22"/>
        </w:rPr>
        <w:t xml:space="preserve">V primeru (pa čeprav nepravnomočne) ugoditve tožbenemu zahtevku je pričakovati, da bo prišlo do množičnega vlaganja tožb s strani sodnikov in tudi državnih tožilcev, ki si bodo obetali enak uspeh v postopku. </w:t>
      </w:r>
    </w:p>
    <w:p w14:paraId="07C9AC7A" w14:textId="77777777" w:rsidR="00695AE2" w:rsidRPr="00CB5050" w:rsidRDefault="00695AE2" w:rsidP="00695AE2">
      <w:pPr>
        <w:spacing w:line="240" w:lineRule="auto"/>
        <w:jc w:val="both"/>
        <w:rPr>
          <w:rFonts w:eastAsia="Calibri" w:cs="Times New Roman"/>
          <w:szCs w:val="22"/>
        </w:rPr>
      </w:pPr>
    </w:p>
    <w:p w14:paraId="5EEA794B" w14:textId="77777777" w:rsidR="00695AE2" w:rsidRPr="00CB5050" w:rsidRDefault="00695AE2" w:rsidP="00695AE2">
      <w:pPr>
        <w:pStyle w:val="Naslov5"/>
        <w:ind w:left="0" w:firstLine="0"/>
      </w:pPr>
      <w:bookmarkStart w:id="593" w:name="_Toc191561931"/>
      <w:bookmarkStart w:id="594" w:name="_Toc223093929"/>
      <w:r w:rsidRPr="00CB5050">
        <w:t xml:space="preserve">Kolektivni delovni spor predlagatelja Radiotelevizije Slovenije zoper nasprotno udeleženko Republiko Slovenijo, Ministrstvo za delo, družino, socialne zadeve in enake možnosti, zaradi </w:t>
      </w:r>
      <w:bookmarkEnd w:id="593"/>
      <w:r w:rsidRPr="00CB5050">
        <w:t>dopustitve postopka o ugotavljanju reprezentativnosti Sindikata delavcev radiodifuzije Slovenije</w:t>
      </w:r>
      <w:bookmarkEnd w:id="594"/>
      <w:r w:rsidRPr="00CB5050">
        <w:t xml:space="preserve">  </w:t>
      </w:r>
    </w:p>
    <w:p w14:paraId="643C1C31" w14:textId="77777777" w:rsidR="00695AE2" w:rsidRPr="00CB5050" w:rsidRDefault="00695AE2" w:rsidP="00695AE2">
      <w:pPr>
        <w:spacing w:line="240" w:lineRule="auto"/>
        <w:jc w:val="both"/>
        <w:rPr>
          <w:rFonts w:eastAsia="Calibri"/>
          <w:color w:val="000000"/>
          <w:szCs w:val="22"/>
        </w:rPr>
      </w:pPr>
    </w:p>
    <w:p w14:paraId="71127DDB" w14:textId="77777777" w:rsidR="00695AE2" w:rsidRPr="00CB5050" w:rsidRDefault="00695AE2" w:rsidP="00695AE2">
      <w:pPr>
        <w:spacing w:line="240" w:lineRule="auto"/>
        <w:jc w:val="both"/>
        <w:rPr>
          <w:rFonts w:eastAsia="Calibri"/>
          <w:color w:val="000000"/>
          <w:szCs w:val="22"/>
        </w:rPr>
      </w:pPr>
      <w:r w:rsidRPr="00CB5050">
        <w:rPr>
          <w:rFonts w:eastAsia="Calibri"/>
          <w:color w:val="000000"/>
          <w:szCs w:val="22"/>
        </w:rPr>
        <w:t xml:space="preserve">Predlagateljica je na ministrstvo vložila predlog, da začne in izvede postopek preverjanja pogojev reprezentativnosti Sindikata delavcev radiodifuzije Slovenije (v nadaljevanju: SDRS) z utemeljitvijo, da po dostopnih podatkih sindikat že dlje časa ne izpolnjuje pogoja minimalnega članstva. Ministrstvo je predlog zavrglo iz razloga, da predlagateljica ni aktivno legitimirana za vložitev predloga, saj nima pravnega interesa. Predlagateljica je v kolektivnem sporu zahtevala odpravo sklepa in ugotovitev, da SDRS ni reprezentativni sindikat. </w:t>
      </w:r>
    </w:p>
    <w:p w14:paraId="6D7336A3" w14:textId="77777777" w:rsidR="00695AE2" w:rsidRPr="00CB5050" w:rsidRDefault="00695AE2" w:rsidP="00695AE2">
      <w:pPr>
        <w:spacing w:line="240" w:lineRule="auto"/>
        <w:jc w:val="both"/>
        <w:rPr>
          <w:rFonts w:eastAsia="Calibri"/>
          <w:color w:val="000000"/>
          <w:szCs w:val="22"/>
        </w:rPr>
      </w:pPr>
    </w:p>
    <w:p w14:paraId="7804039F" w14:textId="77777777" w:rsidR="00695AE2" w:rsidRPr="00CB5050" w:rsidRDefault="00695AE2" w:rsidP="00695AE2">
      <w:pPr>
        <w:spacing w:line="240" w:lineRule="auto"/>
        <w:jc w:val="both"/>
        <w:rPr>
          <w:rFonts w:eastAsia="Calibri"/>
          <w:color w:val="000000"/>
          <w:szCs w:val="22"/>
        </w:rPr>
      </w:pPr>
      <w:r w:rsidRPr="00CB5050">
        <w:rPr>
          <w:rFonts w:eastAsia="Calibri"/>
          <w:color w:val="000000"/>
          <w:szCs w:val="22"/>
        </w:rPr>
        <w:lastRenderedPageBreak/>
        <w:t xml:space="preserve">Državno odvetništvo RS je o kolektivnem sporu obvestilo SDRS in predlagalo, da se v spor vključi kot stranski intervenient; na predlog SDRS je sodišče stransko intervencijo tudi dopustilo. </w:t>
      </w:r>
    </w:p>
    <w:p w14:paraId="4D0BE711" w14:textId="77777777" w:rsidR="00695AE2" w:rsidRPr="00CB5050" w:rsidRDefault="00695AE2" w:rsidP="00695AE2">
      <w:pPr>
        <w:spacing w:line="240" w:lineRule="auto"/>
        <w:jc w:val="both"/>
        <w:rPr>
          <w:rFonts w:eastAsia="Calibri"/>
          <w:color w:val="000000"/>
          <w:szCs w:val="22"/>
        </w:rPr>
      </w:pPr>
    </w:p>
    <w:p w14:paraId="5CAC5E33" w14:textId="77777777" w:rsidR="00695AE2" w:rsidRPr="00CB5050" w:rsidRDefault="00695AE2" w:rsidP="00695AE2">
      <w:pPr>
        <w:spacing w:line="240" w:lineRule="auto"/>
        <w:jc w:val="both"/>
        <w:rPr>
          <w:rFonts w:eastAsia="Calibri"/>
          <w:color w:val="000000"/>
          <w:szCs w:val="22"/>
        </w:rPr>
      </w:pPr>
      <w:r w:rsidRPr="00CB5050">
        <w:rPr>
          <w:rFonts w:eastAsia="Calibri"/>
          <w:color w:val="000000"/>
          <w:szCs w:val="22"/>
        </w:rPr>
        <w:t>Prvostopno sodišče je predlog predlagateljice najprej zavrglo, saj je zavzelo stališče, da za vložitev predloga v sporu glede reprezentativnosti sindikata ni aktivno legitimirana, po vloženi pritožbi</w:t>
      </w:r>
      <w:r w:rsidRPr="00CB5050">
        <w:rPr>
          <w:rFonts w:eastAsia="Calibri"/>
          <w:color w:val="000000"/>
          <w:szCs w:val="22"/>
          <w:vertAlign w:val="superscript"/>
        </w:rPr>
        <w:footnoteReference w:id="16"/>
      </w:r>
      <w:r w:rsidRPr="00CB5050">
        <w:rPr>
          <w:rFonts w:eastAsia="Calibri"/>
          <w:color w:val="000000"/>
          <w:szCs w:val="22"/>
        </w:rPr>
        <w:t xml:space="preserve"> in v ponovljenem postopku pa je izpodbijano odločbo odpravilo, medtem ko je ostal izpodbijani sklep v delu, s katerim je bil zavržen ugotovitveni del predloga, nespremenjen. Slednje iz razloga, ker je ministrstvo tisto, ki primarno odloča o statusu reprezentativnosti sindikata.  </w:t>
      </w:r>
    </w:p>
    <w:p w14:paraId="5BA6C15D" w14:textId="77777777" w:rsidR="00695AE2" w:rsidRPr="00CB5050" w:rsidRDefault="00695AE2" w:rsidP="00695AE2">
      <w:pPr>
        <w:spacing w:line="240" w:lineRule="auto"/>
        <w:jc w:val="both"/>
        <w:rPr>
          <w:rFonts w:eastAsia="Calibri"/>
          <w:color w:val="000000"/>
          <w:szCs w:val="22"/>
        </w:rPr>
      </w:pPr>
    </w:p>
    <w:p w14:paraId="2754E9C6" w14:textId="77777777" w:rsidR="00695AE2" w:rsidRPr="00CB5050" w:rsidRDefault="00695AE2" w:rsidP="00695AE2">
      <w:pPr>
        <w:spacing w:line="240" w:lineRule="auto"/>
        <w:jc w:val="both"/>
        <w:rPr>
          <w:rFonts w:eastAsia="Calibri"/>
          <w:color w:val="000000"/>
          <w:szCs w:val="22"/>
        </w:rPr>
      </w:pPr>
      <w:r w:rsidRPr="00CB5050">
        <w:rPr>
          <w:rFonts w:eastAsia="Calibri"/>
          <w:color w:val="000000"/>
          <w:szCs w:val="22"/>
        </w:rPr>
        <w:t xml:space="preserve">V kolektivnem sporu je bilo tako pravnomočno ugotovljeno, da Zakon o reprezentativnosti sindikatov (v nadaljevanju: ZRSin) ureja postopek priznanja statusa reprezentativnosti sindikatu, medtem ko ne ureja postopka naknadnega preverjana izpolnjevanja pogojev reprezentativnosti oziroma odvzema tega statusa na primer v primeru, ko sindikat naknadno preneha izpolnjevati pogoje, določene v 6. členu ZRSin. V slednjem primeru sindikat nima več materialno pravnih upravičenj za lastnost reprezentativnega sindikata oziroma za izvrševanje posebnih pravic, ki so vezane na ta status. Sodišče je posledično ugotovilo, da gre za pravno praznino, ki jo je potrebno ustrezno zapolniti na način, da je ustrezno varovan tudi položaj delodajalca; za nasprotno stališče namreč ni nobenega utemeljenega in razumnega razloga. ZRSin ne določa, da bi bil status reprezentativnosti trajen, takšno stališče pa tudi ne bi bilo pravno vzdržno. Pravni predpisi nalagajo delodajalcu vrsto obveznosti, ki jih ima do reprezentativnega sindikata oziroma dajejo reprezentativnemu sindikatu vrsto pravic, ki mu jih mora delodajalec omogočiti. Posledično bi moralo ministrstvo na predlog predlagateljice postopek ugotavljanja izpolnjevanja pogojev reprezentativnosti pri SDRS izvesti, zato je sodišče zadevo vrnilo v ponovno odločanje ministrstvu. </w:t>
      </w:r>
    </w:p>
    <w:p w14:paraId="7F99145D" w14:textId="77777777" w:rsidR="00695AE2" w:rsidRPr="00CB5050" w:rsidRDefault="00695AE2" w:rsidP="00695AE2">
      <w:pPr>
        <w:spacing w:line="240" w:lineRule="auto"/>
        <w:jc w:val="both"/>
        <w:rPr>
          <w:rFonts w:eastAsia="Calibri"/>
          <w:color w:val="000000"/>
          <w:szCs w:val="22"/>
        </w:rPr>
      </w:pPr>
    </w:p>
    <w:p w14:paraId="2EAF1FE8" w14:textId="77777777" w:rsidR="00695AE2" w:rsidRPr="00CB5050" w:rsidRDefault="00695AE2" w:rsidP="00695AE2">
      <w:pPr>
        <w:spacing w:line="240" w:lineRule="auto"/>
        <w:jc w:val="both"/>
        <w:rPr>
          <w:rFonts w:eastAsia="Calibri"/>
          <w:color w:val="000000"/>
          <w:szCs w:val="22"/>
        </w:rPr>
      </w:pPr>
      <w:bookmarkStart w:id="595" w:name="_Hlk220405057"/>
      <w:r w:rsidRPr="00CB5050">
        <w:rPr>
          <w:rFonts w:eastAsia="Calibri"/>
          <w:color w:val="000000"/>
          <w:szCs w:val="22"/>
        </w:rPr>
        <w:t xml:space="preserve">Državno odvetništvo RS ugotavlja, da bi bilo potrebno ZRSin ustrezno dopolniti tako, da bi urejal tudi postopek ponovnega ugotavljanja izpolnjevanja pogoja reprezentativnosti ter določil obveznost sindikata, da izpolnjevanje pogojev reprezentativnosti, na zahtevo upravičenega predlagatelja, izkaže ter določi načine izpolnitve te obveznosti.  </w:t>
      </w:r>
    </w:p>
    <w:p w14:paraId="0F67E552" w14:textId="77777777" w:rsidR="00695AE2" w:rsidRPr="00CB5050" w:rsidRDefault="00695AE2" w:rsidP="00695AE2">
      <w:pPr>
        <w:spacing w:line="240" w:lineRule="auto"/>
        <w:jc w:val="both"/>
        <w:rPr>
          <w:rFonts w:eastAsia="Calibri"/>
          <w:color w:val="000000"/>
          <w:szCs w:val="22"/>
        </w:rPr>
      </w:pPr>
    </w:p>
    <w:p w14:paraId="1FD52CB2" w14:textId="77777777" w:rsidR="00695AE2" w:rsidRPr="00CB5050" w:rsidRDefault="00695AE2" w:rsidP="00695AE2">
      <w:pPr>
        <w:pStyle w:val="Naslov5"/>
      </w:pPr>
      <w:bookmarkStart w:id="596" w:name="_Toc223093930"/>
      <w:bookmarkEnd w:id="595"/>
      <w:r w:rsidRPr="00CB5050">
        <w:t>Delovni spori sindikalnih zaupnikov</w:t>
      </w:r>
      <w:bookmarkStart w:id="597" w:name="_Hlk220414106"/>
      <w:bookmarkEnd w:id="596"/>
      <w:r w:rsidRPr="00CB5050">
        <w:t xml:space="preserve"> </w:t>
      </w:r>
    </w:p>
    <w:bookmarkEnd w:id="597"/>
    <w:p w14:paraId="50205B17" w14:textId="77777777" w:rsidR="00695AE2" w:rsidRPr="00CB5050" w:rsidRDefault="00695AE2" w:rsidP="00695AE2">
      <w:pPr>
        <w:spacing w:line="240" w:lineRule="auto"/>
        <w:jc w:val="both"/>
        <w:rPr>
          <w:rFonts w:eastAsia="Calibri"/>
          <w:szCs w:val="22"/>
        </w:rPr>
      </w:pPr>
    </w:p>
    <w:p w14:paraId="04536491" w14:textId="77777777" w:rsidR="00695AE2" w:rsidRPr="00CB5050" w:rsidRDefault="00695AE2" w:rsidP="00695AE2">
      <w:pPr>
        <w:spacing w:line="240" w:lineRule="auto"/>
        <w:jc w:val="both"/>
        <w:rPr>
          <w:rFonts w:eastAsia="Calibri"/>
          <w:szCs w:val="22"/>
        </w:rPr>
      </w:pPr>
      <w:r w:rsidRPr="00CB5050">
        <w:rPr>
          <w:rFonts w:eastAsia="Calibri"/>
          <w:szCs w:val="22"/>
        </w:rPr>
        <w:t xml:space="preserve">Več sindikalnih zaupnikov, ki so sindikalno delo opravljali poln delovni čas in kot svoje edino delo, je vložilo tožbe, s katerimi so zahtevali, da toženka oceni njihovo delovno uspešnost in jim prizna vse pravice, ki izhajajo iz te ocene. Nižji sodišči sta tožbenim zahtevkom ugodili z utemeljitvijo, da imajo sindikalni zaupniki pravico do enake plače, kot bi jo prejemali, če bi opravljali svoje redno delo in torej tudi do izplačila plače za redno delovno uspešnost. Državno odvetništvo RS je opozorilo na nelogičnost odločitve; delodajalec namreč ne more in ne sme ocenjevati dela sindikalnih zaupnikov, saj z njim sploh ni in ne more biti seznanjen, tudi sicer pa v sklenjenih pogodbah s sindikati, v katerih so bile določene pravice sindikalnih zaupnikov, ta pravica ni bila izrecno navedena.  </w:t>
      </w:r>
    </w:p>
    <w:p w14:paraId="0E45AEAC" w14:textId="77777777" w:rsidR="00695AE2" w:rsidRPr="00CB5050" w:rsidRDefault="00695AE2" w:rsidP="00695AE2">
      <w:pPr>
        <w:spacing w:line="240" w:lineRule="auto"/>
        <w:jc w:val="both"/>
        <w:rPr>
          <w:rFonts w:eastAsia="Calibri"/>
          <w:szCs w:val="22"/>
        </w:rPr>
      </w:pPr>
    </w:p>
    <w:p w14:paraId="224AC577"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lastRenderedPageBreak/>
        <w:t>Vrhovno sodišče RS je Državnemu odvetništvu RS dopustilo revizijo, ji s s</w:t>
      </w:r>
      <w:r w:rsidRPr="00CB5050">
        <w:rPr>
          <w:rFonts w:eastAsia="Times New Roman" w:cs="Times New Roman"/>
          <w:lang w:eastAsia="sl-SI"/>
        </w:rPr>
        <w:t xml:space="preserve">odbo, opr. št. VIII Ips 2/2025 z dne 11. 3. 2025 </w:t>
      </w:r>
      <w:r w:rsidRPr="00CB5050">
        <w:rPr>
          <w:rFonts w:eastAsia="Times New Roman"/>
          <w:lang w:eastAsia="sl-SI"/>
        </w:rPr>
        <w:t xml:space="preserve">ugodilo ter zahtevek v celoti zavrnilo. </w:t>
      </w:r>
    </w:p>
    <w:p w14:paraId="29863CED" w14:textId="77777777" w:rsidR="00695AE2" w:rsidRPr="00CB5050" w:rsidRDefault="00695AE2" w:rsidP="00695AE2">
      <w:pPr>
        <w:spacing w:line="240" w:lineRule="auto"/>
        <w:jc w:val="both"/>
        <w:rPr>
          <w:rFonts w:eastAsia="Times New Roman"/>
          <w:lang w:eastAsia="sl-SI"/>
        </w:rPr>
      </w:pPr>
    </w:p>
    <w:p w14:paraId="1DDC09A5"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Državno odvetništvo RS kljub temu ugotavlja, da bi moralo biti plačilo za vse sindikalne zaupnike, ki izključno opravljajo le sindikalno delo, pri vseh državnih organih enotno urejeno z zakonom, saj pogodbeno urejanje teh vprašanj z vsakokratnim delodajalcem nujno privede do različnega plačila sindikalnega dela, ki pa je vsebinsko enako ne glede na to, pri katerem državnem organu ga zaupnik opravlja.   </w:t>
      </w:r>
    </w:p>
    <w:p w14:paraId="1D6AC59A" w14:textId="77777777" w:rsidR="00695AE2" w:rsidRPr="00CB5050" w:rsidRDefault="00695AE2" w:rsidP="00695AE2">
      <w:pPr>
        <w:spacing w:line="240" w:lineRule="auto"/>
        <w:jc w:val="both"/>
        <w:rPr>
          <w:rFonts w:eastAsia="Calibri"/>
        </w:rPr>
      </w:pPr>
    </w:p>
    <w:p w14:paraId="242B6370" w14:textId="77777777" w:rsidR="00695AE2" w:rsidRPr="00CB5050" w:rsidRDefault="00695AE2" w:rsidP="00695AE2">
      <w:pPr>
        <w:pStyle w:val="Naslov5"/>
      </w:pPr>
      <w:bookmarkStart w:id="598" w:name="_Toc223093931"/>
      <w:r w:rsidRPr="00CB5050">
        <w:t>Delovni spori policistov zaradi prijave v obvezno pokojninsko zavarovanje</w:t>
      </w:r>
      <w:bookmarkEnd w:id="598"/>
      <w:r w:rsidRPr="00CB5050">
        <w:t xml:space="preserve"> </w:t>
      </w:r>
    </w:p>
    <w:p w14:paraId="2F9285E6" w14:textId="77777777" w:rsidR="00695AE2" w:rsidRPr="00CB5050" w:rsidRDefault="00695AE2" w:rsidP="00695AE2">
      <w:pPr>
        <w:spacing w:line="240" w:lineRule="auto"/>
        <w:jc w:val="both"/>
        <w:rPr>
          <w:rFonts w:eastAsia="Times New Roman"/>
          <w:color w:val="595959"/>
          <w:szCs w:val="22"/>
        </w:rPr>
      </w:pPr>
    </w:p>
    <w:p w14:paraId="2327839A"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kar 59 javnih uslužbencev, ki opravljajo svoje delo v Uradu za informatiko in telekomunikacije pri Generalni policijski upravi, v Policiji, vložilo tožbe, s katerimi zahtevajo priznanje pravice do obveznega dodatnega pokojninskega zavarovanja ter plačilo premij za tri leta za nazaj. Tožniki zatrjujejo, da opravljajo posebno težka in zdravju škodljiva dela in dela, ki jih po določeni starosti ni moč uspešno poklicno opravljati. Pravica do obveznega dodatnega pokojninskega zavarovanja je zakonsko urejena, za posamezna delovna mesta pa je določena z Aktom o sistemizaciji, ki za delovna mesta, ki jih zasedajo tožniki (kot informatiki), te pravice ne določa, zaradi česar bo sodišče moralo odločiti le o pravnem vprašanju. V času priprave tega poročila o delu še ni bilo odločeno v nobenem od omenjenih sporov. </w:t>
      </w:r>
    </w:p>
    <w:p w14:paraId="3DF06384" w14:textId="77777777" w:rsidR="00695AE2" w:rsidRPr="00CB5050" w:rsidRDefault="00695AE2" w:rsidP="00695AE2">
      <w:pPr>
        <w:spacing w:line="240" w:lineRule="auto"/>
        <w:jc w:val="both"/>
        <w:rPr>
          <w:rFonts w:eastAsia="Calibri"/>
          <w:szCs w:val="22"/>
        </w:rPr>
      </w:pPr>
    </w:p>
    <w:p w14:paraId="4A269E1D" w14:textId="77777777" w:rsidR="00695AE2" w:rsidRPr="00CB5050" w:rsidRDefault="00695AE2" w:rsidP="00695AE2">
      <w:pPr>
        <w:pStyle w:val="Naslov5"/>
      </w:pPr>
      <w:bookmarkStart w:id="599" w:name="_Toc223093932"/>
      <w:r w:rsidRPr="00CB5050">
        <w:t>Delovni spori policistov zaradi izplačila dodatka za stalno pripravljenost na domu</w:t>
      </w:r>
      <w:bookmarkStart w:id="600" w:name="_Hlk221010867"/>
      <w:bookmarkEnd w:id="599"/>
    </w:p>
    <w:bookmarkEnd w:id="600"/>
    <w:p w14:paraId="468C8C3C" w14:textId="77777777" w:rsidR="00695AE2" w:rsidRPr="00CB5050" w:rsidRDefault="00695AE2" w:rsidP="00695AE2">
      <w:pPr>
        <w:spacing w:line="240" w:lineRule="auto"/>
        <w:jc w:val="both"/>
        <w:rPr>
          <w:rFonts w:eastAsia="Times New Roman"/>
          <w:color w:val="595959"/>
          <w:szCs w:val="22"/>
        </w:rPr>
      </w:pPr>
    </w:p>
    <w:p w14:paraId="18ECC180" w14:textId="77777777" w:rsidR="00695AE2" w:rsidRPr="00CB5050" w:rsidRDefault="00695AE2" w:rsidP="00695AE2">
      <w:pPr>
        <w:spacing w:line="240" w:lineRule="auto"/>
        <w:jc w:val="both"/>
        <w:rPr>
          <w:rFonts w:eastAsia="Calibri"/>
          <w:szCs w:val="22"/>
        </w:rPr>
      </w:pPr>
      <w:r w:rsidRPr="00CB5050">
        <w:rPr>
          <w:rFonts w:eastAsia="Times New Roman"/>
          <w:szCs w:val="22"/>
        </w:rPr>
        <w:t xml:space="preserve">Državno odvetništvo RS je v letu 2025 prejelo več deset tožb policistov, s katerimi zahtevajo plačilo dodatka za stalno pripravljenost na domu, čeprav jim ta pravno formalno ni bila odrejena, a so jo dejansko opravili na zahtevo nadrejenih v času, ko na policijski postaji ali drugi enoti v okviru policije ni bilo osebe, ki bi bila pooblaščena za opravo nekaterih dejanj, ki jih lahko izvrši le vodstveni kader, tj. načelnik oziroma komandir oziroma njegovi pomočniki. Prvostopna sodišča so v nekaterih delovnih sporih sicer že ugodila tožbenim zahtevkom, a je treba ugotoviti tudi, da je bil delovni proces po enotah zelo različno organiziran in tako brez podrobnega ugotavljanja vsakokratnega dejanskega stanja ni mogoče vnaprej oceniti utemeljenosti tožbenih zahtevkov. </w:t>
      </w:r>
      <w:r w:rsidRPr="00CB5050">
        <w:rPr>
          <w:rFonts w:eastAsia="Calibri"/>
          <w:szCs w:val="22"/>
        </w:rPr>
        <w:t xml:space="preserve">  </w:t>
      </w:r>
    </w:p>
    <w:p w14:paraId="4DC80DF6" w14:textId="77777777" w:rsidR="00695AE2" w:rsidRPr="00CB5050" w:rsidRDefault="00695AE2" w:rsidP="00695AE2">
      <w:pPr>
        <w:spacing w:line="240" w:lineRule="auto"/>
        <w:jc w:val="both"/>
        <w:rPr>
          <w:rFonts w:eastAsia="Calibri"/>
          <w:szCs w:val="22"/>
        </w:rPr>
      </w:pPr>
    </w:p>
    <w:p w14:paraId="0ECC74A1" w14:textId="77777777" w:rsidR="00695AE2" w:rsidRPr="00CB5050" w:rsidRDefault="00695AE2" w:rsidP="00695AE2">
      <w:pPr>
        <w:pStyle w:val="Naslov4"/>
      </w:pPr>
      <w:bookmarkStart w:id="601" w:name="_Toc168844959"/>
      <w:bookmarkStart w:id="602" w:name="_Toc191561934"/>
      <w:bookmarkStart w:id="603" w:name="_Toc223093933"/>
      <w:r w:rsidRPr="00CB5050">
        <w:t>Socialnopravne zadeve</w:t>
      </w:r>
      <w:bookmarkEnd w:id="601"/>
      <w:bookmarkEnd w:id="602"/>
      <w:bookmarkEnd w:id="603"/>
    </w:p>
    <w:p w14:paraId="54A30B4B" w14:textId="77777777" w:rsidR="00695AE2" w:rsidRPr="00CB5050" w:rsidRDefault="00695AE2" w:rsidP="00695AE2">
      <w:pPr>
        <w:spacing w:line="240" w:lineRule="auto"/>
        <w:jc w:val="both"/>
        <w:rPr>
          <w:rFonts w:eastAsia="Calibri"/>
          <w:szCs w:val="22"/>
        </w:rPr>
      </w:pPr>
    </w:p>
    <w:p w14:paraId="0DF52F0A" w14:textId="77777777" w:rsidR="00695AE2" w:rsidRPr="00CB5050" w:rsidRDefault="00695AE2" w:rsidP="00695AE2">
      <w:pPr>
        <w:pStyle w:val="Naslov5"/>
      </w:pPr>
      <w:bookmarkStart w:id="604" w:name="_Toc223093934"/>
      <w:r w:rsidRPr="00CB5050">
        <w:t>Splošno</w:t>
      </w:r>
      <w:bookmarkEnd w:id="604"/>
    </w:p>
    <w:p w14:paraId="121A509A" w14:textId="77777777" w:rsidR="00695AE2" w:rsidRPr="00CB5050" w:rsidRDefault="00695AE2" w:rsidP="00695AE2">
      <w:pPr>
        <w:spacing w:line="240" w:lineRule="auto"/>
        <w:jc w:val="both"/>
        <w:rPr>
          <w:rFonts w:eastAsia="Calibri"/>
          <w:szCs w:val="22"/>
        </w:rPr>
      </w:pPr>
    </w:p>
    <w:p w14:paraId="1692DFBE"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obdobju poročanja je bilo zaključenih skupno 148 socialnih zadev, od tega sta bili v 2 primerih sklenjeni sodni poravnavi, 29 je bilo umikov tožb in je bil postopek ustavljen, 49 socialnih sporov je bilo zaključenih v korist Republike Slovenije, medtem ko je Republika Slovenija v 51 zadevah izgubila spor. Zoper prvostopenjske sodbe je bilo vloženih 19 pritožb, v pritožbenem postopku je bil vložen 1 odgovor na pritožbo, zoper drugostopne sodbe je bilo vloženih 11 predlogov za dopustitev revizije in 5 revizij. </w:t>
      </w:r>
    </w:p>
    <w:p w14:paraId="1B9E2D8E" w14:textId="77777777" w:rsidR="00695AE2" w:rsidRPr="00CB5050" w:rsidRDefault="00695AE2" w:rsidP="00695AE2">
      <w:pPr>
        <w:spacing w:line="240" w:lineRule="auto"/>
        <w:jc w:val="both"/>
        <w:rPr>
          <w:rFonts w:eastAsia="Calibri"/>
          <w:szCs w:val="22"/>
        </w:rPr>
      </w:pPr>
    </w:p>
    <w:p w14:paraId="1E465689" w14:textId="77777777" w:rsidR="00695AE2" w:rsidRPr="00CB5050" w:rsidRDefault="00695AE2" w:rsidP="00695AE2">
      <w:pPr>
        <w:spacing w:line="240" w:lineRule="auto"/>
        <w:jc w:val="both"/>
        <w:rPr>
          <w:rFonts w:eastAsia="Calibri"/>
          <w:sz w:val="22"/>
          <w:szCs w:val="22"/>
        </w:rPr>
      </w:pPr>
      <w:r w:rsidRPr="00CB5050">
        <w:rPr>
          <w:rFonts w:eastAsia="Calibri"/>
          <w:szCs w:val="22"/>
        </w:rPr>
        <w:t xml:space="preserve">Državno odvetništvo RS je ob zaključku obdobja poročanja imelo v reševanju skupno 243 socialnopravnih zadev, in sicer po naslednjih temeljih: </w:t>
      </w:r>
    </w:p>
    <w:p w14:paraId="0B729738" w14:textId="77777777" w:rsidR="00695AE2" w:rsidRPr="00CB5050" w:rsidRDefault="00695AE2" w:rsidP="00695AE2">
      <w:pPr>
        <w:numPr>
          <w:ilvl w:val="0"/>
          <w:numId w:val="122"/>
        </w:numPr>
        <w:spacing w:after="160" w:line="240" w:lineRule="auto"/>
        <w:contextualSpacing/>
        <w:jc w:val="both"/>
        <w:rPr>
          <w:rFonts w:eastAsia="Calibri"/>
          <w:szCs w:val="22"/>
        </w:rPr>
      </w:pPr>
      <w:r w:rsidRPr="00CB5050">
        <w:rPr>
          <w:rFonts w:eastAsia="Calibri"/>
          <w:szCs w:val="22"/>
        </w:rPr>
        <w:t>socialnovarstvene pravice: 122,</w:t>
      </w:r>
    </w:p>
    <w:p w14:paraId="462003D4" w14:textId="77777777" w:rsidR="00695AE2" w:rsidRPr="00CB5050" w:rsidRDefault="00695AE2" w:rsidP="00695AE2">
      <w:pPr>
        <w:numPr>
          <w:ilvl w:val="0"/>
          <w:numId w:val="122"/>
        </w:numPr>
        <w:spacing w:after="160" w:line="240" w:lineRule="auto"/>
        <w:contextualSpacing/>
        <w:jc w:val="both"/>
        <w:rPr>
          <w:rFonts w:eastAsia="Calibri"/>
          <w:szCs w:val="22"/>
        </w:rPr>
      </w:pPr>
      <w:r w:rsidRPr="00CB5050">
        <w:rPr>
          <w:rFonts w:eastAsia="Calibri"/>
          <w:szCs w:val="22"/>
        </w:rPr>
        <w:lastRenderedPageBreak/>
        <w:t>pravice do štipendije: 73,</w:t>
      </w:r>
    </w:p>
    <w:p w14:paraId="553FB69A" w14:textId="77777777" w:rsidR="00695AE2" w:rsidRPr="00CB5050" w:rsidRDefault="00695AE2" w:rsidP="00695AE2">
      <w:pPr>
        <w:numPr>
          <w:ilvl w:val="0"/>
          <w:numId w:val="122"/>
        </w:numPr>
        <w:spacing w:after="160" w:line="240" w:lineRule="auto"/>
        <w:contextualSpacing/>
        <w:jc w:val="both"/>
        <w:rPr>
          <w:rFonts w:eastAsia="Calibri"/>
          <w:szCs w:val="22"/>
        </w:rPr>
      </w:pPr>
      <w:r w:rsidRPr="00CB5050">
        <w:rPr>
          <w:rFonts w:eastAsia="Calibri"/>
          <w:szCs w:val="22"/>
        </w:rPr>
        <w:t>pravice po ZSDP-1: 32 in</w:t>
      </w:r>
    </w:p>
    <w:p w14:paraId="084D22F1" w14:textId="77777777" w:rsidR="00695AE2" w:rsidRPr="00CB5050" w:rsidRDefault="00695AE2" w:rsidP="00695AE2">
      <w:pPr>
        <w:numPr>
          <w:ilvl w:val="0"/>
          <w:numId w:val="122"/>
        </w:numPr>
        <w:spacing w:after="160" w:line="240" w:lineRule="auto"/>
        <w:contextualSpacing/>
        <w:jc w:val="both"/>
        <w:rPr>
          <w:rFonts w:eastAsia="Calibri"/>
          <w:szCs w:val="22"/>
        </w:rPr>
      </w:pPr>
      <w:r w:rsidRPr="00CB5050">
        <w:rPr>
          <w:rFonts w:eastAsia="Calibri"/>
          <w:szCs w:val="22"/>
        </w:rPr>
        <w:t>nadomestila brezposelnim: 14.</w:t>
      </w:r>
    </w:p>
    <w:p w14:paraId="124227BC" w14:textId="77777777" w:rsidR="00695AE2" w:rsidRPr="00CB5050" w:rsidRDefault="00695AE2" w:rsidP="00695AE2">
      <w:pPr>
        <w:spacing w:line="240" w:lineRule="auto"/>
        <w:jc w:val="both"/>
        <w:rPr>
          <w:rFonts w:eastAsia="Calibri"/>
          <w:szCs w:val="22"/>
        </w:rPr>
      </w:pPr>
    </w:p>
    <w:p w14:paraId="0EFB02E9" w14:textId="77777777" w:rsidR="00695AE2" w:rsidRPr="00CB5050" w:rsidRDefault="00695AE2" w:rsidP="00695AE2">
      <w:pPr>
        <w:pStyle w:val="Naslov5"/>
        <w:rPr>
          <w:rFonts w:eastAsia="Calibri"/>
        </w:rPr>
      </w:pPr>
      <w:bookmarkStart w:id="605" w:name="_Toc223093935"/>
      <w:r w:rsidRPr="00CB5050">
        <w:t xml:space="preserve">Socialni spori o pravici do </w:t>
      </w:r>
      <w:r w:rsidRPr="00CB5050">
        <w:rPr>
          <w:rFonts w:eastAsia="Calibri"/>
        </w:rPr>
        <w:t>Zoisove štipendije</w:t>
      </w:r>
      <w:bookmarkEnd w:id="605"/>
    </w:p>
    <w:p w14:paraId="4EAB4D2E" w14:textId="77777777" w:rsidR="00695AE2" w:rsidRPr="00CB5050" w:rsidRDefault="00695AE2" w:rsidP="00695AE2">
      <w:pPr>
        <w:shd w:val="clear" w:color="auto" w:fill="FFFFFF"/>
        <w:spacing w:line="240" w:lineRule="auto"/>
        <w:jc w:val="both"/>
        <w:rPr>
          <w:rFonts w:eastAsia="Calibri"/>
          <w:color w:val="484848"/>
          <w:szCs w:val="22"/>
        </w:rPr>
      </w:pPr>
    </w:p>
    <w:p w14:paraId="1CBCC1D1" w14:textId="77777777" w:rsidR="00695AE2" w:rsidRPr="00CB5050" w:rsidRDefault="00695AE2" w:rsidP="00695AE2">
      <w:pPr>
        <w:shd w:val="clear" w:color="auto" w:fill="FFFFFF"/>
        <w:spacing w:line="240" w:lineRule="auto"/>
        <w:jc w:val="both"/>
        <w:rPr>
          <w:rFonts w:eastAsia="Calibri"/>
          <w:color w:val="484848"/>
          <w:szCs w:val="22"/>
        </w:rPr>
      </w:pPr>
      <w:r w:rsidRPr="00CB5050">
        <w:rPr>
          <w:rFonts w:eastAsia="Calibri"/>
          <w:color w:val="484848"/>
          <w:szCs w:val="22"/>
        </w:rPr>
        <w:t>V letu 2025 je bilo v sredstvih javnega obveščanja zaslediti številne kritične prispevke tako glede zakonske in podzakonske ureditve področja Zoisove štipendije</w:t>
      </w:r>
      <w:r w:rsidRPr="00CB5050">
        <w:rPr>
          <w:rFonts w:eastAsia="Calibri"/>
          <w:color w:val="484848"/>
          <w:szCs w:val="22"/>
          <w:vertAlign w:val="superscript"/>
        </w:rPr>
        <w:footnoteReference w:id="17"/>
      </w:r>
      <w:r w:rsidRPr="00CB5050">
        <w:rPr>
          <w:rFonts w:eastAsia="Calibri"/>
          <w:color w:val="484848"/>
          <w:szCs w:val="22"/>
        </w:rPr>
        <w:t xml:space="preserve"> kot tudi glede odločitev Javnega štipendijskega, razvojnega, invalidskega in preživninskega sklada RS in Ministrstva za delo, družino, socialne zadeve in enake možnosti o pravici do Zoisove štipendije</w:t>
      </w:r>
      <w:r w:rsidRPr="00CB5050">
        <w:rPr>
          <w:rFonts w:eastAsia="Calibri"/>
          <w:color w:val="484848"/>
          <w:szCs w:val="22"/>
          <w:vertAlign w:val="superscript"/>
        </w:rPr>
        <w:footnoteReference w:id="18"/>
      </w:r>
      <w:r w:rsidRPr="00CB5050">
        <w:rPr>
          <w:rFonts w:eastAsia="Calibri"/>
          <w:color w:val="484848"/>
          <w:szCs w:val="22"/>
        </w:rPr>
        <w:t xml:space="preserve">, ki odloča o pritožbah zoper prvostopne odločbe. Zaradi zastopanja v socialnih sporih te vsebine je bilo kritike deležno tudi Državno odvetništvo RS z očitkom, da ne vrši svojega zakonskega poslanstva v smislu krepitve delovanja pravne države. </w:t>
      </w:r>
    </w:p>
    <w:p w14:paraId="10643C2E" w14:textId="77777777" w:rsidR="00695AE2" w:rsidRPr="00CB5050" w:rsidRDefault="00695AE2" w:rsidP="00695AE2">
      <w:pPr>
        <w:shd w:val="clear" w:color="auto" w:fill="FFFFFF"/>
        <w:spacing w:line="240" w:lineRule="auto"/>
        <w:jc w:val="both"/>
        <w:rPr>
          <w:rFonts w:eastAsia="Calibri"/>
          <w:color w:val="484848"/>
          <w:szCs w:val="22"/>
        </w:rPr>
      </w:pPr>
    </w:p>
    <w:p w14:paraId="70656E99" w14:textId="77777777" w:rsidR="00695AE2" w:rsidRPr="00CB5050" w:rsidRDefault="00695AE2" w:rsidP="00695AE2">
      <w:pPr>
        <w:shd w:val="clear" w:color="auto" w:fill="FFFFFF"/>
        <w:spacing w:line="240" w:lineRule="auto"/>
        <w:jc w:val="both"/>
        <w:rPr>
          <w:rFonts w:eastAsia="Calibri"/>
          <w:color w:val="484848"/>
          <w:szCs w:val="22"/>
        </w:rPr>
      </w:pPr>
      <w:r w:rsidRPr="00CB5050">
        <w:rPr>
          <w:rFonts w:eastAsia="Calibri"/>
          <w:color w:val="484848"/>
          <w:szCs w:val="22"/>
        </w:rPr>
        <w:t>Pojasniti je treba, da je Zoisova štipendija namenjena dijakom in študentom kot spodbuda za doseganje izjemnih dosežkov ter ustvarjanje dodane vrednosti na področju znanja, raziskovanja, razvojne dejavnosti in umetnosti</w:t>
      </w:r>
      <w:r w:rsidRPr="00CB5050">
        <w:rPr>
          <w:rFonts w:eastAsia="Calibri"/>
          <w:color w:val="484848"/>
          <w:szCs w:val="22"/>
          <w:vertAlign w:val="superscript"/>
        </w:rPr>
        <w:footnoteReference w:id="19"/>
      </w:r>
      <w:r w:rsidRPr="00CB5050">
        <w:rPr>
          <w:rFonts w:eastAsia="Calibri"/>
          <w:color w:val="484848"/>
          <w:szCs w:val="22"/>
        </w:rPr>
        <w:t>. Do štipendije so upravičeni dijaki in študenti, ki izpolnjujejo splošne pogoje, dosegajo izjemne dosežke in ustrezno povprečno oceno</w:t>
      </w:r>
      <w:r w:rsidRPr="00CB5050">
        <w:rPr>
          <w:rFonts w:eastAsia="Calibri"/>
          <w:color w:val="484848"/>
          <w:szCs w:val="22"/>
          <w:vertAlign w:val="superscript"/>
        </w:rPr>
        <w:footnoteReference w:id="20"/>
      </w:r>
      <w:r w:rsidRPr="00CB5050">
        <w:rPr>
          <w:rFonts w:eastAsia="Calibri"/>
          <w:color w:val="484848"/>
          <w:szCs w:val="22"/>
        </w:rPr>
        <w:t>. Izjemni dosežki so zakonsko opredeljeni in vključujejo med drugim zlata in srebrna priznanja na državnih tekmovanjih, priznanja za najboljše raziskovalne naloge, objave znanstvenoraziskovalnih prispevkov ter umetniška dela z dvema pozitivnima strokovnima kritikama</w:t>
      </w:r>
      <w:r w:rsidRPr="00CB5050">
        <w:rPr>
          <w:rFonts w:eastAsia="Calibri"/>
          <w:color w:val="484848"/>
          <w:szCs w:val="22"/>
          <w:vertAlign w:val="superscript"/>
        </w:rPr>
        <w:footnoteReference w:id="21"/>
      </w:r>
      <w:r w:rsidRPr="00CB5050">
        <w:rPr>
          <w:rFonts w:eastAsia="Calibri"/>
          <w:color w:val="484848"/>
          <w:szCs w:val="22"/>
        </w:rPr>
        <w:t xml:space="preserve">. Štipendija se dodeljuje za obdobje od dodelitve do izteka izobraževalnega programa, pri čemer se lahko dodeli le za raven izobraževanja, ki je višja od že dosežene. Za nadaljnje prejemanje mora štipendist vsako leto izkazati vpis v višji letnik in doseženo povprečno oceno ali izjemni dosežek. Pri prehodu med ravnmi izobraževanja se lahko uveljavlja izjemni dosežek iz zadnjih dveh šolskih ali študijskih let prejšnje ravni. </w:t>
      </w:r>
    </w:p>
    <w:p w14:paraId="7E50E521" w14:textId="77777777" w:rsidR="00695AE2" w:rsidRPr="00CB5050" w:rsidRDefault="00695AE2" w:rsidP="00695AE2">
      <w:pPr>
        <w:shd w:val="clear" w:color="auto" w:fill="FFFFFF"/>
        <w:spacing w:line="240" w:lineRule="auto"/>
        <w:jc w:val="both"/>
        <w:rPr>
          <w:rFonts w:eastAsia="Calibri"/>
          <w:color w:val="484848"/>
          <w:szCs w:val="22"/>
        </w:rPr>
      </w:pPr>
    </w:p>
    <w:p w14:paraId="00732571" w14:textId="77777777" w:rsidR="00695AE2" w:rsidRPr="00CB5050" w:rsidRDefault="00695AE2" w:rsidP="00695AE2">
      <w:pPr>
        <w:shd w:val="clear" w:color="auto" w:fill="FFFFFF"/>
        <w:spacing w:line="240" w:lineRule="auto"/>
        <w:jc w:val="both"/>
        <w:rPr>
          <w:rFonts w:eastAsia="Calibri"/>
          <w:color w:val="484848"/>
          <w:szCs w:val="22"/>
        </w:rPr>
      </w:pPr>
      <w:r w:rsidRPr="00CB5050">
        <w:rPr>
          <w:rFonts w:eastAsia="Calibri"/>
          <w:color w:val="484848"/>
          <w:szCs w:val="22"/>
        </w:rPr>
        <w:t xml:space="preserve">V večini socialnih sporov v zvezi s Zoisovo štipendijo je sodišče moralo odločiti o vprašanju, kdaj se določeno tekmovanje šteje za sofinancirano iz državnih sredstev, saj je slednje zakonski pogoj, da se najvišja mesta, dosežena na teh tekmovanjih, štejejo za izjemni dosežek. Treba je poudariti, da število različnih tekmovanj iz znanja, ki jih organizirajo različni izvajalci, nezadržno raste, pri tem pa je ugotovljeno, da je njihova kvaliteta zelo različna. Z upoštevanjem najvišjih mest na vseh teh tekmovanjih kot izjemni dosežek bi lahko prišlo do popolnega razvrednotenja namena teh štipendij. Da do slednjega ne pride, je zakonodajalec določil, da se upoštevajo le tekmovanja, ki so sofinancirana iz državnih sredstev v smislu, da se preko javnega natečaja za sofinanciranje preizkusi kvaliteta teh tekmovanj. </w:t>
      </w:r>
    </w:p>
    <w:p w14:paraId="5C701CAB" w14:textId="77777777" w:rsidR="00695AE2" w:rsidRPr="00CB5050" w:rsidRDefault="00695AE2" w:rsidP="00695AE2">
      <w:pPr>
        <w:shd w:val="clear" w:color="auto" w:fill="FFFFFF"/>
        <w:spacing w:line="240" w:lineRule="auto"/>
        <w:jc w:val="both"/>
        <w:rPr>
          <w:rFonts w:eastAsia="Calibri"/>
          <w:color w:val="484848"/>
          <w:szCs w:val="22"/>
        </w:rPr>
      </w:pPr>
    </w:p>
    <w:p w14:paraId="5408A3F0" w14:textId="77777777" w:rsidR="00695AE2" w:rsidRPr="00CB5050" w:rsidRDefault="00695AE2" w:rsidP="00695AE2">
      <w:pPr>
        <w:shd w:val="clear" w:color="auto" w:fill="FFFFFF"/>
        <w:spacing w:line="240" w:lineRule="auto"/>
        <w:jc w:val="both"/>
        <w:rPr>
          <w:rFonts w:eastAsia="Calibri"/>
          <w:color w:val="484848"/>
          <w:szCs w:val="22"/>
        </w:rPr>
      </w:pPr>
      <w:r w:rsidRPr="00CB5050">
        <w:rPr>
          <w:rFonts w:eastAsia="Calibri"/>
          <w:color w:val="484848"/>
          <w:szCs w:val="22"/>
        </w:rPr>
        <w:t xml:space="preserve">Da gre za pomembno pravno vprašanje je ocenilo tudi Vrhovno sodišče RS, ki je dopustilo revizijo s sklepom opr. št. VIII DoR 148/2025 z dne 11. 11. 2025; o reviziji v času priprave tega poročila o delu še ni bilo odločeno. </w:t>
      </w:r>
    </w:p>
    <w:p w14:paraId="6A860EFE" w14:textId="77777777" w:rsidR="00695AE2" w:rsidRPr="00CB5050" w:rsidRDefault="00695AE2" w:rsidP="00695AE2">
      <w:pPr>
        <w:shd w:val="clear" w:color="auto" w:fill="FFFFFF"/>
        <w:spacing w:line="240" w:lineRule="auto"/>
        <w:jc w:val="both"/>
        <w:rPr>
          <w:rFonts w:eastAsia="Calibri"/>
          <w:color w:val="484848"/>
          <w:szCs w:val="22"/>
        </w:rPr>
      </w:pPr>
    </w:p>
    <w:p w14:paraId="33FA1A30" w14:textId="77777777" w:rsidR="00695AE2" w:rsidRPr="00C70D20" w:rsidRDefault="00695AE2" w:rsidP="00695AE2">
      <w:pPr>
        <w:pStyle w:val="Naslov5"/>
        <w:rPr>
          <w:rFonts w:eastAsia="Calibri"/>
        </w:rPr>
      </w:pPr>
      <w:bookmarkStart w:id="606" w:name="_Toc223093936"/>
      <w:r w:rsidRPr="00C70D20">
        <w:rPr>
          <w:rFonts w:eastAsia="Calibri"/>
        </w:rPr>
        <w:lastRenderedPageBreak/>
        <w:t>Odpis vračila državnih štipendij</w:t>
      </w:r>
      <w:bookmarkEnd w:id="606"/>
    </w:p>
    <w:p w14:paraId="1CCB7D34" w14:textId="77777777" w:rsidR="00695AE2" w:rsidRPr="00C70D20" w:rsidRDefault="00695AE2" w:rsidP="00695AE2">
      <w:pPr>
        <w:widowControl w:val="0"/>
        <w:tabs>
          <w:tab w:val="left" w:pos="379"/>
        </w:tabs>
        <w:spacing w:line="240" w:lineRule="auto"/>
        <w:jc w:val="both"/>
        <w:rPr>
          <w:rFonts w:eastAsia="Calibri"/>
          <w:color w:val="007466"/>
          <w:kern w:val="2"/>
          <w14:ligatures w14:val="standardContextual"/>
        </w:rPr>
      </w:pPr>
    </w:p>
    <w:p w14:paraId="458EFE98"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Državno odvetništvo RS je obravnavalo več tožb, s katerimi so tožeče stranke izpodbijale odločbe ministrstva o odpisu vračila državnih štipendij. Vprašanje odpisa nastalega dolga urejata tako Zakon o uveljavljanju pravic iz javnih sredstev (v nadaljevanju: ZUPJS-C) kot Zakon o štipendiranju (v nadaljevanju: ZŠtip-1), saj namreč kasnejši predpis ZUPJS-C ni razveljavil ZŠtip-1 v delu, ki se nanaša na odpis dolga oziroma na vračilo štipendije. Tako se je postavilo vprašanje, kateri predpis je potrebno uporabiti v postopkih odpisa vračila državnih štipendij. Vrhovno sodišče RS je s sodbami, opr. št. VIII Ips 4/2025, VIII Ips 6/2025, VIII Ips 8/2025, vse z dne 13. 5. 2025, v tovrstnih zadevah odločilo, da se določba devetega odstavka 44. člena ZUPJS nanaša le na odpis neupravičeno pridobljenih sredstev, tj. ko pride do naknadne odprave oziroma razveljavitve odločbe, s katero je bila pred tem neupravičeno priznana pravica iz javnih sredstev (tudi pravica do državne štipendije). Iz obrazložitve sodbe je razbrati, da so pravila o odpisu vračila državne štipendije v drugih primerih določena v ZŠtip-1 (o odpisu štipendije iz posebej določenih razlogov (102. člen ZŠtip-1) ter o postopku odloga vračila, obročnega plačila in odpisa (103. člen ZŠtip-1)). V zgoraj navedenih zadevah tožečim strankam ni bila izdana odločba o razveljavitvi oziroma odpravi prejšnje odločbe o priznanju štipendije, temveč je bila izdana odločba o prenehanju  štipendijskega razmerja in o dolžnosti vrnitve prejetih zneskov štipendije, kar glede na določbe ZUPJS ne pomeni neupravičeno prejetih sredstev. Za odpis vračila se uporabljajo le ZŠtip-1, o odpisu pa mora odločiti  center za socialno delo in ne ministrstvo, kot je bila praksa doslej.</w:t>
      </w:r>
    </w:p>
    <w:p w14:paraId="19C9EABB"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723ED5C8"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Državno odvetništvo RS ugotavlja, da so sodbe ostale nerealizirane, saj ministrstvu še ni uspelo zagotoviti ustrezne nadgradnje sistema eSociala, da bi centri za socialno delo imeli računalniško podporo za izvedbo tovrstnih postopkov. </w:t>
      </w:r>
    </w:p>
    <w:p w14:paraId="6F9C4F4B"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5A9AD0FA" w14:textId="77777777" w:rsidR="00695AE2" w:rsidRPr="00CB5050" w:rsidRDefault="00695AE2" w:rsidP="00695AE2">
      <w:pPr>
        <w:pStyle w:val="Naslov5"/>
      </w:pPr>
      <w:bookmarkStart w:id="607" w:name="_Toc223093937"/>
      <w:r w:rsidRPr="00CB5050">
        <w:t>Odločba Ustavnega sodišča, št. U-I-41/23-9 z dne 10. 4. 2025</w:t>
      </w:r>
      <w:bookmarkEnd w:id="607"/>
    </w:p>
    <w:p w14:paraId="004FF3D8"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164A63F6"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V zadevi priznanja denarne socialne pomoči je bilo sporno, ali je upoštevno tožničino zavzemanje, da se v dohodek družine v ustreznem znesku ne bi štelo vnovčenje zneska njenega dodatnega pokojninskega zavarovanja, saj z njim ni mogla razpolagati, ker je bil nakazan na fiduciarni račun stečajne upraviteljice; tožnica je bila namreč v osebnem stečaju. </w:t>
      </w:r>
    </w:p>
    <w:p w14:paraId="3EE99A94"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22DBE92E"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Prvostopenjsko sodišče je zahtevek zavrnilo, sledeč stališču Vrhovnega sodišča RS, zavzetem v sodbi, opr. št. VIII Ips 60/2020 z dne 19. 1. 2021, da je zakonodajalec neupoštevanje dohodka predvidel le glede izplačanih preživnin. Drugostopno sodišče je prekinilo postopek in na Ustavno sodišče vložilo zahtevo za presojo ustavnosti 14. člena Zakona o socialno varstvenih prejemkih (v nadaljevanju: ZSVarPre). Ustavno sodišče je odločilo, da je zakon iz razloga, ker ne določa, da se lastni dohodek samske osebe ali družine zmanjša tudi za dohodke in prejemke, s katerimi upravičenec zaradi stečajnega postopka ne more razpolagati, v neskladju s pravico do socialne varnosti iz prvega odstavka 50. člena Ustave RS. Državnemu zboru je naložilo, da mora ugotovljeno neskladje odpraviti v roku enega leta po objavi te odločbe v Uradnem listu RS. V 3. točki izreka omenjene odločbe je bilo na podlagi drugega odstavka 40. člena Zakona o ustavnem sodišču za prehodni čas odločeno, da če center za socialno delo ugotovi, da pri osebi, ki je ob uveljavljanju pravice do denarne socialne pomoči v osebnem stečaju, niso podani krivdni razlogi iz prvega odstavka 28. člena ZSVarPre in da izpolnjuje druge zakonsko določene pogoje za dodelitev denarne socialne pomoči, pri izračunu lastnega dohodka, ki je podlaga za </w:t>
      </w:r>
      <w:r w:rsidRPr="00CB5050">
        <w:rPr>
          <w:rFonts w:eastAsia="Calibri"/>
          <w:color w:val="000000"/>
          <w:kern w:val="2"/>
          <w14:ligatures w14:val="standardContextual"/>
        </w:rPr>
        <w:lastRenderedPageBreak/>
        <w:t xml:space="preserve">določitev višine denarne socialne pomoči, ne sme upoštevati dohodkov in prejemkov, s katerimi oseba zaradi osebnega stečaja ne more razpolagati. </w:t>
      </w:r>
    </w:p>
    <w:p w14:paraId="698D455A" w14:textId="77777777" w:rsidR="00695AE2" w:rsidRPr="00CB5050" w:rsidRDefault="00695AE2" w:rsidP="00695AE2">
      <w:pPr>
        <w:pStyle w:val="Jasna"/>
      </w:pPr>
    </w:p>
    <w:p w14:paraId="6BAA7E03" w14:textId="77777777" w:rsidR="00695AE2" w:rsidRPr="00CB5050" w:rsidRDefault="00695AE2" w:rsidP="00695AE2">
      <w:pPr>
        <w:pStyle w:val="Naslov5"/>
      </w:pPr>
      <w:bookmarkStart w:id="608" w:name="_Toc223093938"/>
      <w:r w:rsidRPr="00CB5050">
        <w:t>Zakon o socialnem vključevanju invalidov</w:t>
      </w:r>
      <w:bookmarkStart w:id="609" w:name="_Hlk221695141"/>
      <w:bookmarkEnd w:id="608"/>
    </w:p>
    <w:bookmarkEnd w:id="609"/>
    <w:p w14:paraId="06B11DA6"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53CB13CA" w14:textId="77777777" w:rsidR="00695AE2" w:rsidRPr="00CB5050" w:rsidRDefault="00695AE2" w:rsidP="00695AE2">
      <w:pPr>
        <w:spacing w:line="240" w:lineRule="auto"/>
        <w:jc w:val="both"/>
        <w:rPr>
          <w:rFonts w:eastAsia="Calibri"/>
          <w:szCs w:val="22"/>
        </w:rPr>
      </w:pPr>
      <w:r w:rsidRPr="00CB5050">
        <w:rPr>
          <w:rFonts w:eastAsia="Calibri"/>
          <w:color w:val="000000"/>
          <w:szCs w:val="22"/>
        </w:rPr>
        <w:t xml:space="preserve">Državno odvetništvo RS je v letnem poročilu za leto 2024 že poročalo, da je Višje delovno in socialno sodišče s sklepom, opr. št. Psp 109/2023 z dne 6. 12. 2023 prekinilo postopek zaradi vložitve zahteve za oceno ustavnosti prvega odstavka 3. člena Zakona o socialnem vključevanju invalidov (v nadaljevanju: ZSVI), </w:t>
      </w:r>
      <w:r w:rsidRPr="00CB5050">
        <w:rPr>
          <w:rFonts w:eastAsia="Calibri"/>
          <w:szCs w:val="22"/>
        </w:rPr>
        <w:t xml:space="preserve">saj je presodilo, da omenjena določba neutemeljeno oži krog oseb, ki so glede na zdravstveno stanje upravičene do statusa invalida in priznanja pravic po tem zakonu, saj ne ureja položaja oseb, ki imajo diagnosticirano dolgotrajno duševno motnjo oziroma duševno bolezen, ki enako kot ostala zdravstvena stanja, ki jih določa ta določba, vpliva na nezmožnost vključevanja teh oseb v skupnost brez nudenja storitev socialnega vključevanja. </w:t>
      </w:r>
    </w:p>
    <w:p w14:paraId="30C305D9" w14:textId="77777777" w:rsidR="00695AE2" w:rsidRPr="00CB5050" w:rsidRDefault="00695AE2" w:rsidP="00695AE2">
      <w:pPr>
        <w:spacing w:line="240" w:lineRule="auto"/>
        <w:jc w:val="both"/>
        <w:rPr>
          <w:rFonts w:eastAsia="Calibri"/>
          <w:szCs w:val="22"/>
        </w:rPr>
      </w:pPr>
    </w:p>
    <w:p w14:paraId="44C42B07" w14:textId="77777777" w:rsidR="00695AE2" w:rsidRPr="00CB5050" w:rsidRDefault="00695AE2" w:rsidP="00695AE2">
      <w:pPr>
        <w:spacing w:line="240" w:lineRule="auto"/>
        <w:jc w:val="both"/>
        <w:rPr>
          <w:rFonts w:eastAsia="Calibri"/>
          <w:szCs w:val="22"/>
        </w:rPr>
      </w:pPr>
      <w:r w:rsidRPr="00CB5050">
        <w:rPr>
          <w:rFonts w:eastAsia="Calibri"/>
          <w:szCs w:val="22"/>
        </w:rPr>
        <w:t xml:space="preserve">Delovno in socialno sodišče v Ljubljani je v zadevi ugotavljanja statusa invalida s sklepom prekinilo postopek do odločitve Ustavnega sodišča o zahtevi za oceno ustavnosti iste določbe omenjenega zakona. Pri tožniku gre za zmerno do hudo možgansko okvaro, ki je nastala po zaključku šolanja in vstopu v pokojninsko in invalidsko zavarovanje. Iz naslova tega zavarovanja ni pridobil nobenih pravic, prav tako tudi po drugih predpisih ne uživa nobenih pravic. Sodišče se je sklicevalo na že vloženo zahtevo za presojo ustavnosti te določbe zakona, ki je omenjena v prejšnjem odstavku. Ustavno sodišče v času priprave tega poročila o delu o zahtevi še ni odločilo, zaradi česar sodišče o pravici obeh tožnikov še ni moglo odločiti.     </w:t>
      </w:r>
    </w:p>
    <w:p w14:paraId="34B3732D" w14:textId="77777777" w:rsidR="00695AE2" w:rsidRPr="00CB5050" w:rsidRDefault="00695AE2" w:rsidP="00695AE2">
      <w:pPr>
        <w:spacing w:line="240" w:lineRule="auto"/>
        <w:jc w:val="both"/>
        <w:rPr>
          <w:rFonts w:eastAsia="Calibri"/>
          <w:szCs w:val="22"/>
        </w:rPr>
      </w:pPr>
    </w:p>
    <w:p w14:paraId="635651B3" w14:textId="77777777" w:rsidR="00695AE2" w:rsidRPr="00CB5050" w:rsidRDefault="00695AE2" w:rsidP="00695AE2">
      <w:pPr>
        <w:spacing w:line="240" w:lineRule="auto"/>
        <w:jc w:val="both"/>
        <w:rPr>
          <w:rFonts w:eastAsia="Calibri"/>
          <w:color w:val="000000"/>
        </w:rPr>
      </w:pPr>
      <w:r w:rsidRPr="00CB5050">
        <w:rPr>
          <w:rFonts w:eastAsia="Calibri"/>
          <w:szCs w:val="22"/>
        </w:rPr>
        <w:t xml:space="preserve">Zaradi zaznanega povečanja števila tožb, s katerimi se izpodbijajo odločbe Ministrstva za delo, družino, socialne zadeve in enake možnosti, ki kot drugostopni organ odloča o pritožbah zoper odločbe centrov za socialno delo, ki odločajo o pravicah po tem zakonu, je bilo že v prejšnjem poročilu o delu opozorjeno, da je določba prvega odstavka 3. člena ZSVI, ki določa osebe, ki pridobijo status invalida, presplošna in dopušča številne interpretacije, po drugi strani pa zmanjšuje pravno varnost, saj morebitni upravičenci sami ne morejo presoditi, če jim njihova hendikepiranost zagotavlja pridobitev statusa. Nadalje je ugotoviti, da ZSVI tudi ne določa, kdaj vlagatelj pridobi status invalida, tako ni jasno niti, kdaj pridobi pravice do denarnih prejemkov, prav tako je ugotoviti, da komisija, ki je izvedenski organ, izdaja mnenja, ki niso zadostno obrazložena in zato njihove pravilnosti ni mogoče preizkusiti.  Preizkus pravilnosti teh mnenj je torej predmet socialnih sporov, v katerih sodišče zaradi odsotnosti strokovnega znanja vključuje sodne izvedence, kar bistveno vpliva na trajanje teh sporov ter na višino pravdnih stroškov. </w:t>
      </w:r>
    </w:p>
    <w:p w14:paraId="01891D64" w14:textId="77777777" w:rsidR="00695AE2" w:rsidRPr="00CB5050" w:rsidRDefault="00695AE2" w:rsidP="00695AE2">
      <w:pPr>
        <w:spacing w:line="240" w:lineRule="auto"/>
        <w:contextualSpacing/>
        <w:jc w:val="both"/>
        <w:rPr>
          <w:rFonts w:eastAsia="Calibri"/>
          <w:color w:val="007466"/>
          <w:szCs w:val="22"/>
        </w:rPr>
      </w:pPr>
    </w:p>
    <w:p w14:paraId="0439453F" w14:textId="77777777" w:rsidR="00695AE2" w:rsidRPr="00CB5050" w:rsidRDefault="00695AE2" w:rsidP="00695AE2">
      <w:pPr>
        <w:pStyle w:val="Naslov5"/>
        <w:ind w:left="0" w:firstLine="0"/>
        <w:rPr>
          <w:rFonts w:eastAsia="Calibri"/>
        </w:rPr>
      </w:pPr>
      <w:bookmarkStart w:id="610" w:name="_Toc223093939"/>
      <w:r w:rsidRPr="00CB5050">
        <w:rPr>
          <w:rFonts w:eastAsia="Calibri"/>
        </w:rPr>
        <w:t>Procesne aktivnosti Državnega odvetništva RS za oblikovanje sodne prakse v socialnih sporih</w:t>
      </w:r>
      <w:bookmarkEnd w:id="610"/>
      <w:r w:rsidRPr="00CB5050">
        <w:rPr>
          <w:rFonts w:eastAsia="Calibri"/>
        </w:rPr>
        <w:t xml:space="preserve"> </w:t>
      </w:r>
    </w:p>
    <w:p w14:paraId="2422330B" w14:textId="77777777" w:rsidR="00695AE2" w:rsidRPr="00CB5050" w:rsidRDefault="00695AE2" w:rsidP="00695AE2">
      <w:pPr>
        <w:spacing w:line="240" w:lineRule="auto"/>
        <w:contextualSpacing/>
        <w:jc w:val="both"/>
        <w:rPr>
          <w:rFonts w:eastAsia="Calibri"/>
          <w:color w:val="007466"/>
          <w:szCs w:val="22"/>
        </w:rPr>
      </w:pPr>
    </w:p>
    <w:p w14:paraId="4F0CF1F6"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na področju obravnave socialnih sporov zelo aktivno v smeri oblikovanja sodne prakse in zaradi pridobitve stališč Vrhovnega sodišča RS, na podlagi katerih usmerja tudi ravnanje zastopanih subjektov, predvsem Ministrstva za delo, družine, socialne zadeve in enake možnosti, pogosto vlaga predloge za dopustitev revizije. V nadaljevanju je predstavljenih nekaj pomembnejših problematik, ki jih je Državno odvetništvo RS izpostavilo v svojih predlogih za dopustitev revizije, in sicer ne glede na to, ali so bila revizijska vprašanja </w:t>
      </w:r>
      <w:r w:rsidRPr="00CB5050">
        <w:rPr>
          <w:rFonts w:eastAsia="Calibri"/>
        </w:rPr>
        <w:lastRenderedPageBreak/>
        <w:t xml:space="preserve">dopuščena in so bile revizije v konkretnih zadevah že vložene ali pa  je bil predlog za dopustitev revizije s strani Vrhovnega sodišča RS zavrnjen. </w:t>
      </w:r>
    </w:p>
    <w:p w14:paraId="3EAB576D" w14:textId="77777777" w:rsidR="00695AE2" w:rsidRPr="00CB5050" w:rsidRDefault="00695AE2" w:rsidP="00695AE2">
      <w:pPr>
        <w:spacing w:line="240" w:lineRule="auto"/>
        <w:jc w:val="both"/>
        <w:rPr>
          <w:rFonts w:eastAsia="Calibri"/>
        </w:rPr>
      </w:pPr>
    </w:p>
    <w:p w14:paraId="4E45C5B7" w14:textId="77777777" w:rsidR="00695AE2" w:rsidRPr="00CB5050" w:rsidRDefault="00695AE2" w:rsidP="00695AE2">
      <w:pPr>
        <w:spacing w:line="240" w:lineRule="auto"/>
        <w:jc w:val="both"/>
        <w:rPr>
          <w:rFonts w:eastAsia="Calibri"/>
        </w:rPr>
      </w:pPr>
      <w:r w:rsidRPr="00CB5050">
        <w:rPr>
          <w:rFonts w:eastAsia="Calibri"/>
        </w:rPr>
        <w:t xml:space="preserve">V zadevi VIII DoR 76/2025, ki se nanaša na </w:t>
      </w:r>
      <w:r w:rsidRPr="00CB5050">
        <w:rPr>
          <w:rFonts w:eastAsia="Calibri"/>
          <w:color w:val="007466"/>
        </w:rPr>
        <w:t>denarno socialno pomoč in ostale pravice iz javnih sredstev</w:t>
      </w:r>
      <w:r w:rsidRPr="00CB5050">
        <w:rPr>
          <w:rFonts w:eastAsia="Calibri"/>
        </w:rPr>
        <w:t>, je Vrhovno sodišče RS s sklepom z dne 16. 6. 2025 dopustilo revizijo tožene stranke Republike Slovenije glede vprašanja, ali je pravilno stališče sodišča druge stopnje, da se družinska pokojnina, ki jo prejmejo mladoletni otroci upravičenke, ne upošteva pri ugotavljanju lastnega dohodka družine. V času priprave tega poročila o delu o reviziji še ni bilo odločeno.</w:t>
      </w:r>
    </w:p>
    <w:p w14:paraId="65BEE481" w14:textId="77777777" w:rsidR="00695AE2" w:rsidRPr="00CB5050" w:rsidRDefault="00695AE2" w:rsidP="00695AE2">
      <w:pPr>
        <w:spacing w:line="240" w:lineRule="auto"/>
        <w:jc w:val="both"/>
        <w:rPr>
          <w:rFonts w:eastAsia="Calibri"/>
        </w:rPr>
      </w:pPr>
    </w:p>
    <w:p w14:paraId="67511FB3" w14:textId="77777777" w:rsidR="00695AE2" w:rsidRPr="00CB5050" w:rsidRDefault="00695AE2" w:rsidP="00695AE2">
      <w:pPr>
        <w:widowControl w:val="0"/>
        <w:tabs>
          <w:tab w:val="left" w:pos="38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Vrhovno sodišče RS je s sklepom VIII DoR 73/2025 z dne 16. 6. 2025 zavrnilo predlog za dopustitev revizije Republike Slovenije o </w:t>
      </w:r>
      <w:r w:rsidRPr="00CB5050">
        <w:rPr>
          <w:rFonts w:eastAsia="Calibri"/>
          <w:color w:val="007466"/>
          <w:kern w:val="2"/>
          <w14:ligatures w14:val="standardContextual"/>
        </w:rPr>
        <w:t>vračilu Zoisove štipendije</w:t>
      </w:r>
      <w:r w:rsidRPr="00CB5050">
        <w:rPr>
          <w:rFonts w:eastAsia="Calibri"/>
          <w:color w:val="000000"/>
          <w:kern w:val="2"/>
          <w14:ligatures w14:val="standardContextual"/>
        </w:rPr>
        <w:t xml:space="preserve">. V zadevi je bilo sporno, ali je tožnica dolžna vrniti prejete zneske Zoisove štipendije za določeno obdobje. To pomeni, da je bilo potrjeno stališče iz sodbe Višjega delovnega in socialnega sodišča, opr. št. Psp 188/2024 z dne 29. 1. 2025, da je neutemeljen pritožbeni očitek, da je </w:t>
      </w:r>
      <w:bookmarkStart w:id="611" w:name="_Hlk220481972"/>
      <w:r w:rsidRPr="00CB5050">
        <w:rPr>
          <w:rFonts w:eastAsia="Calibri"/>
          <w:color w:val="000000"/>
          <w:kern w:val="2"/>
          <w14:ligatures w14:val="standardContextual"/>
        </w:rPr>
        <w:t xml:space="preserve">sodišče odločilo v nasprotju s prvim odstavkom 2. člena ZPP ter prekoračilo tožbeni zahtevek, ker tožnica s tožbenim zahtevkom ni opredelila še dokončne odločbe. </w:t>
      </w:r>
      <w:bookmarkEnd w:id="611"/>
      <w:r w:rsidRPr="00CB5050">
        <w:rPr>
          <w:rFonts w:eastAsia="Calibri"/>
          <w:color w:val="000000"/>
          <w:kern w:val="2"/>
          <w14:ligatures w14:val="standardContextual"/>
        </w:rPr>
        <w:t xml:space="preserve">Da je ureditev postopka v socialnih sporih manj stroga, kot je to v pritožbenih navedbah navedla tudi tožena stranka Republika Slovenija, je odraz posebne narave pravic iz sistema socialne varnosti, čemur mora biti prilagojen tudi postopek. Skladno s 63. členom Zakona o delovnih in socialnih sodiščih je okvir sodnega postopka zamejen s pred sodno izvedenim upravnim postopkom. Tako je predmet spora dokončna odločitev nosilca socialne varnosti, ki je bila sprejeta v predhodnem socialnem upravnem postopku. Upoštevajoč, da je tožnica predložila dokončno odločbo in prvostopenjsko odločbo, je lahko sodišče ugotovilo vsebino in obseg pred sodnega odločanja. Tudi iz laične tožbe je razvidno, zakaj in v katerem delu tožnica nasprotuje izpodbijani odločitvi toženke. Dokončna odločba nenazadnje predstavlja tudi procesno predpostavko za vodenje socialnega spora. Ves čas sodnega postopka je bilo jasno, kakšen je zahtevek tožnice in v tej smeri se je tudi vodil dokazni postopek. Navedena sodba je po mnenju Državnega odvetništva RS pomembna za primer neustrezno postavljenega tožbenega zahtevka v laični tožbi. Če je v tožbi navedeno, zakaj in v katerem delu tožnik nasprotuje izpodbijani dokončni odločbi Republike Slovenije, ki jo priloži tožbi, sodišče prve stopnje z ustrezno formulacijo tožbenega zahtevka v izreku sodbe ne prekorači neustrezno postavljenega tožbenega zahtevka iz tožbe. </w:t>
      </w:r>
    </w:p>
    <w:p w14:paraId="2E39F304"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002CA3E5"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V zadevi </w:t>
      </w:r>
      <w:r w:rsidRPr="00CB5050">
        <w:rPr>
          <w:rFonts w:eastAsia="Calibri"/>
          <w:color w:val="007466"/>
          <w:kern w:val="2"/>
          <w14:ligatures w14:val="standardContextual"/>
        </w:rPr>
        <w:t xml:space="preserve">priznanja Zoisove štipendije </w:t>
      </w:r>
      <w:r w:rsidRPr="00CB5050">
        <w:rPr>
          <w:rFonts w:eastAsia="Calibri"/>
          <w:color w:val="000000"/>
          <w:kern w:val="2"/>
          <w14:ligatures w14:val="standardContextual"/>
        </w:rPr>
        <w:t>VIII DoR 148/2025 z dne 11. 11. 2025 je Vrhovno sodišče RS s sklepom dopustilo revizijo tožene stranke Republike Slovenije glede vprašanja, ali je pravilen materialnopravni zaključek, da tekmovanje iz angleščine v okoliščinah konkretnega primera izpolnjuje pogoj sofinanciranja iz javnih sredstev iz prvega odstavka 24. člena ZŠtip-1.</w:t>
      </w:r>
    </w:p>
    <w:p w14:paraId="4B982796"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O istem pravnem  vprašanju sta bila vložena dva predloga za dopustitev revizije tožene stranke; o navedenih predlogih za dopustitev revizije Vrhovno sodišče RS v času priprave tega poročila o delu še ni odločilo.</w:t>
      </w:r>
    </w:p>
    <w:p w14:paraId="27338375"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7E46D8D2" w14:textId="2BDCE48A"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V zadevi zaradi </w:t>
      </w:r>
      <w:r w:rsidRPr="00CB5050">
        <w:rPr>
          <w:rFonts w:eastAsia="Calibri"/>
          <w:color w:val="007466"/>
          <w:kern w:val="2"/>
          <w14:ligatures w14:val="standardContextual"/>
        </w:rPr>
        <w:t xml:space="preserve">denarne socialne pomoči in ostalih pravic iz javnih sredstev </w:t>
      </w:r>
      <w:r w:rsidRPr="00CB5050">
        <w:rPr>
          <w:rFonts w:eastAsia="Calibri"/>
          <w:color w:val="000000"/>
          <w:kern w:val="2"/>
          <w14:ligatures w14:val="standardContextual"/>
        </w:rPr>
        <w:t xml:space="preserve">je Vrhovno sodišče RS  s sklepom VIII DoR 159/2025  z dne 18. 12. 2025 dopustilo revizijo tožene stranke Republike Slovenije glede vprašanja, ali se tožničina denarna sredstva na računu, prejeta iz naslova za nazaj izplačane denarne socialne pomoči, upoštevajo pri ugotavljanju materialnega položaja za upravičenost do denarne socialne pomoči.  O vloženi reviziji Republike Slovenije v času priprave tega poročila o delu še ni bilo odločeno. Vrhovno sodišče RS bo pojasnilo, ali je </w:t>
      </w:r>
      <w:r w:rsidRPr="00CB5050">
        <w:rPr>
          <w:rFonts w:eastAsia="Calibri"/>
          <w:color w:val="000000"/>
          <w:kern w:val="2"/>
          <w14:ligatures w14:val="standardContextual"/>
        </w:rPr>
        <w:lastRenderedPageBreak/>
        <w:t xml:space="preserve">pravilno stališče iz sodbe Višjega delovnega in socialnega sodišča, opr. št. Psp 102/2025 z dne 20. 8. 2025, da se izplačilo iz naslova za nazaj prejete denarne socialne pomoči ne upošteva pri dodeljevanju te iste socialne pravice za naprej. V zadevi priznanja denarne socialne pomoči je bilo sporno, ali je upoštevno tožničino zavzemanje, da se v dohodek družine v ustreznem znesku ne bi štelo vnovčenje zneska njenega dodatnega pokojninskega zavarovanja </w:t>
      </w:r>
      <w:r w:rsidRPr="00CB5050">
        <w:rPr>
          <w:rFonts w:eastAsia="Calibri" w:cs="Times New Roman"/>
          <w:color w:val="000000"/>
          <w:kern w:val="2"/>
          <w14:ligatures w14:val="standardContextual"/>
        </w:rPr>
        <w:t xml:space="preserve">(ali se </w:t>
      </w:r>
      <w:r w:rsidRPr="00CB5050">
        <w:rPr>
          <w:rFonts w:eastAsia="Calibri"/>
          <w:color w:val="000000"/>
          <w:kern w:val="2"/>
          <w14:ligatures w14:val="standardContextual"/>
        </w:rPr>
        <w:t>dohodek iz naslova prodane terjatve šteje za občasni dohodek po 23. členu ZSVarPre), saj da z njim ni mogla razpolagati, ker je bil nakazan na fiduciarni račun stečajne upraviteljice.</w:t>
      </w:r>
    </w:p>
    <w:p w14:paraId="7EF8EEC4"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2EECC66C"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r w:rsidRPr="00CB5050">
        <w:rPr>
          <w:rFonts w:eastAsia="Calibri"/>
          <w:color w:val="000000"/>
          <w:kern w:val="2"/>
          <w14:ligatures w14:val="standardContextual"/>
        </w:rPr>
        <w:t xml:space="preserve">Prvostopenjsko sodišče je pri zavrnitvi tožbenega zahtevka sledilo razlogovanju Vrhovnega sodišča RS iz sodbe, opr. št. VIII Ips 60/2020 z dne 19. 1. 2021, </w:t>
      </w:r>
      <w:bookmarkStart w:id="612" w:name="_Hlk219123392"/>
      <w:r w:rsidRPr="00CB5050">
        <w:rPr>
          <w:rFonts w:eastAsia="Calibri"/>
          <w:color w:val="000000"/>
          <w:kern w:val="2"/>
          <w14:ligatures w14:val="standardContextual"/>
        </w:rPr>
        <w:t>da je zakonodajalec neupoštevanje dohodka predvidel le glede izplačanih preživnin.</w:t>
      </w:r>
      <w:bookmarkEnd w:id="612"/>
      <w:r w:rsidRPr="00CB5050">
        <w:rPr>
          <w:rFonts w:eastAsia="Calibri"/>
          <w:color w:val="000000"/>
          <w:kern w:val="2"/>
          <w14:ligatures w14:val="standardContextual"/>
        </w:rPr>
        <w:t xml:space="preserve"> V obrazložitvi sodbe in sklepa Psp 337/2022 z dne 7. 5. 2025, s katerima je nadaljevalo postopek in odpravilo dokončno odločbo tožene stranke Republike Slovenije in odločbo centra za socialno delo v delu višine priznane denarne socialne pomoči ter zadevo vrnilo v ponovno upravno odločanje, se je Višje delovno in socialno sodišče sklicevalo na odločitev Ustavnega sodišča, ki je z odločbo št. U-I-41/23-9 z dne 10. 4. 2025 odločilo, da je ureditev 14. člena ZSVarPre, ki ne določa, da se  lastni dohodek samske osebe ali družine zmanjša tudi za dohodke in prejemke, s katerimi upravičenec zaradi stečajnega postopka ne more razpolagati, v neskladju s pravico do socialne varnosti iz prvega odstavka 50. člena Ustave RS. Državnemu zboru je naložilo, da mora ugotovljeno neskladje odpraviti v roku enega leta po objavi te odločbe v Uradnem listu RS. V 3. točki izreka citirane ustavne odločbe je bilo na podlagi drugega odstavka 40. člena Zakona o ustavnem sodišču za prehodni čas odločeno, da če CSD ugotovi, da pri osebi, ki je ob uveljavljanju pravice do denarne socialne pomoči v osebnem stečaju, niso podani krivdni razlogi iz prvega odstavka 28. člena ZSVarPre in da izpolnjuje druge zakonsko določene pogoje za dodelitev denarne socialne pomoči, pri izračunu lastnega dohodka, ki je podlaga za določitev višine denarne socialne pomoči, ne sme upoštevati dohodkov in prejemkov, s katerimi oseba zaradi osebnega stečaja ne more razpolagati; navedeno pa pomeni, da je preseženo stališče Vrhovnega sodišča RS iz zadeve, opr. št. VIII Ips 60/2020, da se pri izračunu lastnega dohodka, ki je podlaga za določitev višine denarne socialne pomoči, ne sme upoštevati samo izplačanih preživnin.</w:t>
      </w:r>
      <w:bookmarkStart w:id="613" w:name="_Toc160097341"/>
      <w:bookmarkStart w:id="614" w:name="_Toc191561938"/>
    </w:p>
    <w:p w14:paraId="4C84E265" w14:textId="77777777" w:rsidR="00695AE2" w:rsidRPr="00CB5050" w:rsidRDefault="00695AE2" w:rsidP="00695AE2">
      <w:pPr>
        <w:widowControl w:val="0"/>
        <w:tabs>
          <w:tab w:val="left" w:pos="379"/>
        </w:tabs>
        <w:spacing w:line="240" w:lineRule="auto"/>
        <w:jc w:val="both"/>
        <w:rPr>
          <w:rFonts w:eastAsia="Calibri"/>
          <w:color w:val="000000"/>
          <w:kern w:val="2"/>
          <w14:ligatures w14:val="standardContextual"/>
        </w:rPr>
      </w:pPr>
    </w:p>
    <w:p w14:paraId="20EE0945" w14:textId="77777777" w:rsidR="00695AE2" w:rsidRPr="00CB5050" w:rsidRDefault="00695AE2" w:rsidP="00695AE2">
      <w:pPr>
        <w:pStyle w:val="Naslov4"/>
        <w:rPr>
          <w:rFonts w:eastAsia="Calibri"/>
        </w:rPr>
      </w:pPr>
      <w:bookmarkStart w:id="615" w:name="_Toc223093940"/>
      <w:r w:rsidRPr="00CB5050">
        <w:rPr>
          <w:rFonts w:eastAsia="Calibri"/>
        </w:rPr>
        <w:t>Splošna priporočila Državnega odvetništva RS</w:t>
      </w:r>
      <w:bookmarkStart w:id="616" w:name="_Hlk218435163"/>
      <w:bookmarkEnd w:id="613"/>
      <w:bookmarkEnd w:id="614"/>
      <w:bookmarkEnd w:id="615"/>
    </w:p>
    <w:p w14:paraId="66E667F7" w14:textId="77777777" w:rsidR="00695AE2" w:rsidRPr="00CB5050" w:rsidRDefault="00695AE2" w:rsidP="00695AE2">
      <w:pPr>
        <w:spacing w:line="240" w:lineRule="auto"/>
        <w:jc w:val="both"/>
        <w:rPr>
          <w:rFonts w:eastAsia="Calibri"/>
          <w:b/>
          <w:bCs/>
          <w:color w:val="007466"/>
          <w:szCs w:val="22"/>
        </w:rPr>
      </w:pPr>
    </w:p>
    <w:p w14:paraId="302F6F02" w14:textId="77777777" w:rsidR="00695AE2" w:rsidRPr="00CB5050" w:rsidRDefault="00695AE2" w:rsidP="00695AE2">
      <w:pPr>
        <w:spacing w:line="240" w:lineRule="auto"/>
        <w:jc w:val="both"/>
        <w:rPr>
          <w:rFonts w:eastAsia="Calibri"/>
          <w:szCs w:val="22"/>
        </w:rPr>
      </w:pPr>
      <w:bookmarkStart w:id="617" w:name="_Hlk190288274"/>
      <w:bookmarkStart w:id="618" w:name="_Toc168844964"/>
      <w:r w:rsidRPr="00CB5050">
        <w:rPr>
          <w:rFonts w:eastAsia="Calibri"/>
          <w:szCs w:val="22"/>
        </w:rPr>
        <w:t xml:space="preserve">Državno odvetništvo RS na področju delovnih sporov ugotavlja, da določba prvega odstavka 26. člena ZJU-1 predpisuje obvezno izvedbo predhodnega postopka uveljavljanja pravic, obveznosti in odgovornosti iz delovnega razmerja pred delodajalcem; od 1. 1. 2026 neposredno sodno varstvo ni zagotovljeno niti za t. i. čiste denarne terjatve. Upoštevaje navedeno novelo zakona Državno odvetništvo RS priporoča, da državni organi v postavljenih rokih odločijo o vloženih zahtevah te vsebine, kar bo nedvomno pripomoglo, da bo sodnih postopkov bistveno manj, po drugi strani pa bodo uslužbenci pravočasno in bistveno hitreje dosegli varstvo svojih pravic. </w:t>
      </w:r>
    </w:p>
    <w:p w14:paraId="0D90836C" w14:textId="03328FEF" w:rsidR="00695AE2" w:rsidRPr="00B11625" w:rsidRDefault="00695AE2" w:rsidP="00B11625">
      <w:pPr>
        <w:pStyle w:val="Naslov5"/>
        <w:numPr>
          <w:ilvl w:val="0"/>
          <w:numId w:val="0"/>
        </w:numPr>
        <w:rPr>
          <w:rFonts w:eastAsia="Calibri"/>
          <w:color w:val="auto"/>
          <w:szCs w:val="22"/>
        </w:rPr>
      </w:pPr>
      <w:r w:rsidRPr="00B11625">
        <w:rPr>
          <w:color w:val="auto"/>
          <w:szCs w:val="22"/>
        </w:rPr>
        <w:lastRenderedPageBreak/>
        <w:t>Državno odvetništvo RS glede vsebine, navedene v točki 1.3.4.</w:t>
      </w:r>
      <w:r w:rsidR="00011F83" w:rsidRPr="00B11625">
        <w:rPr>
          <w:color w:val="auto"/>
          <w:szCs w:val="22"/>
        </w:rPr>
        <w:t>3</w:t>
      </w:r>
      <w:r w:rsidRPr="00B11625">
        <w:rPr>
          <w:color w:val="auto"/>
          <w:szCs w:val="22"/>
        </w:rPr>
        <w:t>.</w:t>
      </w:r>
      <w:r w:rsidR="00011F83" w:rsidRPr="00B11625">
        <w:rPr>
          <w:color w:val="auto"/>
          <w:szCs w:val="22"/>
        </w:rPr>
        <w:t>3</w:t>
      </w:r>
      <w:r w:rsidRPr="00B11625">
        <w:rPr>
          <w:color w:val="auto"/>
          <w:szCs w:val="22"/>
        </w:rPr>
        <w:t xml:space="preserve">, </w:t>
      </w:r>
      <w:r w:rsidR="00B11625">
        <w:rPr>
          <w:color w:val="auto"/>
          <w:szCs w:val="22"/>
        </w:rPr>
        <w:t>ki obravnava k</w:t>
      </w:r>
      <w:r w:rsidR="00B11625" w:rsidRPr="00B11625">
        <w:rPr>
          <w:color w:val="auto"/>
        </w:rPr>
        <w:t>olektivni delovni spor predlagatelja Radiotelevizije Slovenije zoper nasprotno udeleženko Republiko Slovenijo, Ministrstvo za delo, družino, socialne zadeve in enake možnosti, zaradi dopustitve postopka o ugotavljanju reprezentativnosti Sindikata delavcev radiodifuzije Slovenije</w:t>
      </w:r>
      <w:r w:rsidR="00B11625">
        <w:rPr>
          <w:color w:val="auto"/>
        </w:rPr>
        <w:t xml:space="preserve">, </w:t>
      </w:r>
      <w:r w:rsidRPr="00B11625">
        <w:rPr>
          <w:color w:val="auto"/>
          <w:szCs w:val="22"/>
        </w:rPr>
        <w:t>priporoča, da zakonodajalec dopolni Zakon o reprezentativnosti sindikatov tako, da uredi postopek odvzema reprezentativnosti sindikatu, ki ne izpolnjuje več pogoja reprezentativnosti.</w:t>
      </w:r>
    </w:p>
    <w:p w14:paraId="7C0E6E78" w14:textId="77777777" w:rsidR="00695AE2" w:rsidRPr="00CB5050" w:rsidRDefault="00695AE2" w:rsidP="00695AE2">
      <w:pPr>
        <w:pStyle w:val="Jasna"/>
      </w:pPr>
    </w:p>
    <w:p w14:paraId="50B0E030" w14:textId="108B5130" w:rsidR="00695AE2" w:rsidRPr="00CB5050" w:rsidRDefault="00B11625" w:rsidP="00B11625">
      <w:pPr>
        <w:pStyle w:val="Jasna"/>
      </w:pPr>
      <w:r>
        <w:rPr>
          <w:szCs w:val="22"/>
        </w:rPr>
        <w:t xml:space="preserve">Državno odvetništvo RS glede vsebine, navedene v točki 1.3.4.3.4, ki obravnava delovne spore </w:t>
      </w:r>
      <w:r w:rsidRPr="00CB5050">
        <w:rPr>
          <w:szCs w:val="22"/>
        </w:rPr>
        <w:t xml:space="preserve">sindikalnih zaupnikov, ki so sindikalno delo opravljali poln delovni čas in kot svoje edino delo, </w:t>
      </w:r>
      <w:r w:rsidR="00695AE2" w:rsidRPr="00CB5050">
        <w:t xml:space="preserve">priporoča, da se plače sindikalnih zaupnikov uredijo z zakonom enotno za vso državo in na način, da se jim ohranja enako plačilo kot bi ga prejemali, če bi namesto sindikalnega dela opravljali svoje redno delo. </w:t>
      </w:r>
    </w:p>
    <w:p w14:paraId="2C956F2D" w14:textId="77777777" w:rsidR="00695AE2" w:rsidRPr="00CB5050" w:rsidRDefault="00695AE2" w:rsidP="00695AE2">
      <w:pPr>
        <w:pStyle w:val="Jasna"/>
      </w:pPr>
    </w:p>
    <w:p w14:paraId="7BD6CDBD" w14:textId="2E908EEE" w:rsidR="00695AE2" w:rsidRPr="00CB5050" w:rsidRDefault="00695AE2" w:rsidP="00695AE2">
      <w:pPr>
        <w:pStyle w:val="Jasna"/>
      </w:pPr>
      <w:r w:rsidRPr="00CB5050">
        <w:t>Državno odvetništvo RS glede vsebine, navedene v točki 1.3.4.</w:t>
      </w:r>
      <w:r w:rsidR="00B11625">
        <w:t>4</w:t>
      </w:r>
      <w:r w:rsidRPr="00CB5050">
        <w:t xml:space="preserve">.3, </w:t>
      </w:r>
      <w:r w:rsidR="00B11625">
        <w:t xml:space="preserve">ki obravnava problematiko odpisa vračila državnih štipendij, </w:t>
      </w:r>
      <w:r w:rsidRPr="00CB5050">
        <w:t xml:space="preserve">priporoča, da Ministrstvo za delo, družino, socialne zadeve in enake možnosti izvede postopek nadgradnje sistema eSociala v zvezi z odločanjem centrov za socialno delo o odpisu dolga iz naslova neupravičeno prejete državne štipendije, saj je potrebno realizirati izdane sodbe in zagotoviti, da bo v bodoče o odpisih dolga odločal pristojni organ zakonito in skladno s postopkovnimi pravili.  </w:t>
      </w:r>
    </w:p>
    <w:p w14:paraId="7A9FB4EE" w14:textId="77777777" w:rsidR="00695AE2" w:rsidRPr="00CB5050" w:rsidRDefault="00695AE2" w:rsidP="00695AE2">
      <w:pPr>
        <w:spacing w:line="240" w:lineRule="auto"/>
        <w:jc w:val="both"/>
        <w:rPr>
          <w:rFonts w:eastAsia="Calibri"/>
          <w:szCs w:val="22"/>
        </w:rPr>
      </w:pPr>
    </w:p>
    <w:p w14:paraId="5BED169B" w14:textId="3B68A322" w:rsidR="00695AE2" w:rsidRPr="00CB5050" w:rsidRDefault="00695AE2" w:rsidP="00695AE2">
      <w:pPr>
        <w:pStyle w:val="Jasna"/>
      </w:pPr>
      <w:r w:rsidRPr="00CB5050">
        <w:t>Državno odvetništvo RS glede vsebine, navedene v točki 1.3.4.</w:t>
      </w:r>
      <w:r w:rsidR="00B11625">
        <w:t>4</w:t>
      </w:r>
      <w:r w:rsidRPr="00CB5050">
        <w:t xml:space="preserve">.4, </w:t>
      </w:r>
      <w:r w:rsidR="005954BE">
        <w:t xml:space="preserve">ki obravnava problematiko odločbe </w:t>
      </w:r>
      <w:r w:rsidR="005954BE" w:rsidRPr="00CB5050">
        <w:t>Ustavnega sodišča, št. U-I-41/23-9 z dne 10. 4. 2025</w:t>
      </w:r>
      <w:r w:rsidR="005954BE">
        <w:t xml:space="preserve">, </w:t>
      </w:r>
      <w:r w:rsidRPr="00CB5050">
        <w:t xml:space="preserve">priporoča, da državni zbor v postavljenem roku spremeni določbo 14. člena ZSVarPre tako, da se pri presoji izpolnjevanja pogojev za pridobitev pravice do denarne socialne pomoči, lastni dohodek samske osebe ali družine zmanjša tudi za dohodke in prejemke, s katerimi upravičenec zaradi stečajnega postopka ne more razpolagati.   </w:t>
      </w:r>
    </w:p>
    <w:p w14:paraId="318913CC" w14:textId="77777777" w:rsidR="00695AE2" w:rsidRPr="00CB5050" w:rsidRDefault="00695AE2" w:rsidP="00695AE2">
      <w:pPr>
        <w:spacing w:line="240" w:lineRule="auto"/>
        <w:jc w:val="both"/>
        <w:rPr>
          <w:rFonts w:eastAsia="Calibri"/>
          <w:szCs w:val="22"/>
        </w:rPr>
      </w:pPr>
    </w:p>
    <w:p w14:paraId="72C94AA1" w14:textId="2A6A4FD0" w:rsidR="00695AE2" w:rsidRPr="00CB5050" w:rsidRDefault="00695AE2" w:rsidP="00695AE2">
      <w:pPr>
        <w:pStyle w:val="Jasna"/>
      </w:pPr>
      <w:r w:rsidRPr="00CB5050">
        <w:t>Državno odvetništvo RS glede vsebine, navedene v točki 1.3.4.</w:t>
      </w:r>
      <w:r w:rsidR="005954BE">
        <w:t>4</w:t>
      </w:r>
      <w:r w:rsidRPr="00CB5050">
        <w:t xml:space="preserve">.5, </w:t>
      </w:r>
      <w:r w:rsidR="005954BE">
        <w:t xml:space="preserve">ki obravnava problematiko </w:t>
      </w:r>
      <w:r w:rsidR="005954BE" w:rsidRPr="00CB5050">
        <w:rPr>
          <w:color w:val="000000"/>
          <w:szCs w:val="22"/>
        </w:rPr>
        <w:t>Zakona o socialnem vključevanju invalidov</w:t>
      </w:r>
      <w:r w:rsidR="005954BE">
        <w:rPr>
          <w:color w:val="000000"/>
          <w:szCs w:val="22"/>
        </w:rPr>
        <w:t>,</w:t>
      </w:r>
      <w:r w:rsidR="005954BE" w:rsidRPr="00CB5050">
        <w:rPr>
          <w:color w:val="000000"/>
          <w:szCs w:val="22"/>
        </w:rPr>
        <w:t xml:space="preserve"> </w:t>
      </w:r>
      <w:r w:rsidRPr="00CB5050">
        <w:t>priporoča, da pristojno ministrstvo področje podrobneje uredi s podzakonskim aktom in določi plačilo za delo članov komisije</w:t>
      </w:r>
      <w:r w:rsidR="005954BE" w:rsidRPr="005954BE">
        <w:rPr>
          <w:szCs w:val="22"/>
        </w:rPr>
        <w:t xml:space="preserve"> </w:t>
      </w:r>
      <w:r w:rsidR="005954BE">
        <w:rPr>
          <w:szCs w:val="22"/>
        </w:rPr>
        <w:t>(</w:t>
      </w:r>
      <w:r w:rsidR="005954BE" w:rsidRPr="00CB5050">
        <w:rPr>
          <w:szCs w:val="22"/>
        </w:rPr>
        <w:t xml:space="preserve">ki </w:t>
      </w:r>
      <w:r w:rsidR="005954BE">
        <w:rPr>
          <w:szCs w:val="22"/>
        </w:rPr>
        <w:t>kot</w:t>
      </w:r>
      <w:r w:rsidR="005954BE" w:rsidRPr="00CB5050">
        <w:rPr>
          <w:szCs w:val="22"/>
        </w:rPr>
        <w:t xml:space="preserve"> izvedenski organ izdaja mnenja, ki </w:t>
      </w:r>
      <w:r w:rsidR="005954BE">
        <w:rPr>
          <w:szCs w:val="22"/>
        </w:rPr>
        <w:t xml:space="preserve">pa </w:t>
      </w:r>
      <w:r w:rsidR="005954BE" w:rsidRPr="00CB5050">
        <w:rPr>
          <w:szCs w:val="22"/>
        </w:rPr>
        <w:t>niso zadostno obrazložena in zato njihove pravilnosti ni mogoče preizkusiti</w:t>
      </w:r>
      <w:r w:rsidR="005954BE">
        <w:rPr>
          <w:szCs w:val="22"/>
        </w:rPr>
        <w:t>; p</w:t>
      </w:r>
      <w:r w:rsidR="005954BE" w:rsidRPr="00CB5050">
        <w:rPr>
          <w:szCs w:val="22"/>
        </w:rPr>
        <w:t xml:space="preserve">reizkus pravilnosti teh mnenj je </w:t>
      </w:r>
      <w:r w:rsidR="005954BE">
        <w:rPr>
          <w:szCs w:val="22"/>
        </w:rPr>
        <w:t xml:space="preserve">nato </w:t>
      </w:r>
      <w:r w:rsidR="005954BE" w:rsidRPr="00CB5050">
        <w:rPr>
          <w:szCs w:val="22"/>
        </w:rPr>
        <w:t>predmet socialnih sporov</w:t>
      </w:r>
      <w:r w:rsidR="005954BE">
        <w:rPr>
          <w:szCs w:val="22"/>
        </w:rPr>
        <w:t>, v katerih sodišče angažira sodne izvedence)</w:t>
      </w:r>
      <w:r w:rsidRPr="00CB5050">
        <w:t xml:space="preserve">, saj bo le na opisani način zagotovljeno, da bodo člani komisije svoje delo lahko opravili kvalitetno in bodo mnenja prestala sodno presojo.  </w:t>
      </w:r>
    </w:p>
    <w:p w14:paraId="2F40F44E" w14:textId="77777777" w:rsidR="00695AE2" w:rsidRPr="00CB5050" w:rsidRDefault="00695AE2" w:rsidP="00695AE2">
      <w:pPr>
        <w:pStyle w:val="Jasna"/>
      </w:pPr>
    </w:p>
    <w:p w14:paraId="69E92AE0" w14:textId="77777777" w:rsidR="00695AE2" w:rsidRPr="00CB5050" w:rsidRDefault="00695AE2" w:rsidP="00695AE2">
      <w:pPr>
        <w:pStyle w:val="Naslov4"/>
        <w:rPr>
          <w:rFonts w:eastAsia="Calibri"/>
        </w:rPr>
      </w:pPr>
      <w:bookmarkStart w:id="619" w:name="_Toc223093941"/>
      <w:r w:rsidRPr="00CB5050">
        <w:rPr>
          <w:rFonts w:eastAsia="Calibri"/>
        </w:rPr>
        <w:t>Predlog spremembe 28. člena ZPIZ-2</w:t>
      </w:r>
      <w:r w:rsidRPr="00CB5050">
        <w:rPr>
          <w:rFonts w:eastAsia="Calibri"/>
          <w:vertAlign w:val="superscript"/>
        </w:rPr>
        <w:footnoteReference w:id="22"/>
      </w:r>
      <w:bookmarkEnd w:id="619"/>
    </w:p>
    <w:p w14:paraId="311ECBB6" w14:textId="77777777" w:rsidR="00695AE2" w:rsidRPr="00CB5050" w:rsidRDefault="00695AE2" w:rsidP="00695AE2">
      <w:pPr>
        <w:spacing w:line="240" w:lineRule="auto"/>
        <w:jc w:val="both"/>
        <w:rPr>
          <w:rFonts w:eastAsia="Calibri"/>
        </w:rPr>
      </w:pPr>
    </w:p>
    <w:p w14:paraId="0579D405" w14:textId="77777777" w:rsidR="00695AE2" w:rsidRPr="00CB5050" w:rsidRDefault="00695AE2" w:rsidP="00695AE2">
      <w:pPr>
        <w:spacing w:line="240" w:lineRule="auto"/>
        <w:jc w:val="both"/>
        <w:rPr>
          <w:rFonts w:eastAsia="Calibri"/>
        </w:rPr>
      </w:pPr>
      <w:r w:rsidRPr="00CB5050">
        <w:rPr>
          <w:rFonts w:eastAsia="Calibri"/>
        </w:rPr>
        <w:t>Državno odvetništvo RS je mnenja, da bi bilo 28. člen</w:t>
      </w:r>
      <w:r w:rsidRPr="00CB5050">
        <w:rPr>
          <w:rFonts w:eastAsia="Calibri"/>
          <w:vertAlign w:val="superscript"/>
        </w:rPr>
        <w:footnoteReference w:id="23"/>
      </w:r>
      <w:r w:rsidRPr="00CB5050">
        <w:rPr>
          <w:rFonts w:eastAsia="Calibri"/>
        </w:rPr>
        <w:t xml:space="preserve"> ZPIZ-2 treba dopolniti oziroma spremeniti.</w:t>
      </w:r>
    </w:p>
    <w:p w14:paraId="2DC7818F" w14:textId="77777777" w:rsidR="00695AE2" w:rsidRPr="00CB5050" w:rsidRDefault="00695AE2" w:rsidP="00695AE2">
      <w:pPr>
        <w:spacing w:line="240" w:lineRule="auto"/>
        <w:jc w:val="both"/>
        <w:rPr>
          <w:rFonts w:eastAsia="Calibri"/>
        </w:rPr>
      </w:pPr>
      <w:r w:rsidRPr="00CB5050">
        <w:rPr>
          <w:rFonts w:eastAsia="Calibri"/>
        </w:rPr>
        <w:lastRenderedPageBreak/>
        <w:t xml:space="preserve"> </w:t>
      </w:r>
    </w:p>
    <w:p w14:paraId="59C21833" w14:textId="77777777" w:rsidR="00695AE2" w:rsidRPr="00CB5050" w:rsidRDefault="00695AE2" w:rsidP="00695AE2">
      <w:pPr>
        <w:spacing w:line="240" w:lineRule="auto"/>
        <w:jc w:val="both"/>
        <w:rPr>
          <w:rFonts w:eastAsia="Calibri"/>
        </w:rPr>
      </w:pPr>
    </w:p>
    <w:p w14:paraId="062740C9" w14:textId="77777777" w:rsidR="00695AE2" w:rsidRPr="00CB5050" w:rsidRDefault="00695AE2" w:rsidP="00695AE2">
      <w:pPr>
        <w:spacing w:line="240" w:lineRule="auto"/>
        <w:jc w:val="both"/>
        <w:rPr>
          <w:rFonts w:eastAsia="Calibri"/>
        </w:rPr>
      </w:pPr>
      <w:r w:rsidRPr="00CB5050">
        <w:rPr>
          <w:rFonts w:eastAsia="Calibri"/>
        </w:rPr>
        <w:t>Zakon namreč določa, da za priznanje pravice ženski ni potrebno nobeno dodatno izpolnjevanje pogojev, zadostuje zgolj, da zatrjuje, da je za otroka skrbela prvo leto njegove starosti, za moške pa je postavljen dodaten pogoj, da so v tem prvem otrokovem letu uživali pravico do nadomestila iz naslova starševstva.</w:t>
      </w:r>
    </w:p>
    <w:p w14:paraId="2AED13D8" w14:textId="77777777" w:rsidR="00695AE2" w:rsidRPr="00CB5050" w:rsidRDefault="00695AE2" w:rsidP="00695AE2">
      <w:pPr>
        <w:spacing w:line="240" w:lineRule="auto"/>
        <w:jc w:val="both"/>
        <w:rPr>
          <w:rFonts w:eastAsia="Calibri"/>
        </w:rPr>
      </w:pPr>
    </w:p>
    <w:p w14:paraId="641F217B" w14:textId="77777777" w:rsidR="00695AE2" w:rsidRPr="00CB5050" w:rsidRDefault="00695AE2" w:rsidP="00695AE2">
      <w:pPr>
        <w:spacing w:line="240" w:lineRule="auto"/>
        <w:jc w:val="both"/>
        <w:rPr>
          <w:rFonts w:eastAsia="Calibri"/>
        </w:rPr>
      </w:pPr>
      <w:r w:rsidRPr="00CB5050">
        <w:rPr>
          <w:rFonts w:eastAsia="Calibri"/>
        </w:rPr>
        <w:t>Zakon o starševskem varstvu in družinskih prejemkih določa, da imajo pravico do nadomestila tiste osebe, ki imajo pravico do izrabe dopusta (materinskega, očetovskega in starševskega dopusta) in so bile zavarovane za starševsko varstvo dan pred nastopom posamezne vrste dopusta. Prav tako imajo pravico do nadomestila tiste osebe, ki sicer nimajo pravice do dopusta (denimo, ker niso (več) v delovnem razmerju), ampak so bile zavarovane najmanj 12 mesecev v zadnjih treh letih pred uveljavljanjem pravice do nadomestila.</w:t>
      </w:r>
    </w:p>
    <w:p w14:paraId="195447A0" w14:textId="77777777" w:rsidR="00695AE2" w:rsidRPr="00CB5050" w:rsidRDefault="00695AE2" w:rsidP="00695AE2">
      <w:pPr>
        <w:spacing w:line="240" w:lineRule="auto"/>
        <w:jc w:val="both"/>
        <w:rPr>
          <w:rFonts w:eastAsia="Calibri"/>
        </w:rPr>
      </w:pPr>
    </w:p>
    <w:p w14:paraId="514C73BB" w14:textId="77777777" w:rsidR="00695AE2" w:rsidRPr="00CB5050" w:rsidRDefault="00695AE2" w:rsidP="00695AE2">
      <w:pPr>
        <w:spacing w:line="240" w:lineRule="auto"/>
        <w:jc w:val="both"/>
        <w:rPr>
          <w:rFonts w:eastAsia="Calibri"/>
        </w:rPr>
      </w:pPr>
      <w:r w:rsidRPr="00CB5050">
        <w:rPr>
          <w:rFonts w:eastAsia="Calibri"/>
        </w:rPr>
        <w:t xml:space="preserve">Sodišče EU je v zadevi WA proti INSS (C-450/18) in INSS II (C-623/19) potrdilo, da avtomatično priznane ugodnosti ženskam brez individualne presoje pomenijo neposredno diskriminacijo na podlagi spola, kadar niso vezane na konkretno in dejansko prikrajšanje. Nadalje iz sodbe Sodišča EU z dne 15. 5. 2025 v zadevi C-623/23 in C-626/23 izhaja, da je Direktivo Sveta 79/7/EGS z dne 19. decembra 1978 o postopnem izvrševanju načela enakega obravnavanja moških in žensk v zadevah socialne varnosti, zlasti člen 4 in člen 7(1)(b) te direktive, v povezavi s členom 23 Listine Evropske unije o temeljnih pravicah, treba razlagati tako, da nasprotuje nacionalni ureditvi, na podlagi katere se za to, da bi se zmanjšala razlika med spoloma na področju dajatev socialne varnosti zaradi vzgoje otrok, pokojninski dodatek dodeli ženskam, ki prejemajo starostno pokojnino, ki temelji na prispevkih, in imajo enega ali več otrok, medtem ko za dodelitev tega dodatka moškim, ki so v enakem položaju, veljajo dodatni pogoji, in sicer da je bila njihova poklicna pot prekinjena oziroma je nanjo vplivalo rojstvo ali posvojitev njihovih otrok. </w:t>
      </w:r>
    </w:p>
    <w:p w14:paraId="7D00A605" w14:textId="77777777" w:rsidR="00695AE2" w:rsidRPr="00CB5050" w:rsidRDefault="00695AE2" w:rsidP="00695AE2">
      <w:pPr>
        <w:spacing w:line="240" w:lineRule="auto"/>
        <w:jc w:val="both"/>
        <w:rPr>
          <w:rFonts w:eastAsia="Calibri"/>
        </w:rPr>
      </w:pPr>
    </w:p>
    <w:p w14:paraId="1CEE0CE6" w14:textId="77777777" w:rsidR="00695AE2" w:rsidRPr="00CB5050" w:rsidRDefault="00695AE2" w:rsidP="00695AE2">
      <w:pPr>
        <w:spacing w:line="240" w:lineRule="auto"/>
        <w:jc w:val="both"/>
        <w:rPr>
          <w:rFonts w:eastAsia="Calibri"/>
        </w:rPr>
      </w:pPr>
      <w:r w:rsidRPr="00CB5050">
        <w:rPr>
          <w:rFonts w:eastAsia="Calibri"/>
        </w:rPr>
        <w:t xml:space="preserve">Iz sodbe je moč razbrati, da Sodišče EU nasprotuje nacionalni ureditvi s področja socialne varnosti, ki za pridobitev pravice osebam, ki so v enakem položaju, nalaga določenemu spolu dodatne pogoje. 28. člen ZPIZ-2 je razumeti, da je za znižanje starostne meje za pridobitev pravice do starostne pokojnine, potrebno le, da je mati skrbela za otroka prvo leto otrokovega življenja. Zakon to pravico ne pogojuje s tem, da je v tem času tudi uživala pravico do nadomestila iz naslova starševstva, medtem ko je pri moškem slednje pogoj za pridobitev pravice do znižanja starostne meje za pridobitev pravice do starostne pokojnine. </w:t>
      </w:r>
    </w:p>
    <w:p w14:paraId="7371896D" w14:textId="77777777" w:rsidR="00695AE2" w:rsidRPr="00CB5050" w:rsidRDefault="00695AE2" w:rsidP="00695AE2">
      <w:pPr>
        <w:spacing w:line="240" w:lineRule="auto"/>
        <w:jc w:val="both"/>
        <w:rPr>
          <w:rFonts w:eastAsia="Calibri"/>
        </w:rPr>
      </w:pPr>
    </w:p>
    <w:p w14:paraId="65B20B70" w14:textId="77777777" w:rsidR="00695AE2" w:rsidRPr="00CB5050" w:rsidRDefault="00695AE2" w:rsidP="00695AE2">
      <w:pPr>
        <w:spacing w:line="240" w:lineRule="auto"/>
        <w:jc w:val="both"/>
        <w:rPr>
          <w:rFonts w:eastAsia="Times New Roman"/>
        </w:rPr>
      </w:pPr>
      <w:r w:rsidRPr="00CB5050">
        <w:rPr>
          <w:rFonts w:eastAsia="Calibri"/>
        </w:rPr>
        <w:lastRenderedPageBreak/>
        <w:t>Državno odvetništvo RS je mnenja, da je sedaj veljavna ureditev problematična z vidika načela enakega obravnavanja žensk in moških ter bi bila ustreznejša ureditev, ki bi oba spola obravnavala enako, torej ureditev brez dodatnega pogoja (v konkretnem primeru za moške) za uveljavljanje iste pravice.</w:t>
      </w:r>
    </w:p>
    <w:bookmarkEnd w:id="616"/>
    <w:bookmarkEnd w:id="617"/>
    <w:bookmarkEnd w:id="618"/>
    <w:p w14:paraId="7A6DB6CE" w14:textId="77777777" w:rsidR="00695AE2" w:rsidRPr="00CB5050" w:rsidRDefault="00695AE2" w:rsidP="00695AE2">
      <w:pPr>
        <w:spacing w:line="240" w:lineRule="auto"/>
        <w:jc w:val="both"/>
        <w:rPr>
          <w:rFonts w:eastAsia="Times New Roman"/>
          <w:color w:val="000000"/>
          <w:sz w:val="32"/>
          <w:szCs w:val="32"/>
          <w:lang w:eastAsia="sl-SI"/>
        </w:rPr>
      </w:pPr>
    </w:p>
    <w:p w14:paraId="5E0AE4FC" w14:textId="77777777" w:rsidR="00695AE2" w:rsidRPr="00CB5050" w:rsidRDefault="00695AE2" w:rsidP="00695AE2">
      <w:pPr>
        <w:pStyle w:val="Naslov2"/>
      </w:pPr>
      <w:bookmarkStart w:id="620" w:name="_Toc95149747"/>
      <w:bookmarkStart w:id="621" w:name="_Toc168844965"/>
      <w:bookmarkStart w:id="622" w:name="_Toc191561941"/>
      <w:bookmarkStart w:id="623" w:name="_Toc223093942"/>
      <w:r w:rsidRPr="00CB5050">
        <w:t>Predhodni postopki</w:t>
      </w:r>
      <w:bookmarkEnd w:id="620"/>
      <w:bookmarkEnd w:id="621"/>
      <w:bookmarkEnd w:id="622"/>
      <w:bookmarkEnd w:id="623"/>
    </w:p>
    <w:p w14:paraId="62FF83F7" w14:textId="77777777" w:rsidR="00695AE2" w:rsidRPr="00CB5050" w:rsidRDefault="00695AE2" w:rsidP="00695AE2">
      <w:pPr>
        <w:spacing w:line="240" w:lineRule="auto"/>
        <w:rPr>
          <w:rFonts w:eastAsia="Calibri"/>
          <w:b/>
          <w:sz w:val="32"/>
          <w:szCs w:val="32"/>
        </w:rPr>
      </w:pPr>
    </w:p>
    <w:p w14:paraId="7F76948F" w14:textId="77777777" w:rsidR="00695AE2" w:rsidRPr="00CB5050" w:rsidRDefault="00695AE2" w:rsidP="00695AE2">
      <w:pPr>
        <w:pStyle w:val="Naslov3"/>
      </w:pPr>
      <w:bookmarkStart w:id="624" w:name="_Toc95149748"/>
      <w:bookmarkStart w:id="625" w:name="_Toc168844966"/>
      <w:bookmarkStart w:id="626" w:name="_Toc191561942"/>
      <w:bookmarkStart w:id="627" w:name="_Toc223093943"/>
      <w:r w:rsidRPr="00CB5050">
        <w:t>Postopki po 5. oddelku II. poglavja ZDOdv</w:t>
      </w:r>
      <w:bookmarkEnd w:id="624"/>
      <w:bookmarkEnd w:id="625"/>
      <w:bookmarkEnd w:id="626"/>
      <w:bookmarkEnd w:id="627"/>
    </w:p>
    <w:p w14:paraId="032E3F7E" w14:textId="77777777" w:rsidR="00695AE2" w:rsidRPr="00CB5050" w:rsidRDefault="00695AE2" w:rsidP="00695AE2">
      <w:pPr>
        <w:spacing w:line="240" w:lineRule="auto"/>
        <w:rPr>
          <w:rFonts w:eastAsia="Calibri"/>
          <w:sz w:val="28"/>
          <w:szCs w:val="28"/>
        </w:rPr>
      </w:pPr>
    </w:p>
    <w:p w14:paraId="20467CE6" w14:textId="77777777" w:rsidR="00695AE2" w:rsidRPr="00CB5050" w:rsidRDefault="00695AE2" w:rsidP="00695AE2">
      <w:pPr>
        <w:pStyle w:val="Naslov4"/>
      </w:pPr>
      <w:bookmarkStart w:id="628" w:name="_Toc168844967"/>
      <w:bookmarkStart w:id="629" w:name="_Toc191561943"/>
      <w:bookmarkStart w:id="630" w:name="_Toc223093944"/>
      <w:r w:rsidRPr="00CB5050">
        <w:t>Uvod</w:t>
      </w:r>
      <w:bookmarkStart w:id="631" w:name="_Toc95149749"/>
      <w:bookmarkEnd w:id="628"/>
      <w:bookmarkEnd w:id="629"/>
      <w:bookmarkEnd w:id="630"/>
    </w:p>
    <w:p w14:paraId="4B3238E8" w14:textId="77777777" w:rsidR="00695AE2" w:rsidRPr="00CB5050" w:rsidRDefault="00695AE2" w:rsidP="00695AE2">
      <w:pPr>
        <w:pStyle w:val="Jasna"/>
      </w:pPr>
    </w:p>
    <w:p w14:paraId="60BDF359"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Določbe ZDOdv glede obveznega predhodnega postopka poskusa mirne rešitve spora, skladno s katerimi mora, kdor namerava začeti pravdni ali drug postopek proti državi ali državnemu organu, državnemu odvetništvu predhodno predlagati, naj se sporno razmerje na miren način reši pred uvedbo pravdnega ali drugega postopka, imajo z vidika prizadevanja države za zmanjšanje sodnih postopkov in s tem razbremenitve sodišč ter hkrati tudi razbremenitve države kot možnega dolžnika, nedvomno velik pomen.</w:t>
      </w:r>
    </w:p>
    <w:p w14:paraId="722D79B7" w14:textId="77777777" w:rsidR="00695AE2" w:rsidRPr="00CB5050" w:rsidRDefault="00695AE2" w:rsidP="00695AE2">
      <w:pPr>
        <w:spacing w:line="240" w:lineRule="auto"/>
        <w:jc w:val="both"/>
        <w:rPr>
          <w:rFonts w:eastAsia="Times New Roman"/>
          <w:lang w:eastAsia="sl-SI"/>
        </w:rPr>
      </w:pPr>
    </w:p>
    <w:p w14:paraId="55A36042" w14:textId="77777777" w:rsidR="00695AE2" w:rsidRPr="00CB5050" w:rsidRDefault="00695AE2" w:rsidP="00695AE2">
      <w:pPr>
        <w:spacing w:line="240" w:lineRule="auto"/>
        <w:jc w:val="both"/>
        <w:rPr>
          <w:rFonts w:eastAsia="Calibri"/>
        </w:rPr>
      </w:pPr>
      <w:r w:rsidRPr="00CB5050">
        <w:rPr>
          <w:rFonts w:eastAsia="Calibri"/>
        </w:rPr>
        <w:t>Predhodni postopek se zaključi ali s sklenitvijo sporazuma ali z izdajo potrdila o neuspelem poskusu mirne rešitve spora. Ko se postopek mirne rešitve spora ne reši na miren način s sklenitvijo sporazuma, mora namreč Državno odvetništvo RS izdati potrdilo o neuspelem poskusu mirne rešitve spora. Kdor namerava začeti pravdni ali drug postopek proti državi ali državnemu organu, pristojnemu sodišču ali drugemu organu predloži potrdilo o neuspelem poskusu mirne rešitve spora v predhodnem postopku, sicer se tožba ali drug predlog za začetek postopka s sklepom zavrže</w:t>
      </w:r>
      <w:r w:rsidRPr="00CB5050">
        <w:rPr>
          <w:rFonts w:eastAsia="Times New Roman"/>
          <w:lang w:eastAsia="sl-SI"/>
        </w:rPr>
        <w:t xml:space="preserve">. Predhodni </w:t>
      </w:r>
      <w:r w:rsidRPr="00CB5050">
        <w:rPr>
          <w:rFonts w:eastAsia="Calibri"/>
        </w:rPr>
        <w:t>postopek je torej pogoj za uvedbo pravdnega ali drugega postopka.</w:t>
      </w:r>
    </w:p>
    <w:p w14:paraId="77B0AAB3" w14:textId="77777777" w:rsidR="00695AE2" w:rsidRPr="00CB5050" w:rsidRDefault="00695AE2" w:rsidP="00695AE2">
      <w:pPr>
        <w:spacing w:line="240" w:lineRule="auto"/>
        <w:jc w:val="both"/>
        <w:rPr>
          <w:rFonts w:eastAsia="Calibri"/>
        </w:rPr>
      </w:pPr>
    </w:p>
    <w:p w14:paraId="4F91965A" w14:textId="77777777" w:rsidR="00695AE2" w:rsidRPr="00CB5050" w:rsidRDefault="00695AE2" w:rsidP="00695AE2">
      <w:pPr>
        <w:pStyle w:val="Naslov4"/>
      </w:pPr>
      <w:bookmarkStart w:id="632" w:name="_Toc168844968"/>
      <w:bookmarkStart w:id="633" w:name="_Toc191561944"/>
      <w:bookmarkStart w:id="634" w:name="_Toc223093945"/>
      <w:r w:rsidRPr="00CB5050">
        <w:t>Statisti</w:t>
      </w:r>
      <w:bookmarkEnd w:id="631"/>
      <w:bookmarkEnd w:id="632"/>
      <w:r w:rsidRPr="00CB5050">
        <w:t>čni podatki</w:t>
      </w:r>
      <w:bookmarkEnd w:id="633"/>
      <w:bookmarkEnd w:id="634"/>
    </w:p>
    <w:p w14:paraId="1F41E851" w14:textId="77777777" w:rsidR="00695AE2" w:rsidRPr="00CB5050" w:rsidRDefault="00695AE2" w:rsidP="00695AE2">
      <w:pPr>
        <w:spacing w:line="240" w:lineRule="auto"/>
        <w:rPr>
          <w:rFonts w:eastAsia="Calibri"/>
        </w:rPr>
      </w:pPr>
    </w:p>
    <w:p w14:paraId="3E7A3B4D" w14:textId="77777777" w:rsidR="00695AE2" w:rsidRPr="00CB5050" w:rsidRDefault="00695AE2" w:rsidP="00695AE2">
      <w:pPr>
        <w:spacing w:line="240" w:lineRule="auto"/>
        <w:rPr>
          <w:rFonts w:eastAsia="Calibri"/>
          <w:szCs w:val="22"/>
        </w:rPr>
      </w:pPr>
      <w:r w:rsidRPr="00CB5050">
        <w:rPr>
          <w:rFonts w:eastAsia="Calibri"/>
          <w:szCs w:val="22"/>
        </w:rPr>
        <w:t>Državno odvetništvo RS je v letu 2025 v predhodnem postopku prejelo 484 zadev, in sicer so se zadeve zabeležile v naslednje vpisnike:</w:t>
      </w:r>
    </w:p>
    <w:p w14:paraId="7241C493" w14:textId="77777777" w:rsidR="00695AE2" w:rsidRPr="00CB5050" w:rsidRDefault="00695AE2" w:rsidP="00695AE2">
      <w:pPr>
        <w:numPr>
          <w:ilvl w:val="0"/>
          <w:numId w:val="123"/>
        </w:numPr>
        <w:spacing w:after="160" w:line="240" w:lineRule="auto"/>
        <w:contextualSpacing/>
        <w:jc w:val="both"/>
        <w:rPr>
          <w:rFonts w:eastAsia="Calibri"/>
          <w:szCs w:val="22"/>
        </w:rPr>
      </w:pPr>
      <w:r w:rsidRPr="00CB5050">
        <w:rPr>
          <w:rFonts w:eastAsia="Calibri"/>
          <w:szCs w:val="22"/>
        </w:rPr>
        <w:t>P vpisnik: 458 civilnopravnih in gospodarskih zadev ter delovnopravnih in socialnopravnih zadev;</w:t>
      </w:r>
    </w:p>
    <w:p w14:paraId="601F1FCE" w14:textId="77777777" w:rsidR="00695AE2" w:rsidRPr="00CB5050" w:rsidRDefault="00695AE2" w:rsidP="00695AE2">
      <w:pPr>
        <w:numPr>
          <w:ilvl w:val="0"/>
          <w:numId w:val="123"/>
        </w:numPr>
        <w:spacing w:after="160" w:line="240" w:lineRule="auto"/>
        <w:contextualSpacing/>
        <w:jc w:val="both"/>
        <w:rPr>
          <w:rFonts w:eastAsia="Calibri"/>
          <w:szCs w:val="22"/>
        </w:rPr>
      </w:pPr>
      <w:r w:rsidRPr="00CB5050">
        <w:rPr>
          <w:rFonts w:eastAsia="Calibri"/>
          <w:szCs w:val="22"/>
        </w:rPr>
        <w:t>PIZ vpisnik: zadev, v katerih bi oškodovanci zahtevali odškodnino po Zakonu o povračilu škode osebam, izbrisanim iz registra stalnega prebivalstva (vpisnik PIZ), v letu 2025 ni bilo prejetih;</w:t>
      </w:r>
    </w:p>
    <w:p w14:paraId="25140AF6" w14:textId="77777777" w:rsidR="00695AE2" w:rsidRPr="00CB5050" w:rsidRDefault="00695AE2" w:rsidP="00695AE2">
      <w:pPr>
        <w:numPr>
          <w:ilvl w:val="0"/>
          <w:numId w:val="123"/>
        </w:numPr>
        <w:spacing w:after="160" w:line="240" w:lineRule="auto"/>
        <w:contextualSpacing/>
        <w:jc w:val="both"/>
        <w:rPr>
          <w:rFonts w:eastAsia="Calibri"/>
          <w:szCs w:val="22"/>
        </w:rPr>
      </w:pPr>
      <w:r w:rsidRPr="00CB5050">
        <w:rPr>
          <w:rFonts w:eastAsia="Calibri"/>
          <w:szCs w:val="22"/>
        </w:rPr>
        <w:t>I vpisnik: 5 zadev v zvezi z Zakonom o izvršbi in zavarovanju in</w:t>
      </w:r>
    </w:p>
    <w:p w14:paraId="0CF55324" w14:textId="77777777" w:rsidR="00695AE2" w:rsidRPr="00CB5050" w:rsidRDefault="00695AE2" w:rsidP="00695AE2">
      <w:pPr>
        <w:numPr>
          <w:ilvl w:val="0"/>
          <w:numId w:val="123"/>
        </w:numPr>
        <w:spacing w:after="160" w:line="240" w:lineRule="auto"/>
        <w:contextualSpacing/>
        <w:jc w:val="both"/>
        <w:rPr>
          <w:rFonts w:eastAsia="Calibri"/>
          <w:szCs w:val="22"/>
        </w:rPr>
      </w:pPr>
      <w:r w:rsidRPr="00CB5050">
        <w:rPr>
          <w:rFonts w:eastAsia="Calibri"/>
          <w:szCs w:val="22"/>
        </w:rPr>
        <w:t>N vpisnik: 21 zadev.</w:t>
      </w:r>
    </w:p>
    <w:p w14:paraId="3A834267" w14:textId="77777777" w:rsidR="00695AE2" w:rsidRPr="00CB5050" w:rsidRDefault="00695AE2" w:rsidP="00695AE2">
      <w:pPr>
        <w:tabs>
          <w:tab w:val="left" w:pos="3173"/>
        </w:tabs>
        <w:spacing w:line="240" w:lineRule="auto"/>
        <w:rPr>
          <w:rFonts w:eastAsia="Calibri"/>
        </w:rPr>
      </w:pPr>
      <w:r w:rsidRPr="00CB5050">
        <w:rPr>
          <w:rFonts w:eastAsia="Calibri"/>
        </w:rPr>
        <w:tab/>
      </w:r>
    </w:p>
    <w:p w14:paraId="58973758" w14:textId="77777777" w:rsidR="00695AE2" w:rsidRPr="00CB5050" w:rsidRDefault="00695AE2" w:rsidP="00695AE2">
      <w:pPr>
        <w:spacing w:line="240" w:lineRule="auto"/>
        <w:jc w:val="both"/>
        <w:rPr>
          <w:rFonts w:eastAsia="Calibri"/>
          <w:szCs w:val="22"/>
        </w:rPr>
      </w:pPr>
      <w:r w:rsidRPr="00CB5050">
        <w:rPr>
          <w:rFonts w:eastAsia="Calibri"/>
          <w:szCs w:val="22"/>
        </w:rPr>
        <w:t>V letu 2025 je imelo Državno odvetništvo RS v delu 757 zadev v predhodnih postopkih, zaključilo jih je 494, na dan 31. 12. 2025 pa je bilo odprtih še 263 zadev v predhodnih postopkih.</w:t>
      </w:r>
    </w:p>
    <w:p w14:paraId="3C330136" w14:textId="77777777" w:rsidR="00695AE2" w:rsidRPr="00CB5050" w:rsidRDefault="00695AE2" w:rsidP="00695AE2">
      <w:pPr>
        <w:spacing w:line="240" w:lineRule="auto"/>
        <w:jc w:val="both"/>
        <w:rPr>
          <w:rFonts w:eastAsia="Calibri"/>
        </w:rPr>
      </w:pPr>
    </w:p>
    <w:p w14:paraId="0BC25115" w14:textId="77777777" w:rsidR="00695AE2" w:rsidRPr="00CB5050" w:rsidRDefault="00695AE2" w:rsidP="00695AE2">
      <w:pPr>
        <w:pStyle w:val="Naslov4"/>
      </w:pPr>
      <w:bookmarkStart w:id="635" w:name="_Toc95149750"/>
      <w:bookmarkStart w:id="636" w:name="_Toc168844969"/>
      <w:bookmarkStart w:id="637" w:name="_Toc191561945"/>
      <w:bookmarkStart w:id="638" w:name="_Toc223093946"/>
      <w:r w:rsidRPr="00CB5050">
        <w:t>Analiza primerjalnih vrednosti</w:t>
      </w:r>
      <w:bookmarkEnd w:id="635"/>
      <w:bookmarkEnd w:id="636"/>
      <w:bookmarkEnd w:id="637"/>
      <w:bookmarkEnd w:id="638"/>
    </w:p>
    <w:p w14:paraId="38AD4BA6" w14:textId="77777777" w:rsidR="00695AE2" w:rsidRPr="00CB5050" w:rsidRDefault="00695AE2" w:rsidP="00695AE2">
      <w:pPr>
        <w:spacing w:line="240" w:lineRule="auto"/>
        <w:rPr>
          <w:rFonts w:eastAsia="Calibri"/>
          <w:szCs w:val="22"/>
        </w:rPr>
      </w:pPr>
    </w:p>
    <w:p w14:paraId="6B3C01E8" w14:textId="77777777" w:rsidR="00695AE2" w:rsidRPr="009E2D63" w:rsidRDefault="00695AE2" w:rsidP="00695AE2">
      <w:pPr>
        <w:spacing w:line="240" w:lineRule="auto"/>
        <w:jc w:val="both"/>
        <w:rPr>
          <w:rFonts w:eastAsia="Calibri"/>
          <w:szCs w:val="22"/>
        </w:rPr>
      </w:pPr>
      <w:r w:rsidRPr="00CB5050">
        <w:rPr>
          <w:rFonts w:eastAsia="Calibri"/>
          <w:szCs w:val="22"/>
        </w:rPr>
        <w:lastRenderedPageBreak/>
        <w:t xml:space="preserve">Državno odvetništvo RS je v letu 2025 v predhodnem postopku prejelo 484 zadev, kar je 46,28 odstotka manj zadev kot leta 2024, ko je prejelo 901 zadevo. </w:t>
      </w:r>
    </w:p>
    <w:p w14:paraId="782222FB" w14:textId="77777777" w:rsidR="00695AE2" w:rsidRPr="00CB5050" w:rsidRDefault="00695AE2" w:rsidP="00695AE2">
      <w:pPr>
        <w:tabs>
          <w:tab w:val="left" w:pos="283"/>
        </w:tabs>
        <w:autoSpaceDE w:val="0"/>
        <w:autoSpaceDN w:val="0"/>
        <w:adjustRightInd w:val="0"/>
        <w:spacing w:before="20" w:after="20" w:line="240" w:lineRule="auto"/>
        <w:jc w:val="both"/>
        <w:textAlignment w:val="center"/>
        <w:rPr>
          <w:rFonts w:eastAsia="Calibri"/>
          <w:b/>
          <w:color w:val="007466"/>
          <w:spacing w:val="1"/>
          <w:sz w:val="20"/>
          <w:szCs w:val="20"/>
        </w:rPr>
      </w:pPr>
    </w:p>
    <w:p w14:paraId="50A4E135" w14:textId="77777777" w:rsidR="00695AE2" w:rsidRPr="00CB5050" w:rsidRDefault="00695AE2" w:rsidP="00695AE2">
      <w:pPr>
        <w:tabs>
          <w:tab w:val="left" w:pos="283"/>
        </w:tabs>
        <w:autoSpaceDE w:val="0"/>
        <w:autoSpaceDN w:val="0"/>
        <w:adjustRightInd w:val="0"/>
        <w:spacing w:before="20" w:after="20" w:line="240" w:lineRule="auto"/>
        <w:jc w:val="both"/>
        <w:textAlignment w:val="center"/>
        <w:rPr>
          <w:rFonts w:eastAsia="Calibri"/>
          <w:b/>
          <w:color w:val="007466"/>
          <w:spacing w:val="1"/>
          <w:sz w:val="20"/>
          <w:szCs w:val="20"/>
        </w:rPr>
      </w:pPr>
      <w:r w:rsidRPr="00CB5050">
        <w:rPr>
          <w:rFonts w:eastAsia="Calibri"/>
          <w:b/>
          <w:color w:val="007466"/>
          <w:spacing w:val="1"/>
          <w:sz w:val="20"/>
          <w:szCs w:val="20"/>
        </w:rPr>
        <w:t>Grafikon: Število prejetih zadev v predhodnih postopkih v vpisnikih I, N, P in PIZ – zbirno za obdobje 2021 – 2025</w:t>
      </w:r>
    </w:p>
    <w:p w14:paraId="606088FE" w14:textId="77777777" w:rsidR="00695AE2" w:rsidRPr="00CB5050" w:rsidRDefault="00695AE2" w:rsidP="00695AE2">
      <w:pPr>
        <w:tabs>
          <w:tab w:val="left" w:pos="283"/>
        </w:tabs>
        <w:autoSpaceDE w:val="0"/>
        <w:autoSpaceDN w:val="0"/>
        <w:adjustRightInd w:val="0"/>
        <w:spacing w:before="20" w:after="20" w:line="240" w:lineRule="auto"/>
        <w:ind w:firstLine="708"/>
        <w:jc w:val="center"/>
        <w:textAlignment w:val="center"/>
        <w:rPr>
          <w:rFonts w:eastAsia="Calibri"/>
          <w:color w:val="005600"/>
          <w:spacing w:val="1"/>
          <w:sz w:val="14"/>
          <w:szCs w:val="14"/>
        </w:rPr>
      </w:pPr>
    </w:p>
    <w:p w14:paraId="727450D6" w14:textId="77777777" w:rsidR="00695AE2" w:rsidRPr="00CB5050" w:rsidRDefault="00695AE2" w:rsidP="00695AE2">
      <w:pPr>
        <w:tabs>
          <w:tab w:val="left" w:pos="283"/>
        </w:tabs>
        <w:autoSpaceDE w:val="0"/>
        <w:autoSpaceDN w:val="0"/>
        <w:adjustRightInd w:val="0"/>
        <w:spacing w:before="20" w:after="20" w:line="240" w:lineRule="auto"/>
        <w:jc w:val="center"/>
        <w:textAlignment w:val="center"/>
        <w:rPr>
          <w:rFonts w:eastAsia="Calibri"/>
          <w:color w:val="005600"/>
          <w:spacing w:val="1"/>
          <w:sz w:val="14"/>
          <w:szCs w:val="14"/>
        </w:rPr>
      </w:pPr>
      <w:r w:rsidRPr="00CB5050">
        <w:rPr>
          <w:rFonts w:eastAsia="Calibri"/>
          <w:noProof/>
          <w:color w:val="005600"/>
          <w:spacing w:val="1"/>
          <w:sz w:val="14"/>
          <w:szCs w:val="14"/>
        </w:rPr>
        <w:drawing>
          <wp:inline distT="0" distB="0" distL="0" distR="0" wp14:anchorId="4A4BF234" wp14:editId="5E978403">
            <wp:extent cx="4584700" cy="2755900"/>
            <wp:effectExtent l="0" t="0" r="6350" b="6350"/>
            <wp:docPr id="531705524" name="Slika 2"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05524" name="Slika 2" descr="Slika, ki vsebuje besede besedilo, posnetek zaslona, pravokotnik, številka&#10;&#10;Vsebina, ustvarjena z UI, morda ni praviln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4E1667" w14:textId="77777777" w:rsidR="00695AE2" w:rsidRPr="00CB5050" w:rsidRDefault="00695AE2" w:rsidP="00695AE2">
      <w:pPr>
        <w:spacing w:line="240" w:lineRule="auto"/>
        <w:jc w:val="both"/>
        <w:rPr>
          <w:rFonts w:eastAsia="Calibri"/>
          <w:szCs w:val="22"/>
        </w:rPr>
      </w:pPr>
    </w:p>
    <w:p w14:paraId="15BE6694" w14:textId="77777777" w:rsidR="00695AE2" w:rsidRPr="00CB5050" w:rsidRDefault="00695AE2" w:rsidP="00695AE2">
      <w:pPr>
        <w:spacing w:line="240" w:lineRule="auto"/>
        <w:jc w:val="both"/>
        <w:rPr>
          <w:rFonts w:eastAsia="Calibri"/>
          <w:szCs w:val="22"/>
        </w:rPr>
      </w:pPr>
      <w:r w:rsidRPr="00CB5050">
        <w:rPr>
          <w:rFonts w:eastAsia="Calibri"/>
          <w:szCs w:val="22"/>
        </w:rPr>
        <w:t>Analiza podatkov za obdobje 2021 – 2025 kaže, da je bilo število zahtevkov, vloženih v predhodnih postopkih, v letih 2021, 2022 ter 2023 konstantno –  v povprečju jih je bilo 334 na leto. V letu 2024 se je število predhodnih postopkov izrazito povečalo, saj je Državno odvetništvo RS v letu 2024 prejelo kar 469 predhodnih zahtevkov sodnikov, vloženih zaradi v odločbi Ustavnega sodišča Republike Slovenije št. U-I-772/21-34 z dne 1. 6. 2023 ugotovljenega neskladja sodniških plač. V letu 2025 se je število predhodnih postopkov v primerjavi z letom 2024 zmanjšalo za približno polovico (46,28 odstotka manj zadev kot leta 2024), vendar je v primerjavi z leti pred letom 2024 oziroma v primerjavi s povprečjem prejetih novih predhodnih postopkov (334) še vedno precej višje (za 44,91 odstotka).</w:t>
      </w:r>
    </w:p>
    <w:p w14:paraId="44720AAA" w14:textId="77777777" w:rsidR="00695AE2" w:rsidRPr="00CB5050" w:rsidRDefault="00695AE2" w:rsidP="00695AE2">
      <w:pPr>
        <w:spacing w:line="240" w:lineRule="auto"/>
        <w:jc w:val="both"/>
        <w:rPr>
          <w:rFonts w:eastAsia="Calibri"/>
          <w:szCs w:val="22"/>
        </w:rPr>
      </w:pPr>
    </w:p>
    <w:p w14:paraId="660FFFDC" w14:textId="77777777" w:rsidR="00695AE2" w:rsidRPr="00CB5050" w:rsidRDefault="00695AE2" w:rsidP="00695AE2">
      <w:pPr>
        <w:spacing w:line="240" w:lineRule="auto"/>
        <w:jc w:val="both"/>
        <w:rPr>
          <w:rFonts w:eastAsia="Calibri"/>
          <w:szCs w:val="22"/>
        </w:rPr>
      </w:pPr>
      <w:r w:rsidRPr="00CB5050">
        <w:rPr>
          <w:rFonts w:eastAsia="Calibri"/>
          <w:szCs w:val="22"/>
        </w:rPr>
        <w:t>V letu 2025 je imelo Državno odvetništvo RS v delu 757 zadev v predhodnem postopku, kar je 36,06 odstotka manj kot v letu 2024, ko je imelo v delu 1.184 zadev.</w:t>
      </w:r>
    </w:p>
    <w:p w14:paraId="0ED78E8A" w14:textId="77777777" w:rsidR="00695AE2" w:rsidRPr="00CB5050" w:rsidRDefault="00695AE2" w:rsidP="00695AE2">
      <w:pPr>
        <w:spacing w:line="240" w:lineRule="auto"/>
        <w:jc w:val="both"/>
        <w:rPr>
          <w:rFonts w:eastAsia="Calibri"/>
          <w:color w:val="FF0000"/>
        </w:rPr>
      </w:pPr>
    </w:p>
    <w:p w14:paraId="7E840205"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zaključilo 494 zadev v predhodnem postopku, kar je 38,48 odstotka manj kot leta 2024, ko je zaključilo 803 zadeve. </w:t>
      </w:r>
    </w:p>
    <w:p w14:paraId="294E7B5E" w14:textId="77777777" w:rsidR="00695AE2" w:rsidRPr="00CB5050" w:rsidRDefault="00695AE2" w:rsidP="00695AE2">
      <w:pPr>
        <w:spacing w:line="240" w:lineRule="auto"/>
        <w:jc w:val="both"/>
        <w:rPr>
          <w:rFonts w:eastAsia="Calibri"/>
        </w:rPr>
      </w:pPr>
    </w:p>
    <w:p w14:paraId="42DFA13C" w14:textId="77777777" w:rsidR="00695AE2" w:rsidRPr="00CB5050" w:rsidRDefault="00695AE2" w:rsidP="00695AE2">
      <w:pPr>
        <w:spacing w:line="240" w:lineRule="auto"/>
        <w:jc w:val="both"/>
        <w:rPr>
          <w:rFonts w:eastAsia="Calibri"/>
          <w:szCs w:val="22"/>
        </w:rPr>
      </w:pPr>
      <w:r w:rsidRPr="00CB5050">
        <w:rPr>
          <w:rFonts w:eastAsia="Calibri"/>
          <w:szCs w:val="22"/>
        </w:rPr>
        <w:t>Na dan 31. 12. 2025 je bilo odprtih 263 zadev v predhodnih postopkih, kar je 30,97 odstotka manj kot na dan 31. 12. 2024, ko je bilo odprtih 381 zadev v predhodnih postopkih.</w:t>
      </w:r>
    </w:p>
    <w:p w14:paraId="18395DB4" w14:textId="77777777" w:rsidR="00695AE2" w:rsidRPr="00CB5050" w:rsidRDefault="00695AE2" w:rsidP="00695AE2">
      <w:pPr>
        <w:spacing w:line="240" w:lineRule="auto"/>
        <w:jc w:val="both"/>
        <w:rPr>
          <w:rFonts w:eastAsia="Calibri"/>
        </w:rPr>
      </w:pPr>
    </w:p>
    <w:p w14:paraId="6BCC933C" w14:textId="77777777" w:rsidR="00695AE2" w:rsidRPr="00CB5050" w:rsidRDefault="00695AE2" w:rsidP="00695AE2">
      <w:pPr>
        <w:spacing w:line="240" w:lineRule="auto"/>
        <w:rPr>
          <w:rFonts w:eastAsia="Calibri"/>
          <w:b/>
          <w:color w:val="007466"/>
          <w:sz w:val="20"/>
          <w:szCs w:val="20"/>
        </w:rPr>
      </w:pPr>
      <w:r w:rsidRPr="00CB5050">
        <w:rPr>
          <w:rFonts w:eastAsia="Calibri"/>
          <w:b/>
          <w:color w:val="007466"/>
          <w:sz w:val="20"/>
          <w:szCs w:val="20"/>
        </w:rPr>
        <w:t xml:space="preserve">Preglednica: Število prejetih zadev in število sklenjenih poravnav v vpisnikih I, N, P in PIZ </w:t>
      </w:r>
    </w:p>
    <w:p w14:paraId="223964A0" w14:textId="77777777" w:rsidR="00695AE2" w:rsidRPr="00CB5050" w:rsidRDefault="00695AE2" w:rsidP="00695AE2">
      <w:pPr>
        <w:spacing w:line="240" w:lineRule="auto"/>
        <w:jc w:val="both"/>
        <w:rPr>
          <w:rFonts w:eastAsia="Times New Roman"/>
          <w:color w:val="007466"/>
          <w:sz w:val="20"/>
          <w:szCs w:val="20"/>
        </w:rPr>
      </w:pPr>
    </w:p>
    <w:p w14:paraId="0ED62379" w14:textId="77777777" w:rsidR="00695AE2" w:rsidRPr="00CB5050" w:rsidRDefault="00695AE2" w:rsidP="00695AE2">
      <w:pPr>
        <w:spacing w:line="240" w:lineRule="auto"/>
        <w:jc w:val="both"/>
        <w:rPr>
          <w:rFonts w:eastAsia="Times New Roman"/>
          <w:color w:val="007466"/>
          <w:sz w:val="20"/>
          <w:szCs w:val="20"/>
        </w:rPr>
      </w:pPr>
      <w:r w:rsidRPr="00CB5050">
        <w:rPr>
          <w:rFonts w:eastAsia="Times New Roman"/>
          <w:color w:val="007466"/>
          <w:sz w:val="20"/>
          <w:szCs w:val="20"/>
        </w:rPr>
        <w:t xml:space="preserve">Pojasnilo k preglednici: </w:t>
      </w:r>
    </w:p>
    <w:p w14:paraId="481B8829" w14:textId="77777777" w:rsidR="00695AE2" w:rsidRPr="00CB5050" w:rsidRDefault="00695AE2" w:rsidP="00695AE2">
      <w:pPr>
        <w:spacing w:line="240" w:lineRule="auto"/>
        <w:jc w:val="both"/>
        <w:rPr>
          <w:rFonts w:eastAsia="Times New Roman"/>
          <w:color w:val="007466"/>
          <w:sz w:val="20"/>
          <w:szCs w:val="20"/>
        </w:rPr>
      </w:pPr>
    </w:p>
    <w:p w14:paraId="6343775E" w14:textId="77777777" w:rsidR="00695AE2" w:rsidRPr="00CB5050" w:rsidRDefault="00695AE2" w:rsidP="00695AE2">
      <w:pPr>
        <w:spacing w:line="240" w:lineRule="auto"/>
        <w:jc w:val="both"/>
        <w:rPr>
          <w:rFonts w:eastAsia="Calibri"/>
          <w:sz w:val="20"/>
          <w:szCs w:val="20"/>
        </w:rPr>
      </w:pPr>
      <w:r w:rsidRPr="00CB5050">
        <w:rPr>
          <w:rFonts w:eastAsia="Times New Roman"/>
          <w:sz w:val="20"/>
          <w:szCs w:val="20"/>
        </w:rPr>
        <w:t xml:space="preserve">Število prejetih zadev je pripad zadev v </w:t>
      </w:r>
      <w:r w:rsidRPr="00CB5050">
        <w:rPr>
          <w:rFonts w:eastAsia="Times New Roman"/>
          <w:color w:val="007466"/>
          <w:sz w:val="20"/>
          <w:szCs w:val="20"/>
        </w:rPr>
        <w:t>predhodnem postopku v letu 2025</w:t>
      </w:r>
      <w:r w:rsidRPr="00CB5050">
        <w:rPr>
          <w:rFonts w:eastAsia="Times New Roman"/>
          <w:sz w:val="20"/>
          <w:szCs w:val="20"/>
        </w:rPr>
        <w:t xml:space="preserve">, število sklenjenih poravnav pa se nanaša na sklenjene poravnave v letu 2025, ne glede na to, ali je bil zahtevek vložen v letu 2025 ali že v letu 2024. </w:t>
      </w:r>
      <w:r w:rsidRPr="00CB5050">
        <w:rPr>
          <w:rFonts w:eastAsia="Calibri"/>
          <w:sz w:val="20"/>
          <w:szCs w:val="20"/>
        </w:rPr>
        <w:t xml:space="preserve">Podatki o številu sklenjenih poravnav sicer izhajajo iz tabele 10 in tabele 11, v spodnji preglednici pa so zaradi boljše preglednosti predstavljeni zbirno po posameznih področjih dela (vpisnikih) ter po tudi organizacijskih enotah Državnega odvetništva RS. </w:t>
      </w:r>
    </w:p>
    <w:p w14:paraId="2E472F43" w14:textId="77777777" w:rsidR="00695AE2" w:rsidRPr="00CB5050" w:rsidRDefault="00695AE2" w:rsidP="00695AE2">
      <w:pPr>
        <w:spacing w:line="240" w:lineRule="auto"/>
        <w:rPr>
          <w:rFonts w:eastAsia="Calibri"/>
          <w:b/>
          <w:color w:val="007466"/>
          <w:sz w:val="20"/>
          <w:szCs w:val="20"/>
        </w:rPr>
      </w:pPr>
    </w:p>
    <w:p w14:paraId="7BECD635" w14:textId="77777777" w:rsidR="00695AE2" w:rsidRPr="00CB5050" w:rsidRDefault="00695AE2" w:rsidP="00695AE2">
      <w:pPr>
        <w:spacing w:line="240" w:lineRule="auto"/>
        <w:rPr>
          <w:rFonts w:eastAsia="Calibri"/>
          <w:b/>
          <w:color w:val="007466"/>
          <w:sz w:val="20"/>
          <w:szCs w:val="20"/>
        </w:rPr>
      </w:pPr>
    </w:p>
    <w:tbl>
      <w:tblPr>
        <w:tblStyle w:val="Tabelamrea4"/>
        <w:tblW w:w="0" w:type="auto"/>
        <w:jc w:val="center"/>
        <w:tblLook w:val="04A0" w:firstRow="1" w:lastRow="0" w:firstColumn="1" w:lastColumn="0" w:noHBand="0" w:noVBand="1"/>
      </w:tblPr>
      <w:tblGrid>
        <w:gridCol w:w="1061"/>
        <w:gridCol w:w="777"/>
        <w:gridCol w:w="790"/>
        <w:gridCol w:w="801"/>
        <w:gridCol w:w="812"/>
        <w:gridCol w:w="859"/>
        <w:gridCol w:w="767"/>
        <w:gridCol w:w="780"/>
        <w:gridCol w:w="790"/>
        <w:gridCol w:w="799"/>
        <w:gridCol w:w="826"/>
      </w:tblGrid>
      <w:tr w:rsidR="00695AE2" w:rsidRPr="00CB5050" w14:paraId="635C3429" w14:textId="77777777" w:rsidTr="00980493">
        <w:trPr>
          <w:jc w:val="center"/>
        </w:trPr>
        <w:tc>
          <w:tcPr>
            <w:tcW w:w="900" w:type="dxa"/>
          </w:tcPr>
          <w:p w14:paraId="47E2AA49" w14:textId="77777777" w:rsidR="00695AE2" w:rsidRPr="00CB5050" w:rsidRDefault="00695AE2" w:rsidP="00980493">
            <w:pPr>
              <w:jc w:val="center"/>
              <w:rPr>
                <w:rFonts w:eastAsia="Calibri" w:cs="Calibri"/>
                <w:sz w:val="20"/>
                <w:szCs w:val="20"/>
              </w:rPr>
            </w:pPr>
            <w:r w:rsidRPr="00CB5050">
              <w:rPr>
                <w:rFonts w:eastAsia="Calibri" w:cs="Calibri"/>
                <w:sz w:val="20"/>
                <w:szCs w:val="20"/>
              </w:rPr>
              <w:t>Predhodni postopek</w:t>
            </w:r>
          </w:p>
        </w:tc>
        <w:tc>
          <w:tcPr>
            <w:tcW w:w="3253" w:type="dxa"/>
            <w:gridSpan w:val="4"/>
          </w:tcPr>
          <w:p w14:paraId="5DAB963F" w14:textId="77777777" w:rsidR="00695AE2" w:rsidRPr="00CB5050" w:rsidRDefault="00695AE2" w:rsidP="00980493">
            <w:pPr>
              <w:jc w:val="center"/>
              <w:rPr>
                <w:rFonts w:eastAsia="Calibri" w:cs="Calibri"/>
                <w:sz w:val="20"/>
                <w:szCs w:val="20"/>
              </w:rPr>
            </w:pPr>
            <w:r w:rsidRPr="00CB5050">
              <w:rPr>
                <w:rFonts w:eastAsia="Calibri" w:cs="Calibri"/>
                <w:sz w:val="20"/>
                <w:szCs w:val="20"/>
              </w:rPr>
              <w:t>Število prejetih zadev</w:t>
            </w:r>
          </w:p>
        </w:tc>
        <w:tc>
          <w:tcPr>
            <w:tcW w:w="864" w:type="dxa"/>
          </w:tcPr>
          <w:p w14:paraId="1AAFE606" w14:textId="77777777" w:rsidR="00695AE2" w:rsidRPr="00CB5050" w:rsidRDefault="00695AE2" w:rsidP="00980493">
            <w:pPr>
              <w:jc w:val="center"/>
              <w:rPr>
                <w:rFonts w:eastAsia="Calibri" w:cs="Calibri"/>
                <w:sz w:val="20"/>
                <w:szCs w:val="20"/>
              </w:rPr>
            </w:pPr>
          </w:p>
        </w:tc>
        <w:tc>
          <w:tcPr>
            <w:tcW w:w="4045" w:type="dxa"/>
            <w:gridSpan w:val="5"/>
          </w:tcPr>
          <w:p w14:paraId="691846AC" w14:textId="77777777" w:rsidR="00695AE2" w:rsidRPr="00CB5050" w:rsidRDefault="00695AE2" w:rsidP="00980493">
            <w:pPr>
              <w:jc w:val="center"/>
              <w:rPr>
                <w:rFonts w:eastAsia="Calibri" w:cs="Calibri"/>
                <w:sz w:val="20"/>
                <w:szCs w:val="20"/>
              </w:rPr>
            </w:pPr>
            <w:r w:rsidRPr="00CB5050">
              <w:rPr>
                <w:rFonts w:eastAsia="Calibri" w:cs="Calibri"/>
                <w:sz w:val="20"/>
                <w:szCs w:val="20"/>
              </w:rPr>
              <w:t>Število sklenjenih poravnav</w:t>
            </w:r>
          </w:p>
        </w:tc>
      </w:tr>
      <w:tr w:rsidR="00695AE2" w:rsidRPr="00CB5050" w14:paraId="0A0C6807" w14:textId="77777777" w:rsidTr="00980493">
        <w:trPr>
          <w:jc w:val="center"/>
        </w:trPr>
        <w:tc>
          <w:tcPr>
            <w:tcW w:w="900" w:type="dxa"/>
          </w:tcPr>
          <w:p w14:paraId="6349F683" w14:textId="77777777" w:rsidR="00695AE2" w:rsidRPr="00CB5050" w:rsidRDefault="00695AE2" w:rsidP="00980493">
            <w:pPr>
              <w:jc w:val="center"/>
              <w:rPr>
                <w:rFonts w:eastAsia="Calibri" w:cs="Calibri"/>
                <w:sz w:val="20"/>
                <w:szCs w:val="20"/>
              </w:rPr>
            </w:pPr>
          </w:p>
        </w:tc>
        <w:tc>
          <w:tcPr>
            <w:tcW w:w="801" w:type="dxa"/>
          </w:tcPr>
          <w:p w14:paraId="2782F5D4" w14:textId="77777777" w:rsidR="00695AE2" w:rsidRPr="00CB5050" w:rsidRDefault="00695AE2" w:rsidP="00980493">
            <w:pPr>
              <w:jc w:val="center"/>
              <w:rPr>
                <w:rFonts w:eastAsia="Calibri" w:cs="Calibri"/>
                <w:sz w:val="20"/>
                <w:szCs w:val="20"/>
              </w:rPr>
            </w:pPr>
            <w:r w:rsidRPr="00CB5050">
              <w:rPr>
                <w:rFonts w:eastAsia="Calibri" w:cs="Calibri"/>
                <w:sz w:val="20"/>
                <w:szCs w:val="20"/>
              </w:rPr>
              <w:t>I</w:t>
            </w:r>
          </w:p>
        </w:tc>
        <w:tc>
          <w:tcPr>
            <w:tcW w:w="808" w:type="dxa"/>
          </w:tcPr>
          <w:p w14:paraId="661D919E" w14:textId="77777777" w:rsidR="00695AE2" w:rsidRPr="00CB5050" w:rsidRDefault="00695AE2" w:rsidP="00980493">
            <w:pPr>
              <w:jc w:val="center"/>
              <w:rPr>
                <w:rFonts w:eastAsia="Calibri" w:cs="Calibri"/>
                <w:sz w:val="20"/>
                <w:szCs w:val="20"/>
              </w:rPr>
            </w:pPr>
            <w:r w:rsidRPr="00CB5050">
              <w:rPr>
                <w:rFonts w:eastAsia="Calibri" w:cs="Calibri"/>
                <w:sz w:val="20"/>
                <w:szCs w:val="20"/>
              </w:rPr>
              <w:t>N</w:t>
            </w:r>
          </w:p>
        </w:tc>
        <w:tc>
          <w:tcPr>
            <w:tcW w:w="815" w:type="dxa"/>
          </w:tcPr>
          <w:p w14:paraId="17683ECE" w14:textId="77777777" w:rsidR="00695AE2" w:rsidRPr="00CB5050" w:rsidRDefault="00695AE2" w:rsidP="00980493">
            <w:pPr>
              <w:jc w:val="center"/>
              <w:rPr>
                <w:rFonts w:eastAsia="Calibri" w:cs="Calibri"/>
                <w:sz w:val="20"/>
                <w:szCs w:val="20"/>
              </w:rPr>
            </w:pPr>
            <w:r w:rsidRPr="00CB5050">
              <w:rPr>
                <w:rFonts w:eastAsia="Calibri" w:cs="Calibri"/>
                <w:sz w:val="20"/>
                <w:szCs w:val="20"/>
              </w:rPr>
              <w:t>P</w:t>
            </w:r>
          </w:p>
        </w:tc>
        <w:tc>
          <w:tcPr>
            <w:tcW w:w="829" w:type="dxa"/>
          </w:tcPr>
          <w:p w14:paraId="153E279A" w14:textId="77777777" w:rsidR="00695AE2" w:rsidRPr="00CB5050" w:rsidRDefault="00695AE2" w:rsidP="00980493">
            <w:pPr>
              <w:jc w:val="center"/>
              <w:rPr>
                <w:rFonts w:eastAsia="Calibri" w:cs="Calibri"/>
                <w:sz w:val="20"/>
                <w:szCs w:val="20"/>
              </w:rPr>
            </w:pPr>
            <w:r w:rsidRPr="00CB5050">
              <w:rPr>
                <w:rFonts w:eastAsia="Calibri" w:cs="Calibri"/>
                <w:sz w:val="20"/>
                <w:szCs w:val="20"/>
              </w:rPr>
              <w:t>PIZ</w:t>
            </w:r>
          </w:p>
        </w:tc>
        <w:tc>
          <w:tcPr>
            <w:tcW w:w="864" w:type="dxa"/>
          </w:tcPr>
          <w:p w14:paraId="0C81EC5B" w14:textId="77777777" w:rsidR="00695AE2" w:rsidRPr="00CB5050" w:rsidRDefault="00695AE2" w:rsidP="00980493">
            <w:pPr>
              <w:jc w:val="center"/>
              <w:rPr>
                <w:rFonts w:eastAsia="Calibri" w:cs="Calibri"/>
                <w:sz w:val="20"/>
                <w:szCs w:val="20"/>
              </w:rPr>
            </w:pPr>
            <w:r w:rsidRPr="00CB5050">
              <w:rPr>
                <w:rFonts w:eastAsia="Calibri" w:cs="Calibri"/>
                <w:sz w:val="20"/>
                <w:szCs w:val="20"/>
              </w:rPr>
              <w:t>Skupaj</w:t>
            </w:r>
          </w:p>
        </w:tc>
        <w:tc>
          <w:tcPr>
            <w:tcW w:w="789" w:type="dxa"/>
          </w:tcPr>
          <w:p w14:paraId="6F551561" w14:textId="77777777" w:rsidR="00695AE2" w:rsidRPr="00CB5050" w:rsidRDefault="00695AE2" w:rsidP="00980493">
            <w:pPr>
              <w:jc w:val="center"/>
              <w:rPr>
                <w:rFonts w:eastAsia="Calibri" w:cs="Calibri"/>
                <w:sz w:val="20"/>
                <w:szCs w:val="20"/>
              </w:rPr>
            </w:pPr>
            <w:r w:rsidRPr="00CB5050">
              <w:rPr>
                <w:rFonts w:eastAsia="Calibri" w:cs="Calibri"/>
                <w:sz w:val="20"/>
                <w:szCs w:val="20"/>
              </w:rPr>
              <w:t>I</w:t>
            </w:r>
          </w:p>
        </w:tc>
        <w:tc>
          <w:tcPr>
            <w:tcW w:w="802" w:type="dxa"/>
          </w:tcPr>
          <w:p w14:paraId="2E221E87" w14:textId="77777777" w:rsidR="00695AE2" w:rsidRPr="00CB5050" w:rsidRDefault="00695AE2" w:rsidP="00980493">
            <w:pPr>
              <w:jc w:val="center"/>
              <w:rPr>
                <w:rFonts w:eastAsia="Calibri" w:cs="Calibri"/>
                <w:sz w:val="20"/>
                <w:szCs w:val="20"/>
              </w:rPr>
            </w:pPr>
            <w:r w:rsidRPr="00CB5050">
              <w:rPr>
                <w:rFonts w:eastAsia="Calibri" w:cs="Calibri"/>
                <w:sz w:val="20"/>
                <w:szCs w:val="20"/>
              </w:rPr>
              <w:t>N</w:t>
            </w:r>
          </w:p>
        </w:tc>
        <w:tc>
          <w:tcPr>
            <w:tcW w:w="808" w:type="dxa"/>
          </w:tcPr>
          <w:p w14:paraId="6DF9F748" w14:textId="77777777" w:rsidR="00695AE2" w:rsidRPr="00CB5050" w:rsidRDefault="00695AE2" w:rsidP="00980493">
            <w:pPr>
              <w:jc w:val="center"/>
              <w:rPr>
                <w:rFonts w:eastAsia="Calibri" w:cs="Calibri"/>
                <w:sz w:val="20"/>
                <w:szCs w:val="20"/>
              </w:rPr>
            </w:pPr>
            <w:r w:rsidRPr="00CB5050">
              <w:rPr>
                <w:rFonts w:eastAsia="Calibri" w:cs="Calibri"/>
                <w:sz w:val="20"/>
                <w:szCs w:val="20"/>
              </w:rPr>
              <w:t>P</w:t>
            </w:r>
          </w:p>
        </w:tc>
        <w:tc>
          <w:tcPr>
            <w:tcW w:w="816" w:type="dxa"/>
          </w:tcPr>
          <w:p w14:paraId="299087FC" w14:textId="77777777" w:rsidR="00695AE2" w:rsidRPr="00CB5050" w:rsidRDefault="00695AE2" w:rsidP="00980493">
            <w:pPr>
              <w:jc w:val="center"/>
              <w:rPr>
                <w:rFonts w:eastAsia="Calibri" w:cs="Calibri"/>
                <w:sz w:val="20"/>
                <w:szCs w:val="20"/>
              </w:rPr>
            </w:pPr>
            <w:r w:rsidRPr="00CB5050">
              <w:rPr>
                <w:rFonts w:eastAsia="Calibri" w:cs="Calibri"/>
                <w:sz w:val="20"/>
                <w:szCs w:val="20"/>
              </w:rPr>
              <w:t>PIZ</w:t>
            </w:r>
          </w:p>
        </w:tc>
        <w:tc>
          <w:tcPr>
            <w:tcW w:w="830" w:type="dxa"/>
          </w:tcPr>
          <w:p w14:paraId="28BD87B8" w14:textId="77777777" w:rsidR="00695AE2" w:rsidRPr="00CB5050" w:rsidRDefault="00695AE2" w:rsidP="00980493">
            <w:pPr>
              <w:jc w:val="center"/>
              <w:rPr>
                <w:rFonts w:eastAsia="Calibri" w:cs="Calibri"/>
                <w:sz w:val="20"/>
                <w:szCs w:val="20"/>
              </w:rPr>
            </w:pPr>
            <w:r w:rsidRPr="00CB5050">
              <w:rPr>
                <w:rFonts w:eastAsia="Calibri" w:cs="Calibri"/>
                <w:sz w:val="20"/>
                <w:szCs w:val="20"/>
              </w:rPr>
              <w:t>Skupaj</w:t>
            </w:r>
          </w:p>
        </w:tc>
      </w:tr>
      <w:tr w:rsidR="00695AE2" w:rsidRPr="00CB5050" w14:paraId="37753B91" w14:textId="77777777" w:rsidTr="00980493">
        <w:trPr>
          <w:jc w:val="center"/>
        </w:trPr>
        <w:tc>
          <w:tcPr>
            <w:tcW w:w="900" w:type="dxa"/>
          </w:tcPr>
          <w:p w14:paraId="18FF8147" w14:textId="77777777" w:rsidR="00695AE2" w:rsidRPr="00CB5050" w:rsidRDefault="00695AE2" w:rsidP="00980493">
            <w:pPr>
              <w:jc w:val="center"/>
              <w:rPr>
                <w:rFonts w:eastAsia="Calibri" w:cs="Calibri"/>
                <w:sz w:val="20"/>
                <w:szCs w:val="20"/>
              </w:rPr>
            </w:pPr>
            <w:r w:rsidRPr="00CB5050">
              <w:rPr>
                <w:rFonts w:eastAsia="Calibri" w:cs="Calibri"/>
                <w:sz w:val="20"/>
                <w:szCs w:val="20"/>
              </w:rPr>
              <w:t>CE</w:t>
            </w:r>
          </w:p>
        </w:tc>
        <w:tc>
          <w:tcPr>
            <w:tcW w:w="801" w:type="dxa"/>
          </w:tcPr>
          <w:p w14:paraId="1D0F452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6DDBCFA3"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15" w:type="dxa"/>
          </w:tcPr>
          <w:p w14:paraId="24B99973" w14:textId="77777777" w:rsidR="00695AE2" w:rsidRPr="00CB5050" w:rsidRDefault="00695AE2" w:rsidP="00980493">
            <w:pPr>
              <w:jc w:val="center"/>
              <w:rPr>
                <w:rFonts w:eastAsia="Calibri" w:cs="Calibri"/>
                <w:sz w:val="20"/>
                <w:szCs w:val="20"/>
              </w:rPr>
            </w:pPr>
            <w:r w:rsidRPr="00CB5050">
              <w:rPr>
                <w:rFonts w:eastAsia="Calibri" w:cs="Calibri"/>
                <w:sz w:val="20"/>
                <w:szCs w:val="20"/>
              </w:rPr>
              <w:t>15</w:t>
            </w:r>
          </w:p>
        </w:tc>
        <w:tc>
          <w:tcPr>
            <w:tcW w:w="829" w:type="dxa"/>
          </w:tcPr>
          <w:p w14:paraId="7F40A6B7"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6E48C7CB" w14:textId="77777777" w:rsidR="00695AE2" w:rsidRPr="00CB5050" w:rsidRDefault="00695AE2" w:rsidP="00980493">
            <w:pPr>
              <w:jc w:val="center"/>
              <w:rPr>
                <w:rFonts w:eastAsia="Calibri" w:cs="Calibri"/>
                <w:sz w:val="20"/>
                <w:szCs w:val="20"/>
              </w:rPr>
            </w:pPr>
            <w:r w:rsidRPr="00CB5050">
              <w:rPr>
                <w:rFonts w:eastAsia="Calibri" w:cs="Calibri"/>
                <w:sz w:val="20"/>
                <w:szCs w:val="20"/>
              </w:rPr>
              <w:t>15</w:t>
            </w:r>
          </w:p>
        </w:tc>
        <w:tc>
          <w:tcPr>
            <w:tcW w:w="789" w:type="dxa"/>
          </w:tcPr>
          <w:p w14:paraId="7925A6C3"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347B75F6"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7F69203A"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6" w:type="dxa"/>
          </w:tcPr>
          <w:p w14:paraId="7F06444E"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2E7772A0"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r>
      <w:tr w:rsidR="00695AE2" w:rsidRPr="00CB5050" w14:paraId="77D4804D" w14:textId="77777777" w:rsidTr="00980493">
        <w:trPr>
          <w:jc w:val="center"/>
        </w:trPr>
        <w:tc>
          <w:tcPr>
            <w:tcW w:w="900" w:type="dxa"/>
          </w:tcPr>
          <w:p w14:paraId="277B028B" w14:textId="77777777" w:rsidR="00695AE2" w:rsidRPr="00CB5050" w:rsidRDefault="00695AE2" w:rsidP="00980493">
            <w:pPr>
              <w:jc w:val="center"/>
              <w:rPr>
                <w:rFonts w:eastAsia="Calibri" w:cs="Calibri"/>
                <w:sz w:val="20"/>
                <w:szCs w:val="20"/>
              </w:rPr>
            </w:pPr>
            <w:r w:rsidRPr="00CB5050">
              <w:rPr>
                <w:rFonts w:eastAsia="Calibri" w:cs="Calibri"/>
                <w:sz w:val="20"/>
                <w:szCs w:val="20"/>
              </w:rPr>
              <w:t>KP</w:t>
            </w:r>
          </w:p>
        </w:tc>
        <w:tc>
          <w:tcPr>
            <w:tcW w:w="801" w:type="dxa"/>
          </w:tcPr>
          <w:p w14:paraId="351D524F"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40EB62F0" w14:textId="77777777" w:rsidR="00695AE2" w:rsidRPr="00CB5050" w:rsidRDefault="00695AE2" w:rsidP="00980493">
            <w:pPr>
              <w:jc w:val="center"/>
              <w:rPr>
                <w:rFonts w:eastAsia="Calibri" w:cs="Calibri"/>
                <w:sz w:val="20"/>
                <w:szCs w:val="20"/>
              </w:rPr>
            </w:pPr>
            <w:r w:rsidRPr="00CB5050">
              <w:rPr>
                <w:rFonts w:eastAsia="Calibri" w:cs="Calibri"/>
                <w:sz w:val="20"/>
                <w:szCs w:val="20"/>
              </w:rPr>
              <w:t>15</w:t>
            </w:r>
          </w:p>
        </w:tc>
        <w:tc>
          <w:tcPr>
            <w:tcW w:w="815" w:type="dxa"/>
          </w:tcPr>
          <w:p w14:paraId="213F5A8B" w14:textId="77777777" w:rsidR="00695AE2" w:rsidRPr="00CB5050" w:rsidRDefault="00695AE2" w:rsidP="00980493">
            <w:pPr>
              <w:jc w:val="center"/>
              <w:rPr>
                <w:rFonts w:eastAsia="Calibri" w:cs="Calibri"/>
                <w:sz w:val="20"/>
                <w:szCs w:val="20"/>
              </w:rPr>
            </w:pPr>
            <w:r w:rsidRPr="00CB5050">
              <w:rPr>
                <w:rFonts w:eastAsia="Calibri" w:cs="Calibri"/>
                <w:sz w:val="20"/>
                <w:szCs w:val="20"/>
              </w:rPr>
              <w:t>31</w:t>
            </w:r>
          </w:p>
        </w:tc>
        <w:tc>
          <w:tcPr>
            <w:tcW w:w="829" w:type="dxa"/>
          </w:tcPr>
          <w:p w14:paraId="168159AB"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7B59C06C" w14:textId="77777777" w:rsidR="00695AE2" w:rsidRPr="00CB5050" w:rsidRDefault="00695AE2" w:rsidP="00980493">
            <w:pPr>
              <w:jc w:val="center"/>
              <w:rPr>
                <w:rFonts w:eastAsia="Calibri" w:cs="Calibri"/>
                <w:sz w:val="20"/>
                <w:szCs w:val="20"/>
              </w:rPr>
            </w:pPr>
            <w:r w:rsidRPr="00CB5050">
              <w:rPr>
                <w:rFonts w:eastAsia="Calibri" w:cs="Calibri"/>
                <w:sz w:val="20"/>
                <w:szCs w:val="20"/>
              </w:rPr>
              <w:t>46</w:t>
            </w:r>
          </w:p>
        </w:tc>
        <w:tc>
          <w:tcPr>
            <w:tcW w:w="789" w:type="dxa"/>
          </w:tcPr>
          <w:p w14:paraId="3D37DE2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23516B3C"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08" w:type="dxa"/>
          </w:tcPr>
          <w:p w14:paraId="058BAF12" w14:textId="77777777" w:rsidR="00695AE2" w:rsidRPr="00CB5050" w:rsidRDefault="00695AE2" w:rsidP="00980493">
            <w:pPr>
              <w:jc w:val="center"/>
              <w:rPr>
                <w:rFonts w:eastAsia="Calibri" w:cs="Calibri"/>
                <w:sz w:val="20"/>
                <w:szCs w:val="20"/>
              </w:rPr>
            </w:pPr>
            <w:r w:rsidRPr="00CB5050">
              <w:rPr>
                <w:rFonts w:eastAsia="Calibri" w:cs="Calibri"/>
                <w:sz w:val="20"/>
                <w:szCs w:val="20"/>
              </w:rPr>
              <w:t>10</w:t>
            </w:r>
          </w:p>
        </w:tc>
        <w:tc>
          <w:tcPr>
            <w:tcW w:w="816" w:type="dxa"/>
          </w:tcPr>
          <w:p w14:paraId="5AC809F3"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473282E6" w14:textId="77777777" w:rsidR="00695AE2" w:rsidRPr="00CB5050" w:rsidRDefault="00695AE2" w:rsidP="00980493">
            <w:pPr>
              <w:jc w:val="center"/>
              <w:rPr>
                <w:rFonts w:eastAsia="Calibri" w:cs="Calibri"/>
                <w:sz w:val="20"/>
                <w:szCs w:val="20"/>
              </w:rPr>
            </w:pPr>
            <w:r w:rsidRPr="00CB5050">
              <w:rPr>
                <w:rFonts w:eastAsia="Calibri" w:cs="Calibri"/>
                <w:sz w:val="20"/>
                <w:szCs w:val="20"/>
              </w:rPr>
              <w:t>11</w:t>
            </w:r>
          </w:p>
        </w:tc>
      </w:tr>
      <w:tr w:rsidR="00695AE2" w:rsidRPr="00CB5050" w14:paraId="65C9613E" w14:textId="77777777" w:rsidTr="00980493">
        <w:trPr>
          <w:jc w:val="center"/>
        </w:trPr>
        <w:tc>
          <w:tcPr>
            <w:tcW w:w="900" w:type="dxa"/>
          </w:tcPr>
          <w:p w14:paraId="2E4B0681" w14:textId="77777777" w:rsidR="00695AE2" w:rsidRPr="00CB5050" w:rsidRDefault="00695AE2" w:rsidP="00980493">
            <w:pPr>
              <w:jc w:val="center"/>
              <w:rPr>
                <w:rFonts w:eastAsia="Calibri" w:cs="Calibri"/>
                <w:sz w:val="20"/>
                <w:szCs w:val="20"/>
              </w:rPr>
            </w:pPr>
            <w:r w:rsidRPr="00CB5050">
              <w:rPr>
                <w:rFonts w:eastAsia="Calibri" w:cs="Calibri"/>
                <w:sz w:val="20"/>
                <w:szCs w:val="20"/>
              </w:rPr>
              <w:t>KR</w:t>
            </w:r>
          </w:p>
        </w:tc>
        <w:tc>
          <w:tcPr>
            <w:tcW w:w="801" w:type="dxa"/>
          </w:tcPr>
          <w:p w14:paraId="0F455882"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72613E4D"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15" w:type="dxa"/>
          </w:tcPr>
          <w:p w14:paraId="17A01054" w14:textId="77777777" w:rsidR="00695AE2" w:rsidRPr="00CB5050" w:rsidRDefault="00695AE2" w:rsidP="00980493">
            <w:pPr>
              <w:jc w:val="center"/>
              <w:rPr>
                <w:rFonts w:eastAsia="Calibri" w:cs="Calibri"/>
                <w:sz w:val="20"/>
                <w:szCs w:val="20"/>
              </w:rPr>
            </w:pPr>
            <w:r w:rsidRPr="00CB5050">
              <w:rPr>
                <w:rFonts w:eastAsia="Calibri" w:cs="Calibri"/>
                <w:sz w:val="20"/>
                <w:szCs w:val="20"/>
              </w:rPr>
              <w:t>11</w:t>
            </w:r>
          </w:p>
        </w:tc>
        <w:tc>
          <w:tcPr>
            <w:tcW w:w="829" w:type="dxa"/>
          </w:tcPr>
          <w:p w14:paraId="729F1FD5"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5D952CDB" w14:textId="77777777" w:rsidR="00695AE2" w:rsidRPr="00CB5050" w:rsidRDefault="00695AE2" w:rsidP="00980493">
            <w:pPr>
              <w:jc w:val="center"/>
              <w:rPr>
                <w:rFonts w:eastAsia="Calibri" w:cs="Calibri"/>
                <w:sz w:val="20"/>
                <w:szCs w:val="20"/>
              </w:rPr>
            </w:pPr>
            <w:r w:rsidRPr="00CB5050">
              <w:rPr>
                <w:rFonts w:eastAsia="Calibri" w:cs="Calibri"/>
                <w:sz w:val="20"/>
                <w:szCs w:val="20"/>
              </w:rPr>
              <w:t>11</w:t>
            </w:r>
          </w:p>
        </w:tc>
        <w:tc>
          <w:tcPr>
            <w:tcW w:w="789" w:type="dxa"/>
          </w:tcPr>
          <w:p w14:paraId="3EE6BEC7"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35319D6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4B6F57D9"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6" w:type="dxa"/>
          </w:tcPr>
          <w:p w14:paraId="0989EFDC"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0BC37E1A"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r>
      <w:tr w:rsidR="00695AE2" w:rsidRPr="00CB5050" w14:paraId="52DB6517" w14:textId="77777777" w:rsidTr="00980493">
        <w:trPr>
          <w:jc w:val="center"/>
        </w:trPr>
        <w:tc>
          <w:tcPr>
            <w:tcW w:w="900" w:type="dxa"/>
          </w:tcPr>
          <w:p w14:paraId="79A47165" w14:textId="77777777" w:rsidR="00695AE2" w:rsidRPr="00CB5050" w:rsidRDefault="00695AE2" w:rsidP="00980493">
            <w:pPr>
              <w:jc w:val="center"/>
              <w:rPr>
                <w:rFonts w:eastAsia="Calibri" w:cs="Calibri"/>
                <w:sz w:val="20"/>
                <w:szCs w:val="20"/>
              </w:rPr>
            </w:pPr>
            <w:r w:rsidRPr="00CB5050">
              <w:rPr>
                <w:rFonts w:eastAsia="Calibri" w:cs="Calibri"/>
                <w:sz w:val="20"/>
                <w:szCs w:val="20"/>
              </w:rPr>
              <w:t>LJ</w:t>
            </w:r>
          </w:p>
        </w:tc>
        <w:tc>
          <w:tcPr>
            <w:tcW w:w="801" w:type="dxa"/>
          </w:tcPr>
          <w:p w14:paraId="349F22C8" w14:textId="77777777" w:rsidR="00695AE2" w:rsidRPr="00CB5050" w:rsidRDefault="00695AE2" w:rsidP="00980493">
            <w:pPr>
              <w:jc w:val="center"/>
              <w:rPr>
                <w:rFonts w:eastAsia="Calibri" w:cs="Calibri"/>
                <w:sz w:val="20"/>
                <w:szCs w:val="20"/>
              </w:rPr>
            </w:pPr>
            <w:r w:rsidRPr="00CB5050">
              <w:rPr>
                <w:rFonts w:eastAsia="Calibri" w:cs="Calibri"/>
                <w:sz w:val="20"/>
                <w:szCs w:val="20"/>
              </w:rPr>
              <w:t>4</w:t>
            </w:r>
          </w:p>
        </w:tc>
        <w:tc>
          <w:tcPr>
            <w:tcW w:w="808" w:type="dxa"/>
          </w:tcPr>
          <w:p w14:paraId="58062C7E" w14:textId="77777777" w:rsidR="00695AE2" w:rsidRPr="00CB5050" w:rsidRDefault="00695AE2" w:rsidP="00980493">
            <w:pPr>
              <w:jc w:val="center"/>
              <w:rPr>
                <w:rFonts w:eastAsia="Calibri" w:cs="Calibri"/>
                <w:sz w:val="20"/>
                <w:szCs w:val="20"/>
              </w:rPr>
            </w:pPr>
            <w:r w:rsidRPr="00CB5050">
              <w:rPr>
                <w:rFonts w:eastAsia="Calibri" w:cs="Calibri"/>
                <w:sz w:val="20"/>
                <w:szCs w:val="20"/>
              </w:rPr>
              <w:t>2</w:t>
            </w:r>
          </w:p>
        </w:tc>
        <w:tc>
          <w:tcPr>
            <w:tcW w:w="815" w:type="dxa"/>
          </w:tcPr>
          <w:p w14:paraId="7FE5D5CE" w14:textId="77777777" w:rsidR="00695AE2" w:rsidRPr="00CB5050" w:rsidRDefault="00695AE2" w:rsidP="00980493">
            <w:pPr>
              <w:jc w:val="center"/>
              <w:rPr>
                <w:rFonts w:eastAsia="Calibri" w:cs="Calibri"/>
                <w:sz w:val="20"/>
                <w:szCs w:val="20"/>
              </w:rPr>
            </w:pPr>
            <w:r w:rsidRPr="00CB5050">
              <w:rPr>
                <w:rFonts w:eastAsia="Calibri" w:cs="Calibri"/>
                <w:sz w:val="20"/>
                <w:szCs w:val="20"/>
              </w:rPr>
              <w:t>325</w:t>
            </w:r>
          </w:p>
        </w:tc>
        <w:tc>
          <w:tcPr>
            <w:tcW w:w="829" w:type="dxa"/>
          </w:tcPr>
          <w:p w14:paraId="2F483F97"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01BC5229" w14:textId="77777777" w:rsidR="00695AE2" w:rsidRPr="00CB5050" w:rsidRDefault="00695AE2" w:rsidP="00980493">
            <w:pPr>
              <w:jc w:val="center"/>
              <w:rPr>
                <w:rFonts w:eastAsia="Calibri" w:cs="Calibri"/>
                <w:sz w:val="20"/>
                <w:szCs w:val="20"/>
              </w:rPr>
            </w:pPr>
            <w:r w:rsidRPr="00CB5050">
              <w:rPr>
                <w:rFonts w:eastAsia="Calibri" w:cs="Calibri"/>
                <w:sz w:val="20"/>
                <w:szCs w:val="20"/>
              </w:rPr>
              <w:t>331</w:t>
            </w:r>
          </w:p>
        </w:tc>
        <w:tc>
          <w:tcPr>
            <w:tcW w:w="789" w:type="dxa"/>
          </w:tcPr>
          <w:p w14:paraId="30A89B4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4F58D479"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1DDBF7DB" w14:textId="77777777" w:rsidR="00695AE2" w:rsidRPr="00CB5050" w:rsidRDefault="00695AE2" w:rsidP="00980493">
            <w:pPr>
              <w:jc w:val="center"/>
              <w:rPr>
                <w:rFonts w:eastAsia="Calibri" w:cs="Calibri"/>
                <w:sz w:val="20"/>
                <w:szCs w:val="20"/>
              </w:rPr>
            </w:pPr>
            <w:r w:rsidRPr="00CB5050">
              <w:rPr>
                <w:rFonts w:eastAsia="Calibri" w:cs="Calibri"/>
                <w:sz w:val="20"/>
                <w:szCs w:val="20"/>
              </w:rPr>
              <w:t>53</w:t>
            </w:r>
          </w:p>
        </w:tc>
        <w:tc>
          <w:tcPr>
            <w:tcW w:w="816" w:type="dxa"/>
          </w:tcPr>
          <w:p w14:paraId="1AC0547E"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5F7627A2" w14:textId="77777777" w:rsidR="00695AE2" w:rsidRPr="00CB5050" w:rsidRDefault="00695AE2" w:rsidP="00980493">
            <w:pPr>
              <w:jc w:val="center"/>
              <w:rPr>
                <w:rFonts w:eastAsia="Calibri" w:cs="Calibri"/>
                <w:sz w:val="20"/>
                <w:szCs w:val="20"/>
              </w:rPr>
            </w:pPr>
            <w:r w:rsidRPr="00CB5050">
              <w:rPr>
                <w:rFonts w:eastAsia="Calibri" w:cs="Calibri"/>
                <w:sz w:val="20"/>
                <w:szCs w:val="20"/>
              </w:rPr>
              <w:t>53</w:t>
            </w:r>
          </w:p>
        </w:tc>
      </w:tr>
      <w:tr w:rsidR="00695AE2" w:rsidRPr="00CB5050" w14:paraId="4C3B9697" w14:textId="77777777" w:rsidTr="00980493">
        <w:trPr>
          <w:jc w:val="center"/>
        </w:trPr>
        <w:tc>
          <w:tcPr>
            <w:tcW w:w="900" w:type="dxa"/>
          </w:tcPr>
          <w:p w14:paraId="45C20B22" w14:textId="77777777" w:rsidR="00695AE2" w:rsidRPr="00CB5050" w:rsidRDefault="00695AE2" w:rsidP="00980493">
            <w:pPr>
              <w:jc w:val="center"/>
              <w:rPr>
                <w:rFonts w:eastAsia="Calibri" w:cs="Calibri"/>
                <w:sz w:val="20"/>
                <w:szCs w:val="20"/>
              </w:rPr>
            </w:pPr>
            <w:r w:rsidRPr="00CB5050">
              <w:rPr>
                <w:rFonts w:eastAsia="Calibri" w:cs="Calibri"/>
                <w:sz w:val="20"/>
                <w:szCs w:val="20"/>
              </w:rPr>
              <w:t>MB</w:t>
            </w:r>
          </w:p>
        </w:tc>
        <w:tc>
          <w:tcPr>
            <w:tcW w:w="801" w:type="dxa"/>
          </w:tcPr>
          <w:p w14:paraId="4031E0C8"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548932CB"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5" w:type="dxa"/>
          </w:tcPr>
          <w:p w14:paraId="2E6E834B" w14:textId="77777777" w:rsidR="00695AE2" w:rsidRPr="00CB5050" w:rsidRDefault="00695AE2" w:rsidP="00980493">
            <w:pPr>
              <w:jc w:val="center"/>
              <w:rPr>
                <w:rFonts w:eastAsia="Calibri" w:cs="Calibri"/>
                <w:sz w:val="20"/>
                <w:szCs w:val="20"/>
              </w:rPr>
            </w:pPr>
            <w:r w:rsidRPr="00CB5050">
              <w:rPr>
                <w:rFonts w:eastAsia="Calibri" w:cs="Calibri"/>
                <w:sz w:val="20"/>
                <w:szCs w:val="20"/>
              </w:rPr>
              <w:t>33</w:t>
            </w:r>
          </w:p>
        </w:tc>
        <w:tc>
          <w:tcPr>
            <w:tcW w:w="829" w:type="dxa"/>
          </w:tcPr>
          <w:p w14:paraId="60AF9D26"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4C2CB0E4" w14:textId="77777777" w:rsidR="00695AE2" w:rsidRPr="00CB5050" w:rsidRDefault="00695AE2" w:rsidP="00980493">
            <w:pPr>
              <w:jc w:val="center"/>
              <w:rPr>
                <w:rFonts w:eastAsia="Calibri" w:cs="Calibri"/>
                <w:sz w:val="20"/>
                <w:szCs w:val="20"/>
              </w:rPr>
            </w:pPr>
            <w:r w:rsidRPr="00CB5050">
              <w:rPr>
                <w:rFonts w:eastAsia="Calibri" w:cs="Calibri"/>
                <w:sz w:val="20"/>
                <w:szCs w:val="20"/>
              </w:rPr>
              <w:t>34</w:t>
            </w:r>
          </w:p>
        </w:tc>
        <w:tc>
          <w:tcPr>
            <w:tcW w:w="789" w:type="dxa"/>
          </w:tcPr>
          <w:p w14:paraId="698AFEDB"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14600435"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428E2744" w14:textId="77777777" w:rsidR="00695AE2" w:rsidRPr="00CB5050" w:rsidRDefault="00695AE2" w:rsidP="00980493">
            <w:pPr>
              <w:jc w:val="center"/>
              <w:rPr>
                <w:rFonts w:eastAsia="Calibri" w:cs="Calibri"/>
                <w:sz w:val="20"/>
                <w:szCs w:val="20"/>
              </w:rPr>
            </w:pPr>
            <w:r w:rsidRPr="00CB5050">
              <w:rPr>
                <w:rFonts w:eastAsia="Calibri" w:cs="Calibri"/>
                <w:sz w:val="20"/>
                <w:szCs w:val="20"/>
              </w:rPr>
              <w:t>2</w:t>
            </w:r>
          </w:p>
        </w:tc>
        <w:tc>
          <w:tcPr>
            <w:tcW w:w="816" w:type="dxa"/>
          </w:tcPr>
          <w:p w14:paraId="62853684"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2B89457D" w14:textId="77777777" w:rsidR="00695AE2" w:rsidRPr="00CB5050" w:rsidRDefault="00695AE2" w:rsidP="00980493">
            <w:pPr>
              <w:jc w:val="center"/>
              <w:rPr>
                <w:rFonts w:eastAsia="Calibri" w:cs="Calibri"/>
                <w:sz w:val="20"/>
                <w:szCs w:val="20"/>
              </w:rPr>
            </w:pPr>
            <w:r w:rsidRPr="00CB5050">
              <w:rPr>
                <w:rFonts w:eastAsia="Calibri" w:cs="Calibri"/>
                <w:sz w:val="20"/>
                <w:szCs w:val="20"/>
              </w:rPr>
              <w:t>2</w:t>
            </w:r>
          </w:p>
        </w:tc>
      </w:tr>
      <w:tr w:rsidR="00695AE2" w:rsidRPr="00CB5050" w14:paraId="4B80AA52" w14:textId="77777777" w:rsidTr="00980493">
        <w:trPr>
          <w:jc w:val="center"/>
        </w:trPr>
        <w:tc>
          <w:tcPr>
            <w:tcW w:w="900" w:type="dxa"/>
          </w:tcPr>
          <w:p w14:paraId="250CF1F4" w14:textId="77777777" w:rsidR="00695AE2" w:rsidRPr="00CB5050" w:rsidRDefault="00695AE2" w:rsidP="00980493">
            <w:pPr>
              <w:jc w:val="center"/>
              <w:rPr>
                <w:rFonts w:eastAsia="Calibri" w:cs="Calibri"/>
                <w:sz w:val="20"/>
                <w:szCs w:val="20"/>
              </w:rPr>
            </w:pPr>
            <w:r w:rsidRPr="00CB5050">
              <w:rPr>
                <w:rFonts w:eastAsia="Calibri" w:cs="Calibri"/>
                <w:sz w:val="20"/>
                <w:szCs w:val="20"/>
              </w:rPr>
              <w:t>MS</w:t>
            </w:r>
          </w:p>
        </w:tc>
        <w:tc>
          <w:tcPr>
            <w:tcW w:w="801" w:type="dxa"/>
          </w:tcPr>
          <w:p w14:paraId="7CAAE1F9"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42AC0079"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5" w:type="dxa"/>
          </w:tcPr>
          <w:p w14:paraId="5B9AF4E7" w14:textId="77777777" w:rsidR="00695AE2" w:rsidRPr="00CB5050" w:rsidRDefault="00695AE2" w:rsidP="00980493">
            <w:pPr>
              <w:jc w:val="center"/>
              <w:rPr>
                <w:rFonts w:eastAsia="Calibri" w:cs="Calibri"/>
                <w:sz w:val="20"/>
                <w:szCs w:val="20"/>
              </w:rPr>
            </w:pPr>
            <w:r w:rsidRPr="00CB5050">
              <w:rPr>
                <w:rFonts w:eastAsia="Calibri" w:cs="Calibri"/>
                <w:sz w:val="20"/>
                <w:szCs w:val="20"/>
              </w:rPr>
              <w:t>4</w:t>
            </w:r>
          </w:p>
        </w:tc>
        <w:tc>
          <w:tcPr>
            <w:tcW w:w="829" w:type="dxa"/>
          </w:tcPr>
          <w:p w14:paraId="62B21EAD"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664FCE1A" w14:textId="77777777" w:rsidR="00695AE2" w:rsidRPr="00CB5050" w:rsidRDefault="00695AE2" w:rsidP="00980493">
            <w:pPr>
              <w:jc w:val="center"/>
              <w:rPr>
                <w:rFonts w:eastAsia="Calibri" w:cs="Calibri"/>
                <w:sz w:val="20"/>
                <w:szCs w:val="20"/>
              </w:rPr>
            </w:pPr>
            <w:r w:rsidRPr="00CB5050">
              <w:rPr>
                <w:rFonts w:eastAsia="Calibri" w:cs="Calibri"/>
                <w:sz w:val="20"/>
                <w:szCs w:val="20"/>
              </w:rPr>
              <w:t>5</w:t>
            </w:r>
          </w:p>
        </w:tc>
        <w:tc>
          <w:tcPr>
            <w:tcW w:w="789" w:type="dxa"/>
          </w:tcPr>
          <w:p w14:paraId="1EA2B3EF"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62DD8E4C"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68A8D578"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16" w:type="dxa"/>
          </w:tcPr>
          <w:p w14:paraId="301250F5"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49B8A437"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r>
      <w:tr w:rsidR="00695AE2" w:rsidRPr="00CB5050" w14:paraId="20850EE4" w14:textId="77777777" w:rsidTr="00980493">
        <w:trPr>
          <w:jc w:val="center"/>
        </w:trPr>
        <w:tc>
          <w:tcPr>
            <w:tcW w:w="900" w:type="dxa"/>
          </w:tcPr>
          <w:p w14:paraId="2212EB8D" w14:textId="77777777" w:rsidR="00695AE2" w:rsidRPr="00CB5050" w:rsidRDefault="00695AE2" w:rsidP="00980493">
            <w:pPr>
              <w:jc w:val="center"/>
              <w:rPr>
                <w:rFonts w:eastAsia="Calibri" w:cs="Calibri"/>
                <w:sz w:val="20"/>
                <w:szCs w:val="20"/>
              </w:rPr>
            </w:pPr>
            <w:r w:rsidRPr="00CB5050">
              <w:rPr>
                <w:rFonts w:eastAsia="Calibri" w:cs="Calibri"/>
                <w:sz w:val="20"/>
                <w:szCs w:val="20"/>
              </w:rPr>
              <w:t>NG</w:t>
            </w:r>
          </w:p>
        </w:tc>
        <w:tc>
          <w:tcPr>
            <w:tcW w:w="801" w:type="dxa"/>
          </w:tcPr>
          <w:p w14:paraId="4AE338F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0A0C62A6"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5" w:type="dxa"/>
          </w:tcPr>
          <w:p w14:paraId="18313FC4" w14:textId="77777777" w:rsidR="00695AE2" w:rsidRPr="00CB5050" w:rsidRDefault="00695AE2" w:rsidP="00980493">
            <w:pPr>
              <w:jc w:val="center"/>
              <w:rPr>
                <w:rFonts w:eastAsia="Calibri" w:cs="Calibri"/>
                <w:sz w:val="20"/>
                <w:szCs w:val="20"/>
              </w:rPr>
            </w:pPr>
            <w:r w:rsidRPr="00CB5050">
              <w:rPr>
                <w:rFonts w:eastAsia="Calibri" w:cs="Calibri"/>
                <w:sz w:val="20"/>
                <w:szCs w:val="20"/>
              </w:rPr>
              <w:t>14</w:t>
            </w:r>
          </w:p>
        </w:tc>
        <w:tc>
          <w:tcPr>
            <w:tcW w:w="829" w:type="dxa"/>
          </w:tcPr>
          <w:p w14:paraId="3468044A"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15796CAB" w14:textId="77777777" w:rsidR="00695AE2" w:rsidRPr="00CB5050" w:rsidRDefault="00695AE2" w:rsidP="00980493">
            <w:pPr>
              <w:jc w:val="center"/>
              <w:rPr>
                <w:rFonts w:eastAsia="Calibri" w:cs="Calibri"/>
                <w:sz w:val="20"/>
                <w:szCs w:val="20"/>
              </w:rPr>
            </w:pPr>
            <w:r w:rsidRPr="00CB5050">
              <w:rPr>
                <w:rFonts w:eastAsia="Calibri" w:cs="Calibri"/>
                <w:sz w:val="20"/>
                <w:szCs w:val="20"/>
              </w:rPr>
              <w:t>15</w:t>
            </w:r>
          </w:p>
        </w:tc>
        <w:tc>
          <w:tcPr>
            <w:tcW w:w="789" w:type="dxa"/>
          </w:tcPr>
          <w:p w14:paraId="6E4A912B"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3DB00F8A"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2650F0C9" w14:textId="77777777" w:rsidR="00695AE2" w:rsidRPr="00CB5050" w:rsidRDefault="00695AE2" w:rsidP="00980493">
            <w:pPr>
              <w:jc w:val="center"/>
              <w:rPr>
                <w:rFonts w:eastAsia="Calibri" w:cs="Calibri"/>
                <w:sz w:val="20"/>
                <w:szCs w:val="20"/>
              </w:rPr>
            </w:pPr>
            <w:r w:rsidRPr="00CB5050">
              <w:rPr>
                <w:rFonts w:eastAsia="Calibri" w:cs="Calibri"/>
                <w:sz w:val="20"/>
                <w:szCs w:val="20"/>
              </w:rPr>
              <w:t>4</w:t>
            </w:r>
          </w:p>
        </w:tc>
        <w:tc>
          <w:tcPr>
            <w:tcW w:w="816" w:type="dxa"/>
          </w:tcPr>
          <w:p w14:paraId="0A3205B9"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3C122E40" w14:textId="77777777" w:rsidR="00695AE2" w:rsidRPr="00CB5050" w:rsidRDefault="00695AE2" w:rsidP="00980493">
            <w:pPr>
              <w:jc w:val="center"/>
              <w:rPr>
                <w:rFonts w:eastAsia="Calibri" w:cs="Calibri"/>
                <w:sz w:val="20"/>
                <w:szCs w:val="20"/>
              </w:rPr>
            </w:pPr>
            <w:r w:rsidRPr="00CB5050">
              <w:rPr>
                <w:rFonts w:eastAsia="Calibri" w:cs="Calibri"/>
                <w:sz w:val="20"/>
                <w:szCs w:val="20"/>
              </w:rPr>
              <w:t>4</w:t>
            </w:r>
          </w:p>
        </w:tc>
      </w:tr>
      <w:tr w:rsidR="00695AE2" w:rsidRPr="00CB5050" w14:paraId="48B1E747" w14:textId="77777777" w:rsidTr="00980493">
        <w:trPr>
          <w:jc w:val="center"/>
        </w:trPr>
        <w:tc>
          <w:tcPr>
            <w:tcW w:w="900" w:type="dxa"/>
          </w:tcPr>
          <w:p w14:paraId="2B98F8CD" w14:textId="77777777" w:rsidR="00695AE2" w:rsidRPr="00CB5050" w:rsidRDefault="00695AE2" w:rsidP="00980493">
            <w:pPr>
              <w:jc w:val="center"/>
              <w:rPr>
                <w:rFonts w:eastAsia="Calibri" w:cs="Calibri"/>
                <w:sz w:val="20"/>
                <w:szCs w:val="20"/>
              </w:rPr>
            </w:pPr>
            <w:r w:rsidRPr="00CB5050">
              <w:rPr>
                <w:rFonts w:eastAsia="Calibri" w:cs="Calibri"/>
                <w:sz w:val="20"/>
                <w:szCs w:val="20"/>
              </w:rPr>
              <w:t>NM</w:t>
            </w:r>
          </w:p>
        </w:tc>
        <w:tc>
          <w:tcPr>
            <w:tcW w:w="801" w:type="dxa"/>
          </w:tcPr>
          <w:p w14:paraId="268D9E40"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21FCC58F"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5" w:type="dxa"/>
          </w:tcPr>
          <w:p w14:paraId="7933BD49" w14:textId="77777777" w:rsidR="00695AE2" w:rsidRPr="00CB5050" w:rsidRDefault="00695AE2" w:rsidP="00980493">
            <w:pPr>
              <w:jc w:val="center"/>
              <w:rPr>
                <w:rFonts w:eastAsia="Calibri" w:cs="Calibri"/>
                <w:sz w:val="20"/>
                <w:szCs w:val="20"/>
              </w:rPr>
            </w:pPr>
            <w:r w:rsidRPr="00CB5050">
              <w:rPr>
                <w:rFonts w:eastAsia="Calibri" w:cs="Calibri"/>
                <w:sz w:val="20"/>
                <w:szCs w:val="20"/>
              </w:rPr>
              <w:t>20</w:t>
            </w:r>
          </w:p>
        </w:tc>
        <w:tc>
          <w:tcPr>
            <w:tcW w:w="829" w:type="dxa"/>
          </w:tcPr>
          <w:p w14:paraId="50F19E84"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605B17AD" w14:textId="77777777" w:rsidR="00695AE2" w:rsidRPr="00CB5050" w:rsidRDefault="00695AE2" w:rsidP="00980493">
            <w:pPr>
              <w:jc w:val="center"/>
              <w:rPr>
                <w:rFonts w:eastAsia="Calibri" w:cs="Calibri"/>
                <w:sz w:val="20"/>
                <w:szCs w:val="20"/>
              </w:rPr>
            </w:pPr>
            <w:r w:rsidRPr="00CB5050">
              <w:rPr>
                <w:rFonts w:eastAsia="Calibri" w:cs="Calibri"/>
                <w:sz w:val="20"/>
                <w:szCs w:val="20"/>
              </w:rPr>
              <w:t>21</w:t>
            </w:r>
          </w:p>
        </w:tc>
        <w:tc>
          <w:tcPr>
            <w:tcW w:w="789" w:type="dxa"/>
          </w:tcPr>
          <w:p w14:paraId="21A82D0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4BD33B15"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018E658E" w14:textId="77777777" w:rsidR="00695AE2" w:rsidRPr="00CB5050" w:rsidRDefault="00695AE2" w:rsidP="00980493">
            <w:pPr>
              <w:jc w:val="center"/>
              <w:rPr>
                <w:rFonts w:eastAsia="Calibri" w:cs="Calibri"/>
                <w:sz w:val="20"/>
                <w:szCs w:val="20"/>
              </w:rPr>
            </w:pPr>
            <w:r w:rsidRPr="00CB5050">
              <w:rPr>
                <w:rFonts w:eastAsia="Calibri" w:cs="Calibri"/>
                <w:sz w:val="20"/>
                <w:szCs w:val="20"/>
              </w:rPr>
              <w:t>2</w:t>
            </w:r>
          </w:p>
        </w:tc>
        <w:tc>
          <w:tcPr>
            <w:tcW w:w="816" w:type="dxa"/>
          </w:tcPr>
          <w:p w14:paraId="4EDAB2A8"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3704A81B" w14:textId="77777777" w:rsidR="00695AE2" w:rsidRPr="00CB5050" w:rsidRDefault="00695AE2" w:rsidP="00980493">
            <w:pPr>
              <w:jc w:val="center"/>
              <w:rPr>
                <w:rFonts w:eastAsia="Calibri" w:cs="Calibri"/>
                <w:sz w:val="20"/>
                <w:szCs w:val="20"/>
              </w:rPr>
            </w:pPr>
            <w:r w:rsidRPr="00CB5050">
              <w:rPr>
                <w:rFonts w:eastAsia="Calibri" w:cs="Calibri"/>
                <w:sz w:val="20"/>
                <w:szCs w:val="20"/>
              </w:rPr>
              <w:t>2</w:t>
            </w:r>
          </w:p>
        </w:tc>
      </w:tr>
      <w:tr w:rsidR="00695AE2" w:rsidRPr="00CB5050" w14:paraId="453BE64D" w14:textId="77777777" w:rsidTr="00980493">
        <w:trPr>
          <w:jc w:val="center"/>
        </w:trPr>
        <w:tc>
          <w:tcPr>
            <w:tcW w:w="900" w:type="dxa"/>
          </w:tcPr>
          <w:p w14:paraId="6C0275F8" w14:textId="77777777" w:rsidR="00695AE2" w:rsidRPr="00CB5050" w:rsidRDefault="00695AE2" w:rsidP="00980493">
            <w:pPr>
              <w:jc w:val="center"/>
              <w:rPr>
                <w:rFonts w:eastAsia="Calibri" w:cs="Calibri"/>
                <w:sz w:val="20"/>
                <w:szCs w:val="20"/>
              </w:rPr>
            </w:pPr>
            <w:r w:rsidRPr="00CB5050">
              <w:rPr>
                <w:rFonts w:eastAsia="Calibri" w:cs="Calibri"/>
                <w:sz w:val="20"/>
                <w:szCs w:val="20"/>
              </w:rPr>
              <w:t>PT</w:t>
            </w:r>
          </w:p>
        </w:tc>
        <w:tc>
          <w:tcPr>
            <w:tcW w:w="801" w:type="dxa"/>
          </w:tcPr>
          <w:p w14:paraId="35748981"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08" w:type="dxa"/>
          </w:tcPr>
          <w:p w14:paraId="52CBEE9B"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15" w:type="dxa"/>
          </w:tcPr>
          <w:p w14:paraId="748D9ADB" w14:textId="77777777" w:rsidR="00695AE2" w:rsidRPr="00CB5050" w:rsidRDefault="00695AE2" w:rsidP="00980493">
            <w:pPr>
              <w:jc w:val="center"/>
              <w:rPr>
                <w:rFonts w:eastAsia="Calibri" w:cs="Calibri"/>
                <w:sz w:val="20"/>
                <w:szCs w:val="20"/>
              </w:rPr>
            </w:pPr>
            <w:r w:rsidRPr="00CB5050">
              <w:rPr>
                <w:rFonts w:eastAsia="Calibri" w:cs="Calibri"/>
                <w:sz w:val="20"/>
                <w:szCs w:val="20"/>
              </w:rPr>
              <w:t>5</w:t>
            </w:r>
          </w:p>
        </w:tc>
        <w:tc>
          <w:tcPr>
            <w:tcW w:w="829" w:type="dxa"/>
          </w:tcPr>
          <w:p w14:paraId="777AA8A2"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37A45067" w14:textId="77777777" w:rsidR="00695AE2" w:rsidRPr="00CB5050" w:rsidRDefault="00695AE2" w:rsidP="00980493">
            <w:pPr>
              <w:jc w:val="center"/>
              <w:rPr>
                <w:rFonts w:eastAsia="Calibri" w:cs="Calibri"/>
                <w:sz w:val="20"/>
                <w:szCs w:val="20"/>
              </w:rPr>
            </w:pPr>
            <w:r w:rsidRPr="00CB5050">
              <w:rPr>
                <w:rFonts w:eastAsia="Calibri" w:cs="Calibri"/>
                <w:sz w:val="20"/>
                <w:szCs w:val="20"/>
              </w:rPr>
              <w:t>6</w:t>
            </w:r>
          </w:p>
        </w:tc>
        <w:tc>
          <w:tcPr>
            <w:tcW w:w="789" w:type="dxa"/>
          </w:tcPr>
          <w:p w14:paraId="35AD5B81"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569C46C4"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8" w:type="dxa"/>
          </w:tcPr>
          <w:p w14:paraId="4453C46A"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16" w:type="dxa"/>
          </w:tcPr>
          <w:p w14:paraId="5CA2EFF9"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71DCF8A6"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r>
      <w:tr w:rsidR="00695AE2" w:rsidRPr="00CB5050" w14:paraId="2C13C99C" w14:textId="77777777" w:rsidTr="00980493">
        <w:trPr>
          <w:jc w:val="center"/>
        </w:trPr>
        <w:tc>
          <w:tcPr>
            <w:tcW w:w="900" w:type="dxa"/>
          </w:tcPr>
          <w:p w14:paraId="25FEE454" w14:textId="77777777" w:rsidR="00695AE2" w:rsidRPr="00CB5050" w:rsidRDefault="00695AE2" w:rsidP="00980493">
            <w:pPr>
              <w:jc w:val="center"/>
              <w:rPr>
                <w:rFonts w:eastAsia="Calibri" w:cs="Calibri"/>
                <w:sz w:val="20"/>
                <w:szCs w:val="20"/>
              </w:rPr>
            </w:pPr>
            <w:r w:rsidRPr="00CB5050">
              <w:rPr>
                <w:rFonts w:eastAsia="Calibri" w:cs="Calibri"/>
                <w:sz w:val="20"/>
                <w:szCs w:val="20"/>
              </w:rPr>
              <w:t>SKUPAJ</w:t>
            </w:r>
          </w:p>
        </w:tc>
        <w:tc>
          <w:tcPr>
            <w:tcW w:w="801" w:type="dxa"/>
          </w:tcPr>
          <w:p w14:paraId="3E8A2183" w14:textId="77777777" w:rsidR="00695AE2" w:rsidRPr="00CB5050" w:rsidRDefault="00695AE2" w:rsidP="00980493">
            <w:pPr>
              <w:jc w:val="center"/>
              <w:rPr>
                <w:rFonts w:eastAsia="Calibri" w:cs="Calibri"/>
                <w:sz w:val="20"/>
                <w:szCs w:val="20"/>
              </w:rPr>
            </w:pPr>
            <w:r w:rsidRPr="00CB5050">
              <w:rPr>
                <w:rFonts w:eastAsia="Calibri" w:cs="Calibri"/>
                <w:sz w:val="20"/>
                <w:szCs w:val="20"/>
              </w:rPr>
              <w:t>5</w:t>
            </w:r>
          </w:p>
        </w:tc>
        <w:tc>
          <w:tcPr>
            <w:tcW w:w="808" w:type="dxa"/>
          </w:tcPr>
          <w:p w14:paraId="543484DE" w14:textId="77777777" w:rsidR="00695AE2" w:rsidRPr="00CB5050" w:rsidRDefault="00695AE2" w:rsidP="00980493">
            <w:pPr>
              <w:jc w:val="center"/>
              <w:rPr>
                <w:rFonts w:eastAsia="Calibri" w:cs="Calibri"/>
                <w:sz w:val="20"/>
                <w:szCs w:val="20"/>
              </w:rPr>
            </w:pPr>
            <w:r w:rsidRPr="00CB5050">
              <w:rPr>
                <w:rFonts w:eastAsia="Calibri" w:cs="Calibri"/>
                <w:sz w:val="20"/>
                <w:szCs w:val="20"/>
              </w:rPr>
              <w:t>21</w:t>
            </w:r>
          </w:p>
        </w:tc>
        <w:tc>
          <w:tcPr>
            <w:tcW w:w="815" w:type="dxa"/>
          </w:tcPr>
          <w:p w14:paraId="7DDA1029" w14:textId="77777777" w:rsidR="00695AE2" w:rsidRPr="00CB5050" w:rsidRDefault="00695AE2" w:rsidP="00980493">
            <w:pPr>
              <w:jc w:val="center"/>
              <w:rPr>
                <w:rFonts w:eastAsia="Calibri" w:cs="Calibri"/>
                <w:sz w:val="20"/>
                <w:szCs w:val="20"/>
              </w:rPr>
            </w:pPr>
            <w:r w:rsidRPr="00CB5050">
              <w:rPr>
                <w:rFonts w:eastAsia="Calibri" w:cs="Calibri"/>
                <w:sz w:val="20"/>
                <w:szCs w:val="20"/>
              </w:rPr>
              <w:t>458</w:t>
            </w:r>
          </w:p>
        </w:tc>
        <w:tc>
          <w:tcPr>
            <w:tcW w:w="829" w:type="dxa"/>
          </w:tcPr>
          <w:p w14:paraId="31AAFB18"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64" w:type="dxa"/>
          </w:tcPr>
          <w:p w14:paraId="076F877D" w14:textId="77777777" w:rsidR="00695AE2" w:rsidRPr="00CB5050" w:rsidRDefault="00695AE2" w:rsidP="00980493">
            <w:pPr>
              <w:spacing w:line="259" w:lineRule="auto"/>
              <w:jc w:val="center"/>
              <w:rPr>
                <w:rFonts w:eastAsia="Calibri" w:cs="Calibri"/>
                <w:sz w:val="20"/>
                <w:szCs w:val="20"/>
              </w:rPr>
            </w:pPr>
            <w:r w:rsidRPr="00CB5050">
              <w:rPr>
                <w:rFonts w:eastAsia="Calibri" w:cs="Calibri"/>
                <w:sz w:val="20"/>
                <w:szCs w:val="20"/>
              </w:rPr>
              <w:t>484</w:t>
            </w:r>
          </w:p>
        </w:tc>
        <w:tc>
          <w:tcPr>
            <w:tcW w:w="789" w:type="dxa"/>
          </w:tcPr>
          <w:p w14:paraId="5CAD69A0"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02" w:type="dxa"/>
          </w:tcPr>
          <w:p w14:paraId="03BA0734" w14:textId="77777777" w:rsidR="00695AE2" w:rsidRPr="00CB5050" w:rsidRDefault="00695AE2" w:rsidP="00980493">
            <w:pPr>
              <w:jc w:val="center"/>
              <w:rPr>
                <w:rFonts w:eastAsia="Calibri" w:cs="Calibri"/>
                <w:sz w:val="20"/>
                <w:szCs w:val="20"/>
              </w:rPr>
            </w:pPr>
            <w:r w:rsidRPr="00CB5050">
              <w:rPr>
                <w:rFonts w:eastAsia="Calibri" w:cs="Calibri"/>
                <w:sz w:val="20"/>
                <w:szCs w:val="20"/>
              </w:rPr>
              <w:t>1</w:t>
            </w:r>
          </w:p>
        </w:tc>
        <w:tc>
          <w:tcPr>
            <w:tcW w:w="808" w:type="dxa"/>
          </w:tcPr>
          <w:p w14:paraId="12B314D5" w14:textId="77777777" w:rsidR="00695AE2" w:rsidRPr="00CB5050" w:rsidRDefault="00695AE2" w:rsidP="00980493">
            <w:pPr>
              <w:jc w:val="center"/>
              <w:rPr>
                <w:rFonts w:eastAsia="Calibri" w:cs="Calibri"/>
                <w:sz w:val="20"/>
                <w:szCs w:val="20"/>
              </w:rPr>
            </w:pPr>
            <w:r w:rsidRPr="00CB5050">
              <w:rPr>
                <w:rFonts w:eastAsia="Calibri" w:cs="Calibri"/>
                <w:sz w:val="20"/>
                <w:szCs w:val="20"/>
              </w:rPr>
              <w:t>74</w:t>
            </w:r>
          </w:p>
        </w:tc>
        <w:tc>
          <w:tcPr>
            <w:tcW w:w="816" w:type="dxa"/>
          </w:tcPr>
          <w:p w14:paraId="7B32F908" w14:textId="77777777" w:rsidR="00695AE2" w:rsidRPr="00CB5050" w:rsidRDefault="00695AE2" w:rsidP="00980493">
            <w:pPr>
              <w:jc w:val="center"/>
              <w:rPr>
                <w:rFonts w:eastAsia="Calibri" w:cs="Calibri"/>
                <w:sz w:val="20"/>
                <w:szCs w:val="20"/>
              </w:rPr>
            </w:pPr>
            <w:r w:rsidRPr="00CB5050">
              <w:rPr>
                <w:rFonts w:eastAsia="Calibri" w:cs="Calibri"/>
                <w:sz w:val="20"/>
                <w:szCs w:val="20"/>
              </w:rPr>
              <w:t>0</w:t>
            </w:r>
          </w:p>
        </w:tc>
        <w:tc>
          <w:tcPr>
            <w:tcW w:w="830" w:type="dxa"/>
          </w:tcPr>
          <w:p w14:paraId="6D8896F3" w14:textId="77777777" w:rsidR="00695AE2" w:rsidRPr="00CB5050" w:rsidRDefault="00695AE2" w:rsidP="00980493">
            <w:pPr>
              <w:spacing w:line="259" w:lineRule="auto"/>
              <w:jc w:val="center"/>
              <w:rPr>
                <w:rFonts w:eastAsia="Calibri" w:cs="Calibri"/>
                <w:sz w:val="20"/>
                <w:szCs w:val="20"/>
              </w:rPr>
            </w:pPr>
            <w:r w:rsidRPr="00CB5050">
              <w:rPr>
                <w:rFonts w:eastAsia="Calibri" w:cs="Calibri"/>
                <w:sz w:val="20"/>
                <w:szCs w:val="20"/>
              </w:rPr>
              <w:t>75</w:t>
            </w:r>
          </w:p>
        </w:tc>
      </w:tr>
    </w:tbl>
    <w:p w14:paraId="0E2A3DB7"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058E595F"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szCs w:val="22"/>
        </w:rPr>
      </w:pPr>
      <w:r w:rsidRPr="00CB5050">
        <w:rPr>
          <w:rFonts w:eastAsia="Calibri"/>
          <w:szCs w:val="22"/>
        </w:rPr>
        <w:t xml:space="preserve">V letu 2025 je Državno odvetništvo RS v predhodnih postopkih skupno sklenilo 75 izvensodnih poravnav. </w:t>
      </w:r>
    </w:p>
    <w:p w14:paraId="4107345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4C704C4B" w14:textId="77777777" w:rsidR="00695AE2" w:rsidRPr="00CB5050" w:rsidRDefault="00695AE2" w:rsidP="00695AE2">
      <w:pPr>
        <w:pStyle w:val="Naslov4"/>
      </w:pPr>
      <w:bookmarkStart w:id="639" w:name="_Toc168844970"/>
      <w:bookmarkStart w:id="640" w:name="_Toc191561946"/>
      <w:bookmarkStart w:id="641" w:name="_Toc223093947"/>
      <w:r w:rsidRPr="00CB5050">
        <w:t>Ukrepi za obvladovanje zadev in priporočila Državnega odvetništva RS</w:t>
      </w:r>
      <w:bookmarkEnd w:id="639"/>
      <w:bookmarkEnd w:id="640"/>
      <w:bookmarkEnd w:id="641"/>
      <w:r w:rsidRPr="00CB5050">
        <w:t xml:space="preserve"> </w:t>
      </w:r>
    </w:p>
    <w:p w14:paraId="0B2BACC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color w:val="000000"/>
          <w:szCs w:val="22"/>
        </w:rPr>
      </w:pPr>
    </w:p>
    <w:p w14:paraId="2590AF88" w14:textId="77777777" w:rsidR="00695AE2" w:rsidRPr="00CB5050" w:rsidRDefault="00695AE2" w:rsidP="00695AE2">
      <w:pPr>
        <w:pStyle w:val="Naslov5"/>
      </w:pPr>
      <w:bookmarkStart w:id="642" w:name="_Toc191561947"/>
      <w:bookmarkStart w:id="643" w:name="_Toc223093948"/>
      <w:r w:rsidRPr="00CB5050">
        <w:t>Prizadevanja Državnega odvetništva RS za sklepanje poravnav</w:t>
      </w:r>
      <w:bookmarkEnd w:id="642"/>
      <w:bookmarkEnd w:id="643"/>
    </w:p>
    <w:p w14:paraId="3AAAA855" w14:textId="77777777" w:rsidR="00695AE2" w:rsidRPr="00CB5050" w:rsidRDefault="00695AE2" w:rsidP="00695AE2">
      <w:pPr>
        <w:spacing w:line="240" w:lineRule="auto"/>
        <w:jc w:val="both"/>
        <w:rPr>
          <w:rFonts w:eastAsia="Calibri"/>
          <w:szCs w:val="22"/>
        </w:rPr>
      </w:pPr>
    </w:p>
    <w:p w14:paraId="400899FF"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color w:val="000000"/>
          <w:szCs w:val="22"/>
        </w:rPr>
      </w:pPr>
      <w:r w:rsidRPr="00CB5050">
        <w:rPr>
          <w:rFonts w:eastAsia="Calibri"/>
          <w:szCs w:val="22"/>
        </w:rPr>
        <w:t xml:space="preserve">Državno odvetništvo RS je usmerjeno k reševanju sporov po mirni poti, zato tej usmeritvi sledi tudi obravnava zadev v </w:t>
      </w:r>
      <w:r w:rsidRPr="00CB5050">
        <w:rPr>
          <w:rFonts w:eastAsia="Times New Roman"/>
          <w:color w:val="000000"/>
          <w:szCs w:val="22"/>
        </w:rPr>
        <w:t xml:space="preserve">predhodnih postopkih. Državno odvetništvo RS si prizadeva, da bi prišlo do mirne rešitve spornega razmerja, vendar pa se je ob tem treba zavedati, da na Državnem odvetništvu RS ni mogoče izpeljati takšnega dokaznega postopka, kot ga izvede sodišče. Državno odvetništvo RS sicer po prejemu zahtevka v okviru postopka poskusa mirne rešitve spora priskrbi dokumentacijo, ki se nanaša na sporno razmerje oziroma je pomembna zanj, prav tako lahko za potrebe odločitve o utemeljenosti zahtevka v skladu s 15. členom ZDOdv vključi tudi zunanje strokovnjake, posameznih dejstev pa ne more preverjati še na primer z zaslišanjem prič. Če je torej mogoče že v predhodnem postopku z veliko gotovostjo ugotoviti, da je zahtevek utemeljen, se nasprotni stranki pošlje poravnalna ponudba, nato pa je od nje in morebitnih nadaljnjih pogajanj odvisno, ali do sklenitve poravnave dejansko pride ali ne. </w:t>
      </w:r>
    </w:p>
    <w:p w14:paraId="2508B2AA"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color w:val="000000"/>
          <w:szCs w:val="22"/>
        </w:rPr>
      </w:pPr>
    </w:p>
    <w:p w14:paraId="59BAF43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color w:val="000000"/>
          <w:szCs w:val="22"/>
        </w:rPr>
      </w:pPr>
      <w:r w:rsidRPr="00CB5050">
        <w:rPr>
          <w:rFonts w:eastAsia="Times New Roman"/>
          <w:color w:val="000000"/>
          <w:szCs w:val="22"/>
        </w:rPr>
        <w:t xml:space="preserve">V številnih primerih pa gre seveda tudi za popolnoma neutemeljene zahtevke vlagateljev predloga po 27. členu ZDOdv in v takšnih primerih, upoštevaje poslanstvo Državnega odvetništva RS, ki je med drugim zavezano varovati premoženjske interese Republike Slovenije, do sklenitve sporazuma seveda ne more priti.  </w:t>
      </w:r>
    </w:p>
    <w:p w14:paraId="7438586B" w14:textId="77777777" w:rsidR="00695AE2" w:rsidRPr="00CB5050" w:rsidRDefault="00695AE2" w:rsidP="00695AE2">
      <w:pPr>
        <w:spacing w:line="240" w:lineRule="auto"/>
        <w:jc w:val="both"/>
        <w:rPr>
          <w:rFonts w:eastAsia="Calibri"/>
        </w:rPr>
      </w:pPr>
    </w:p>
    <w:p w14:paraId="30A4EAAC" w14:textId="77777777" w:rsidR="00695AE2" w:rsidRPr="00CB5050" w:rsidRDefault="00695AE2" w:rsidP="00695AE2">
      <w:pPr>
        <w:pStyle w:val="Naslov5"/>
        <w:ind w:left="0" w:firstLine="0"/>
      </w:pPr>
      <w:bookmarkStart w:id="644" w:name="_Toc191561948"/>
      <w:bookmarkStart w:id="645" w:name="_Toc223093949"/>
      <w:r w:rsidRPr="00CB5050">
        <w:t>Prikaz učinka prizadevanj Državnega odvetništva RS za uresničevanje načela mirnega reševanja sporov</w:t>
      </w:r>
      <w:bookmarkEnd w:id="644"/>
      <w:bookmarkEnd w:id="645"/>
    </w:p>
    <w:p w14:paraId="41CB8E3E" w14:textId="77777777" w:rsidR="00695AE2" w:rsidRPr="00CB5050" w:rsidRDefault="00695AE2" w:rsidP="00695AE2">
      <w:pPr>
        <w:spacing w:line="240" w:lineRule="auto"/>
        <w:jc w:val="both"/>
        <w:rPr>
          <w:rFonts w:eastAsia="Calibri"/>
        </w:rPr>
      </w:pPr>
    </w:p>
    <w:p w14:paraId="391CBE7C"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color w:val="000000"/>
          <w:szCs w:val="22"/>
          <w:lang w:eastAsia="sl-SI"/>
        </w:rPr>
      </w:pPr>
      <w:r w:rsidRPr="00CB5050">
        <w:rPr>
          <w:rFonts w:eastAsia="Times New Roman"/>
          <w:color w:val="000000"/>
          <w:szCs w:val="22"/>
          <w:lang w:eastAsia="sl-SI"/>
        </w:rPr>
        <w:t xml:space="preserve">Bistvo predhodnih postopkov, ki se vodijo pred Državnim odvetništvom RS, je prizadevanje za mirno rešitev spora. Ob podanem temelju zahtevka se spor poskuša rešiti s poravnavanjem, torej z medsebojnim popuščanjem. </w:t>
      </w:r>
    </w:p>
    <w:p w14:paraId="1EC46C59" w14:textId="77777777" w:rsidR="00695AE2" w:rsidRPr="00CB5050" w:rsidRDefault="00695AE2" w:rsidP="00695AE2">
      <w:pPr>
        <w:autoSpaceDE w:val="0"/>
        <w:autoSpaceDN w:val="0"/>
        <w:spacing w:line="240" w:lineRule="auto"/>
        <w:jc w:val="both"/>
        <w:textAlignment w:val="center"/>
        <w:rPr>
          <w:rFonts w:eastAsia="Calibri"/>
          <w:color w:val="000000"/>
          <w:szCs w:val="22"/>
        </w:rPr>
      </w:pPr>
    </w:p>
    <w:p w14:paraId="707D48E1" w14:textId="77777777" w:rsidR="00695AE2" w:rsidRPr="00CB5050" w:rsidRDefault="00695AE2" w:rsidP="00695AE2">
      <w:pPr>
        <w:autoSpaceDE w:val="0"/>
        <w:autoSpaceDN w:val="0"/>
        <w:spacing w:line="240" w:lineRule="auto"/>
        <w:jc w:val="both"/>
        <w:textAlignment w:val="center"/>
        <w:rPr>
          <w:rFonts w:eastAsia="Calibri"/>
          <w:color w:val="000000"/>
          <w:szCs w:val="22"/>
        </w:rPr>
      </w:pPr>
      <w:r w:rsidRPr="00CB5050">
        <w:rPr>
          <w:rFonts w:eastAsia="Calibri"/>
          <w:color w:val="000000"/>
          <w:szCs w:val="22"/>
        </w:rPr>
        <w:lastRenderedPageBreak/>
        <w:t xml:space="preserve">V letu 2025 je Državno odvetništvo RS v predhodnih postopkih po 27. členu ZDOdv, ki so se vpisovali v vpisnik P (in sodijo bodisi na civilnopravno in gospodarsko področje bodisi na delovnopravno in socialnopravno področje), prejelo v delo 458 novih zadev, katerih skupna sporna vrednost znaša 1.059.122.153,72 evra. </w:t>
      </w:r>
    </w:p>
    <w:p w14:paraId="1161C292" w14:textId="77777777" w:rsidR="00695AE2" w:rsidRPr="00CB5050" w:rsidRDefault="00695AE2" w:rsidP="00695AE2">
      <w:pPr>
        <w:autoSpaceDE w:val="0"/>
        <w:autoSpaceDN w:val="0"/>
        <w:spacing w:line="240" w:lineRule="auto"/>
        <w:jc w:val="both"/>
        <w:textAlignment w:val="center"/>
        <w:rPr>
          <w:rFonts w:eastAsia="Calibri"/>
          <w:color w:val="000000"/>
          <w:szCs w:val="22"/>
        </w:rPr>
      </w:pPr>
    </w:p>
    <w:p w14:paraId="6E7224FE" w14:textId="77777777" w:rsidR="00695AE2" w:rsidRPr="00CB5050" w:rsidRDefault="00695AE2" w:rsidP="00695AE2">
      <w:pPr>
        <w:autoSpaceDE w:val="0"/>
        <w:autoSpaceDN w:val="0"/>
        <w:spacing w:line="240" w:lineRule="auto"/>
        <w:jc w:val="both"/>
        <w:textAlignment w:val="center"/>
        <w:rPr>
          <w:rFonts w:eastAsia="Calibri"/>
          <w:color w:val="000000"/>
        </w:rPr>
      </w:pPr>
      <w:r w:rsidRPr="00CB5050">
        <w:rPr>
          <w:rFonts w:eastAsia="Calibri"/>
          <w:color w:val="000000"/>
          <w:szCs w:val="22"/>
        </w:rPr>
        <w:t>V predhodnih postopkih iz vpisnika P je Državno odvetništvo RS v letu 2025 sklenilo 74 izvensodnih poravnav, v katerih je bila sicer skupna zahtevana vrednost 1.802.642,76 evra, v sklenjenih poravnavah pa so bile državi naložene obveznosti plačila v skupnem znesku 397.090,42 evra, kar je 22</w:t>
      </w:r>
      <w:r w:rsidRPr="00CB5050">
        <w:rPr>
          <w:rFonts w:eastAsia="Calibri"/>
          <w:color w:val="000000"/>
        </w:rPr>
        <w:t xml:space="preserve">,03 odstotka skupno zahtevane vrednosti. </w:t>
      </w:r>
    </w:p>
    <w:p w14:paraId="2C0208D4" w14:textId="77777777" w:rsidR="00695AE2" w:rsidRPr="00CB5050" w:rsidRDefault="00695AE2" w:rsidP="00695AE2">
      <w:pPr>
        <w:autoSpaceDE w:val="0"/>
        <w:autoSpaceDN w:val="0"/>
        <w:spacing w:line="240" w:lineRule="auto"/>
        <w:jc w:val="both"/>
        <w:textAlignment w:val="center"/>
        <w:rPr>
          <w:rFonts w:eastAsia="Calibri"/>
          <w:color w:val="000000"/>
          <w:szCs w:val="22"/>
        </w:rPr>
      </w:pPr>
    </w:p>
    <w:p w14:paraId="65197DDC"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r w:rsidRPr="00CB5050">
        <w:rPr>
          <w:rFonts w:eastAsia="Times New Roman"/>
          <w:color w:val="000000"/>
          <w:szCs w:val="22"/>
        </w:rPr>
        <w:t xml:space="preserve">V spodnjem grafikonu je prikazano razmerje med višino v teh 74 predhodnih pravdnih zadevah uveljavljanimi zahtevki ter višino obveznosti za Republiko Slovenijo, kot so bile dogovorjene  v poravnavah, sklenjenimi med strankami v teh 74 predhodnih postopkih. Glede na to, da je bilo s poravnavami predhodnim zahtevkom ugodeno v višini 22,03 odstotka zahtevane vrednosti, je torej </w:t>
      </w:r>
      <w:r w:rsidRPr="00CB5050">
        <w:rPr>
          <w:rFonts w:eastAsia="Calibri"/>
          <w:color w:val="000000"/>
        </w:rPr>
        <w:t xml:space="preserve">prihranek za proračun v teh zadevah znašal 1.405.552,34 evrov. </w:t>
      </w:r>
    </w:p>
    <w:p w14:paraId="1DFE60C0"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rPr>
      </w:pPr>
    </w:p>
    <w:p w14:paraId="42D27AF2"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Times New Roman"/>
          <w:color w:val="000000"/>
          <w:szCs w:val="22"/>
        </w:rPr>
      </w:pPr>
      <w:r w:rsidRPr="00CB5050">
        <w:rPr>
          <w:rFonts w:eastAsia="Times New Roman"/>
          <w:color w:val="000000"/>
          <w:szCs w:val="22"/>
        </w:rPr>
        <w:t>Državno odvetništvo RS torej v primerih, ki so dejansko utemeljeni, zavzeto uresničuje načelo mirnega reševanja sporov – si torej prizadeva, da se zadeva dejansko zaključi že v predhodnem postopku in na miren način, s tem pa seveda posredno pripomore tudi k razbremenjevanju sodišč.</w:t>
      </w:r>
    </w:p>
    <w:p w14:paraId="1FC35D8C" w14:textId="77777777" w:rsidR="00695AE2" w:rsidRPr="00CB5050" w:rsidRDefault="00695AE2" w:rsidP="00695AE2">
      <w:pPr>
        <w:autoSpaceDE w:val="0"/>
        <w:autoSpaceDN w:val="0"/>
        <w:spacing w:line="240" w:lineRule="auto"/>
        <w:jc w:val="both"/>
        <w:textAlignment w:val="center"/>
        <w:rPr>
          <w:rFonts w:eastAsia="Calibri"/>
          <w:color w:val="000000"/>
          <w:szCs w:val="22"/>
        </w:rPr>
      </w:pPr>
    </w:p>
    <w:p w14:paraId="24E89037" w14:textId="77777777" w:rsidR="00695AE2" w:rsidRPr="00CB5050" w:rsidRDefault="00695AE2" w:rsidP="00695AE2">
      <w:pPr>
        <w:autoSpaceDE w:val="0"/>
        <w:autoSpaceDN w:val="0"/>
        <w:spacing w:line="240" w:lineRule="auto"/>
        <w:jc w:val="both"/>
        <w:textAlignment w:val="center"/>
        <w:rPr>
          <w:rFonts w:eastAsia="Calibri"/>
          <w:b/>
          <w:bCs/>
          <w:color w:val="007466"/>
          <w:sz w:val="20"/>
          <w:szCs w:val="20"/>
        </w:rPr>
      </w:pPr>
      <w:r w:rsidRPr="00CB5050">
        <w:rPr>
          <w:rFonts w:eastAsia="Calibri"/>
          <w:b/>
          <w:bCs/>
          <w:color w:val="007466"/>
          <w:sz w:val="20"/>
          <w:szCs w:val="20"/>
        </w:rPr>
        <w:t>Grafikon: Prikaz razmerja med višino  zahtevanih vrednosti in višino obveznosti za RS iz poravnav</w:t>
      </w:r>
    </w:p>
    <w:p w14:paraId="08F144FB" w14:textId="77777777" w:rsidR="00695AE2" w:rsidRPr="00CB5050" w:rsidRDefault="00695AE2" w:rsidP="00695AE2">
      <w:pPr>
        <w:autoSpaceDE w:val="0"/>
        <w:autoSpaceDN w:val="0"/>
        <w:spacing w:line="240" w:lineRule="auto"/>
        <w:jc w:val="both"/>
        <w:textAlignment w:val="center"/>
        <w:rPr>
          <w:rFonts w:eastAsia="Calibri"/>
          <w:color w:val="000000"/>
          <w:sz w:val="20"/>
          <w:szCs w:val="20"/>
        </w:rPr>
      </w:pPr>
    </w:p>
    <w:p w14:paraId="2AF01119" w14:textId="77777777" w:rsidR="00695AE2" w:rsidRPr="00CB5050" w:rsidRDefault="00695AE2" w:rsidP="00695AE2">
      <w:pPr>
        <w:autoSpaceDE w:val="0"/>
        <w:autoSpaceDN w:val="0"/>
        <w:spacing w:line="240" w:lineRule="auto"/>
        <w:jc w:val="center"/>
        <w:textAlignment w:val="center"/>
        <w:rPr>
          <w:rFonts w:eastAsia="Calibri"/>
          <w:color w:val="000000"/>
          <w:sz w:val="22"/>
          <w:szCs w:val="22"/>
        </w:rPr>
      </w:pPr>
      <w:r w:rsidRPr="00CB5050">
        <w:rPr>
          <w:rFonts w:eastAsia="Calibri"/>
          <w:noProof/>
          <w:color w:val="000000"/>
          <w:sz w:val="22"/>
          <w:szCs w:val="22"/>
        </w:rPr>
        <w:drawing>
          <wp:inline distT="0" distB="0" distL="0" distR="0" wp14:anchorId="75B06019" wp14:editId="0A638656">
            <wp:extent cx="3804249" cy="2185598"/>
            <wp:effectExtent l="0" t="0" r="6350" b="5715"/>
            <wp:docPr id="460080222" name="Slika 3" descr="Slika, ki vsebuje besede besedilo, posnetek zaslon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80222" name="Slika 3" descr="Slika, ki vsebuje besede besedilo, posnetek zaslona, oblikovanje&#10;&#10;Vsebina, ustvarjena z UI, morda ni praviln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56468" cy="2215599"/>
                    </a:xfrm>
                    <a:prstGeom prst="rect">
                      <a:avLst/>
                    </a:prstGeom>
                    <a:noFill/>
                  </pic:spPr>
                </pic:pic>
              </a:graphicData>
            </a:graphic>
          </wp:inline>
        </w:drawing>
      </w:r>
    </w:p>
    <w:p w14:paraId="56CCC399"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 w:val="28"/>
          <w:szCs w:val="28"/>
        </w:rPr>
      </w:pPr>
    </w:p>
    <w:p w14:paraId="0878A46B" w14:textId="77777777" w:rsidR="00695AE2" w:rsidRPr="00CB5050" w:rsidRDefault="00695AE2" w:rsidP="00695AE2">
      <w:pPr>
        <w:pStyle w:val="Naslov3"/>
        <w:ind w:left="0" w:firstLine="0"/>
      </w:pPr>
      <w:bookmarkStart w:id="646" w:name="_Toc95149751"/>
      <w:bookmarkStart w:id="647" w:name="_Toc168844971"/>
      <w:bookmarkStart w:id="648" w:name="_Toc191561950"/>
      <w:bookmarkStart w:id="649" w:name="_Toc223093950"/>
      <w:r w:rsidRPr="00CB5050">
        <w:t>Predhodni postopki po III. poglavju Zakona o varstvu pravice do sojenja brez nepotrebnega odlašanja</w:t>
      </w:r>
      <w:bookmarkEnd w:id="646"/>
      <w:bookmarkEnd w:id="647"/>
      <w:bookmarkEnd w:id="648"/>
      <w:bookmarkEnd w:id="649"/>
    </w:p>
    <w:p w14:paraId="17485C90" w14:textId="77777777" w:rsidR="00695AE2" w:rsidRPr="00CB5050" w:rsidRDefault="00695AE2" w:rsidP="00695AE2">
      <w:pPr>
        <w:spacing w:line="240" w:lineRule="auto"/>
        <w:rPr>
          <w:rFonts w:eastAsia="Calibri"/>
          <w:sz w:val="28"/>
          <w:szCs w:val="28"/>
        </w:rPr>
      </w:pPr>
    </w:p>
    <w:p w14:paraId="4E13C2EC" w14:textId="77777777" w:rsidR="00695AE2" w:rsidRPr="00CB5050" w:rsidRDefault="00695AE2" w:rsidP="00695AE2">
      <w:pPr>
        <w:pStyle w:val="Naslov4"/>
      </w:pPr>
      <w:bookmarkStart w:id="650" w:name="_Toc95149752"/>
      <w:bookmarkStart w:id="651" w:name="_Toc168844972"/>
      <w:bookmarkStart w:id="652" w:name="_Toc191561951"/>
      <w:bookmarkStart w:id="653" w:name="_Toc223093951"/>
      <w:r w:rsidRPr="00CB5050">
        <w:t>Uvod</w:t>
      </w:r>
      <w:bookmarkEnd w:id="650"/>
      <w:bookmarkEnd w:id="651"/>
      <w:bookmarkEnd w:id="652"/>
      <w:bookmarkEnd w:id="653"/>
    </w:p>
    <w:p w14:paraId="6729C3EE" w14:textId="77777777" w:rsidR="00695AE2" w:rsidRPr="00CB5050" w:rsidRDefault="00695AE2" w:rsidP="00695AE2">
      <w:pPr>
        <w:spacing w:line="240" w:lineRule="auto"/>
        <w:jc w:val="both"/>
        <w:rPr>
          <w:rFonts w:eastAsia="Calibri"/>
          <w:szCs w:val="22"/>
        </w:rPr>
      </w:pPr>
    </w:p>
    <w:p w14:paraId="484E6664" w14:textId="77777777" w:rsidR="00695AE2" w:rsidRPr="00CB5050" w:rsidRDefault="00695AE2" w:rsidP="00695AE2">
      <w:pPr>
        <w:spacing w:line="240" w:lineRule="auto"/>
        <w:jc w:val="both"/>
        <w:rPr>
          <w:rFonts w:eastAsia="Calibri"/>
          <w:szCs w:val="22"/>
        </w:rPr>
      </w:pPr>
      <w:r w:rsidRPr="00CB5050">
        <w:rPr>
          <w:rFonts w:eastAsia="Calibri"/>
          <w:szCs w:val="22"/>
        </w:rPr>
        <w:t xml:space="preserve">Zakon o varstvu pravice do sojenja brez nepotrebnega odlašanja (v nadaljevanju: ZVPSBNO) zagotavlja varstvo pravice do sojenja brez nepotrebnega odlašanja (prvi odstavek 1. člena ZVPSBNO). Stranka v sodnem postopku, udeleženec po zakonu, ki ureja nepravdni postopek, in oškodovanec v kazenskem postopku imajo pravico, da o njihovih pravicah in dolžnostih oziroma obtožbah proti njim v njihovi zadevi pred sodiščem odloča sodišče brez nepotrebnega odlašanja (2. člen ZVPSBNO). V primeru, da je stranka uveljavljala svojo pravico iz 2. člena </w:t>
      </w:r>
      <w:r w:rsidRPr="00CB5050">
        <w:rPr>
          <w:rFonts w:eastAsia="Calibri"/>
          <w:szCs w:val="22"/>
        </w:rPr>
        <w:lastRenderedPageBreak/>
        <w:t>ZVPSBNO tako, da je v sodnem postopku vložila nadzorstveno pritožbo, ki ji je bilo ugodeno, ali če je vložila rokovni predlog, lahko zahteva pravično zadoščenje (prvi odstavek 15. člena ZVPSBNO). Postopek za uveljavitev zahtevka za pravično zadoščenje se začne z vložitvijo predloga za poravnavo, ki ga stranka vloži pri Državnem odvetništvu RS. Če je v tem postopku dosežen sporazum, Državno odvetništvo RS sklene s stranko izvensodno poravnavo (prvi in drugi odstavek 19. člen ZVPSBNO), v nasprotnem primeru, torej če ni dosežen sporazum, pa lahko stranka vloži tožbo za povrnitev škode (prvi odstavek 20. člena ZVPSBNO).</w:t>
      </w:r>
    </w:p>
    <w:p w14:paraId="02BAD782" w14:textId="77777777" w:rsidR="00695AE2" w:rsidRPr="00CB5050" w:rsidRDefault="00695AE2" w:rsidP="00695AE2">
      <w:pPr>
        <w:spacing w:line="240" w:lineRule="auto"/>
        <w:jc w:val="both"/>
        <w:rPr>
          <w:rFonts w:eastAsia="Calibri"/>
        </w:rPr>
      </w:pPr>
    </w:p>
    <w:p w14:paraId="54EA4D26" w14:textId="77777777" w:rsidR="00695AE2" w:rsidRPr="00CB5050" w:rsidRDefault="00695AE2" w:rsidP="00695AE2">
      <w:pPr>
        <w:spacing w:line="240" w:lineRule="auto"/>
        <w:jc w:val="both"/>
        <w:rPr>
          <w:rFonts w:eastAsia="Calibri"/>
        </w:rPr>
      </w:pPr>
      <w:r w:rsidRPr="00CB5050">
        <w:rPr>
          <w:rFonts w:eastAsia="Calibri"/>
        </w:rPr>
        <w:t xml:space="preserve">Tovrstne zahtevke Državno odvetništvo RS obravnava v vpisniku PRR, in sicer tako na sedežu Državnega odvetništva RS v Ljubljani kot tudi na vseh zunanjih oddelkih. V vpisniku PRR se poleg predhodnih postopkov obravnavajo tudi pravdni postopki oziroma tožbe, vložene na podlagi ZVPSBNO. </w:t>
      </w:r>
    </w:p>
    <w:p w14:paraId="3B9E8A1E" w14:textId="77777777" w:rsidR="00695AE2" w:rsidRPr="00CB5050" w:rsidRDefault="00695AE2" w:rsidP="00695AE2">
      <w:pPr>
        <w:spacing w:line="240" w:lineRule="auto"/>
        <w:jc w:val="both"/>
        <w:rPr>
          <w:rFonts w:eastAsia="Calibri"/>
        </w:rPr>
      </w:pPr>
    </w:p>
    <w:p w14:paraId="4C256D2D" w14:textId="77777777" w:rsidR="00695AE2" w:rsidRPr="00CB5050" w:rsidRDefault="00695AE2" w:rsidP="00695AE2">
      <w:pPr>
        <w:spacing w:line="240" w:lineRule="auto"/>
        <w:jc w:val="both"/>
        <w:rPr>
          <w:rFonts w:eastAsia="Times New Roman"/>
          <w:color w:val="000000"/>
          <w:szCs w:val="22"/>
          <w:lang w:eastAsia="sl-SI"/>
        </w:rPr>
      </w:pPr>
      <w:r w:rsidRPr="00CB5050">
        <w:rPr>
          <w:rFonts w:eastAsia="Times New Roman"/>
          <w:color w:val="000000"/>
          <w:lang w:eastAsia="sl-SI"/>
        </w:rPr>
        <w:t>Vložitev odškodninskega zahtevka pri Državnem odvetništvu RS po ZVPSBNO je procesna predpostavka za kasnejšo vložitev tožbe. O</w:t>
      </w:r>
      <w:r w:rsidRPr="00CB5050">
        <w:rPr>
          <w:rFonts w:eastAsia="Times New Roman"/>
          <w:color w:val="000000"/>
          <w:szCs w:val="22"/>
          <w:lang w:eastAsia="sl-SI"/>
        </w:rPr>
        <w:t>dškodninski zahtevki predlagateljev se obravnavajo na</w:t>
      </w:r>
      <w:r w:rsidRPr="00CB5050">
        <w:rPr>
          <w:rFonts w:eastAsia="Times New Roman"/>
          <w:color w:val="000000"/>
          <w:lang w:eastAsia="sl-SI"/>
        </w:rPr>
        <w:t xml:space="preserve"> posebni </w:t>
      </w:r>
      <w:r w:rsidRPr="00CB5050">
        <w:rPr>
          <w:rFonts w:eastAsia="Times New Roman"/>
          <w:color w:val="000000"/>
          <w:szCs w:val="22"/>
          <w:lang w:eastAsia="sl-SI"/>
        </w:rPr>
        <w:t xml:space="preserve">Komisiji za odločanje o odškodninskih zahtevkih po Zakonu o varstvu pravice do sojenja brez nepotrebnega odlašanja (v nadaljevanju: komisija). </w:t>
      </w:r>
    </w:p>
    <w:p w14:paraId="52DA2DBD" w14:textId="77777777" w:rsidR="00695AE2" w:rsidRPr="00CB5050" w:rsidRDefault="00695AE2" w:rsidP="00695AE2">
      <w:pPr>
        <w:spacing w:line="240" w:lineRule="auto"/>
        <w:jc w:val="both"/>
        <w:rPr>
          <w:rFonts w:eastAsia="Times New Roman"/>
          <w:color w:val="000000"/>
          <w:szCs w:val="22"/>
          <w:lang w:eastAsia="sl-SI"/>
        </w:rPr>
      </w:pPr>
    </w:p>
    <w:p w14:paraId="17199610" w14:textId="77777777" w:rsidR="00695AE2" w:rsidRPr="00CB5050" w:rsidRDefault="00695AE2" w:rsidP="00695AE2">
      <w:pPr>
        <w:spacing w:line="240" w:lineRule="auto"/>
        <w:jc w:val="both"/>
        <w:rPr>
          <w:rFonts w:eastAsia="Times New Roman"/>
          <w:color w:val="000000"/>
          <w:lang w:eastAsia="sl-SI"/>
        </w:rPr>
      </w:pPr>
      <w:r w:rsidRPr="00CB5050">
        <w:rPr>
          <w:rFonts w:eastAsia="Times New Roman"/>
          <w:szCs w:val="22"/>
          <w:lang w:eastAsia="sl-SI"/>
        </w:rPr>
        <w:t xml:space="preserve">Komisija pri svojem delu skrbi za poenoteno delo, spremlja sodno prakso domačih sodišč, uporablja analizo prakse ESČP glede kršitve pravice do sojenja v razumnem roku ter upošteva naslednja merila za odločanje: okoliščine posamezne zadeve, zlasti njeno zapletenost v dejanskem in pravnem pogledu, ravnanje strank v postopku, predvsem z vidika uporabe postopkovnih pravic in izpolnjevanja obveznosti v postopku, spoštovanje pravil o vrstnem redu reševanja zadev na sodišču, zakonske roke za razpis narokov in izdelavo sodnih odločb, trajanje časa, v katerem je bila reševana zadeva, in na katerih stopnjah, način, kako je bila zadeva obravnavana pred vložitvijo nadzorstvene pritožbe ali rokovnega predloga, naravo in vrsto zadeve ter njen pomen za stranko. </w:t>
      </w:r>
      <w:r w:rsidRPr="00CB5050">
        <w:rPr>
          <w:rFonts w:eastAsia="Times New Roman"/>
          <w:color w:val="000000"/>
          <w:szCs w:val="22"/>
          <w:lang w:eastAsia="sl-SI"/>
        </w:rPr>
        <w:t xml:space="preserve">Delo komisije vodi predsednik, ki ga generalni državni odvetnik imenuje z odredbo. Komisija odloča o tistih zadevah, ki jih nosilci posameznih zadev prijavijo na sejo komisije. Komisiji se ne prijavljajo zadeve, ki jih je treba zavreči. Komisija z odločitvijo o tem, ali naj se ponudi sklenitev izvensodne poravnave oziroma ali naj se zahtevek zavrne, zaključi delo na posamezni na sejo prijavljeni zadevi. Vodenje celotnega postopka je namreč v pristojnosti nosilca, ki mu je posamezna zadeva dodeljena v delo, in le-ta nato komisije niti ne obvešča o tem, ali je bila ponudba za sklenitev izvensodne poravnave sprejeta oziroma ali je bila morda vložena tožba. </w:t>
      </w:r>
    </w:p>
    <w:p w14:paraId="4B9E9497" w14:textId="77777777" w:rsidR="00695AE2" w:rsidRPr="00CB5050" w:rsidRDefault="00695AE2" w:rsidP="00695AE2">
      <w:pPr>
        <w:spacing w:line="240" w:lineRule="auto"/>
        <w:jc w:val="both"/>
        <w:rPr>
          <w:rFonts w:eastAsia="Times New Roman"/>
          <w:color w:val="000000"/>
          <w:lang w:eastAsia="sl-SI"/>
        </w:rPr>
      </w:pPr>
    </w:p>
    <w:p w14:paraId="1DB74836" w14:textId="77777777" w:rsidR="00695AE2" w:rsidRPr="00CB5050" w:rsidRDefault="00695AE2" w:rsidP="00695AE2">
      <w:pPr>
        <w:pStyle w:val="Naslov4"/>
      </w:pPr>
      <w:bookmarkStart w:id="654" w:name="_Toc95149753"/>
      <w:bookmarkStart w:id="655" w:name="_Toc168844973"/>
      <w:bookmarkStart w:id="656" w:name="_Toc191561952"/>
      <w:bookmarkStart w:id="657" w:name="_Toc223093952"/>
      <w:r w:rsidRPr="00CB5050">
        <w:t>Statisti</w:t>
      </w:r>
      <w:bookmarkEnd w:id="654"/>
      <w:bookmarkEnd w:id="655"/>
      <w:r w:rsidRPr="00CB5050">
        <w:t>čni podatki</w:t>
      </w:r>
      <w:bookmarkEnd w:id="656"/>
      <w:bookmarkEnd w:id="657"/>
    </w:p>
    <w:p w14:paraId="1B5A13EA" w14:textId="77777777" w:rsidR="00695AE2" w:rsidRPr="00CB5050" w:rsidRDefault="00695AE2" w:rsidP="00695AE2">
      <w:pPr>
        <w:spacing w:line="240" w:lineRule="auto"/>
        <w:ind w:firstLine="4"/>
        <w:jc w:val="both"/>
        <w:rPr>
          <w:rFonts w:eastAsia="Times New Roman"/>
          <w:color w:val="000000"/>
          <w:szCs w:val="22"/>
          <w:lang w:eastAsia="sl-SI"/>
        </w:rPr>
      </w:pPr>
    </w:p>
    <w:p w14:paraId="69BAB8BE"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prejelo 51 zahtevkov za povračilo škode zaradi sojenja v nerazumnem roku. </w:t>
      </w:r>
    </w:p>
    <w:p w14:paraId="3B4E4ED4" w14:textId="77777777" w:rsidR="00695AE2" w:rsidRPr="00CB5050" w:rsidRDefault="00695AE2" w:rsidP="00695AE2">
      <w:pPr>
        <w:spacing w:line="240" w:lineRule="auto"/>
        <w:jc w:val="both"/>
        <w:rPr>
          <w:rFonts w:eastAsia="Calibri"/>
        </w:rPr>
      </w:pPr>
    </w:p>
    <w:p w14:paraId="4632F3E1"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je imelo v letu 2025 po ZVPSBNO v delu 76 zadev, zaključilo je 57 zadev, na dan 31. 12. 2025 pa je bilo odprtih 14 zadev.</w:t>
      </w:r>
    </w:p>
    <w:p w14:paraId="2BC2E8EA" w14:textId="77777777" w:rsidR="00695AE2" w:rsidRPr="00CB5050" w:rsidRDefault="00695AE2" w:rsidP="00695AE2">
      <w:pPr>
        <w:spacing w:line="240" w:lineRule="auto"/>
        <w:jc w:val="both"/>
        <w:rPr>
          <w:rFonts w:eastAsia="Calibri"/>
        </w:rPr>
      </w:pPr>
    </w:p>
    <w:p w14:paraId="6F6E1B3E" w14:textId="77777777" w:rsidR="00695AE2" w:rsidRPr="00F32CED" w:rsidRDefault="00695AE2" w:rsidP="00695AE2">
      <w:pPr>
        <w:spacing w:line="240" w:lineRule="auto"/>
        <w:jc w:val="both"/>
        <w:rPr>
          <w:rFonts w:eastAsia="Calibri"/>
        </w:rPr>
      </w:pPr>
      <w:r w:rsidRPr="00CB5050">
        <w:rPr>
          <w:rFonts w:eastAsia="Calibri"/>
        </w:rPr>
        <w:t>Državno odvetništvo RS je v letu 2025 v zadevah po ZVPSBNO sklenilo 11 izvensodnih poravnav.</w:t>
      </w:r>
    </w:p>
    <w:p w14:paraId="6E18093D"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z w:val="20"/>
          <w:szCs w:val="20"/>
        </w:rPr>
      </w:pPr>
    </w:p>
    <w:p w14:paraId="2B2762C5"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z w:val="20"/>
          <w:szCs w:val="20"/>
        </w:rPr>
      </w:pPr>
      <w:r w:rsidRPr="00CB5050">
        <w:rPr>
          <w:rFonts w:eastAsia="Calibri"/>
          <w:b/>
          <w:color w:val="007466"/>
          <w:sz w:val="20"/>
          <w:szCs w:val="20"/>
        </w:rPr>
        <w:t>Preglednica: Število prejetih zadev in število sklenjenih poravnav v vpisniku PRR – zbirno in po posameznih organizacijskih enotah</w:t>
      </w:r>
    </w:p>
    <w:p w14:paraId="2104F1EA"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0000"/>
          <w:sz w:val="20"/>
          <w:szCs w:val="20"/>
        </w:rPr>
      </w:pPr>
    </w:p>
    <w:tbl>
      <w:tblPr>
        <w:tblStyle w:val="Tabelamrea4"/>
        <w:tblW w:w="0" w:type="auto"/>
        <w:tblLook w:val="04A0" w:firstRow="1" w:lastRow="0" w:firstColumn="1" w:lastColumn="0" w:noHBand="0" w:noVBand="1"/>
      </w:tblPr>
      <w:tblGrid>
        <w:gridCol w:w="3020"/>
        <w:gridCol w:w="3021"/>
        <w:gridCol w:w="3021"/>
      </w:tblGrid>
      <w:tr w:rsidR="00695AE2" w:rsidRPr="00CB5050" w14:paraId="1FE8A3B5" w14:textId="77777777" w:rsidTr="00980493">
        <w:tc>
          <w:tcPr>
            <w:tcW w:w="3020" w:type="dxa"/>
          </w:tcPr>
          <w:p w14:paraId="55C16962" w14:textId="77777777" w:rsidR="00695AE2" w:rsidRPr="00CB5050" w:rsidRDefault="00695AE2" w:rsidP="00980493">
            <w:pPr>
              <w:tabs>
                <w:tab w:val="left" w:pos="283"/>
              </w:tabs>
              <w:autoSpaceDE w:val="0"/>
              <w:autoSpaceDN w:val="0"/>
              <w:adjustRightInd w:val="0"/>
              <w:jc w:val="center"/>
              <w:textAlignment w:val="center"/>
              <w:rPr>
                <w:rFonts w:eastAsia="Times New Roman" w:cs="Calibri"/>
                <w:sz w:val="16"/>
                <w:szCs w:val="16"/>
              </w:rPr>
            </w:pPr>
            <w:r w:rsidRPr="00CB5050">
              <w:rPr>
                <w:rFonts w:eastAsia="Times New Roman" w:cs="Calibri"/>
                <w:sz w:val="16"/>
                <w:szCs w:val="16"/>
              </w:rPr>
              <w:t>Predhodni postopek</w:t>
            </w:r>
          </w:p>
        </w:tc>
        <w:tc>
          <w:tcPr>
            <w:tcW w:w="3021" w:type="dxa"/>
          </w:tcPr>
          <w:p w14:paraId="77F4CA76" w14:textId="77777777" w:rsidR="00695AE2" w:rsidRPr="00CB5050" w:rsidRDefault="00695AE2" w:rsidP="00980493">
            <w:pPr>
              <w:tabs>
                <w:tab w:val="left" w:pos="283"/>
              </w:tabs>
              <w:autoSpaceDE w:val="0"/>
              <w:autoSpaceDN w:val="0"/>
              <w:adjustRightInd w:val="0"/>
              <w:jc w:val="center"/>
              <w:textAlignment w:val="center"/>
              <w:rPr>
                <w:rFonts w:eastAsia="Times New Roman" w:cs="Calibri"/>
                <w:sz w:val="16"/>
                <w:szCs w:val="16"/>
              </w:rPr>
            </w:pPr>
            <w:r w:rsidRPr="00CB5050">
              <w:rPr>
                <w:rFonts w:eastAsia="Times New Roman" w:cs="Calibri"/>
                <w:sz w:val="16"/>
                <w:szCs w:val="16"/>
              </w:rPr>
              <w:t>Število prejetih zadev</w:t>
            </w:r>
          </w:p>
        </w:tc>
        <w:tc>
          <w:tcPr>
            <w:tcW w:w="3021" w:type="dxa"/>
          </w:tcPr>
          <w:p w14:paraId="0508065C" w14:textId="77777777" w:rsidR="00695AE2" w:rsidRPr="00CB5050" w:rsidRDefault="00695AE2" w:rsidP="00980493">
            <w:pPr>
              <w:tabs>
                <w:tab w:val="left" w:pos="283"/>
              </w:tabs>
              <w:autoSpaceDE w:val="0"/>
              <w:autoSpaceDN w:val="0"/>
              <w:adjustRightInd w:val="0"/>
              <w:jc w:val="center"/>
              <w:textAlignment w:val="center"/>
              <w:rPr>
                <w:rFonts w:eastAsia="Times New Roman" w:cs="Calibri"/>
                <w:sz w:val="16"/>
                <w:szCs w:val="16"/>
              </w:rPr>
            </w:pPr>
            <w:r w:rsidRPr="00CB5050">
              <w:rPr>
                <w:rFonts w:eastAsia="Times New Roman" w:cs="Calibri"/>
                <w:sz w:val="16"/>
                <w:szCs w:val="16"/>
              </w:rPr>
              <w:t>Število sklenjenih poravnav</w:t>
            </w:r>
          </w:p>
        </w:tc>
      </w:tr>
      <w:tr w:rsidR="00695AE2" w:rsidRPr="00CB5050" w14:paraId="2D799B0D" w14:textId="77777777" w:rsidTr="00980493">
        <w:tc>
          <w:tcPr>
            <w:tcW w:w="3020" w:type="dxa"/>
          </w:tcPr>
          <w:p w14:paraId="3ADD17A4"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p>
        </w:tc>
        <w:tc>
          <w:tcPr>
            <w:tcW w:w="3021" w:type="dxa"/>
          </w:tcPr>
          <w:p w14:paraId="4EE0D3F5"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PRR</w:t>
            </w:r>
          </w:p>
        </w:tc>
        <w:tc>
          <w:tcPr>
            <w:tcW w:w="3021" w:type="dxa"/>
          </w:tcPr>
          <w:p w14:paraId="22302EA1"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PRR</w:t>
            </w:r>
          </w:p>
        </w:tc>
      </w:tr>
      <w:tr w:rsidR="00695AE2" w:rsidRPr="00CB5050" w14:paraId="70B0227B" w14:textId="77777777" w:rsidTr="00980493">
        <w:tc>
          <w:tcPr>
            <w:tcW w:w="3020" w:type="dxa"/>
          </w:tcPr>
          <w:p w14:paraId="2D3DFCEB"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CE</w:t>
            </w:r>
          </w:p>
        </w:tc>
        <w:tc>
          <w:tcPr>
            <w:tcW w:w="3021" w:type="dxa"/>
          </w:tcPr>
          <w:p w14:paraId="3E1C89E1"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9</w:t>
            </w:r>
          </w:p>
        </w:tc>
        <w:tc>
          <w:tcPr>
            <w:tcW w:w="3021" w:type="dxa"/>
          </w:tcPr>
          <w:p w14:paraId="67E253A7"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4</w:t>
            </w:r>
          </w:p>
        </w:tc>
      </w:tr>
      <w:tr w:rsidR="00695AE2" w:rsidRPr="00CB5050" w14:paraId="030B6E9B" w14:textId="77777777" w:rsidTr="00980493">
        <w:tc>
          <w:tcPr>
            <w:tcW w:w="3020" w:type="dxa"/>
          </w:tcPr>
          <w:p w14:paraId="3027A958"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KP</w:t>
            </w:r>
          </w:p>
        </w:tc>
        <w:tc>
          <w:tcPr>
            <w:tcW w:w="3021" w:type="dxa"/>
          </w:tcPr>
          <w:p w14:paraId="7C9854BB"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5</w:t>
            </w:r>
          </w:p>
        </w:tc>
        <w:tc>
          <w:tcPr>
            <w:tcW w:w="3021" w:type="dxa"/>
          </w:tcPr>
          <w:p w14:paraId="7AF779E0"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w:t>
            </w:r>
          </w:p>
        </w:tc>
      </w:tr>
      <w:tr w:rsidR="00695AE2" w:rsidRPr="00CB5050" w14:paraId="7A144BF2" w14:textId="77777777" w:rsidTr="00980493">
        <w:tc>
          <w:tcPr>
            <w:tcW w:w="3020" w:type="dxa"/>
          </w:tcPr>
          <w:p w14:paraId="689ED6E5"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KR</w:t>
            </w:r>
          </w:p>
        </w:tc>
        <w:tc>
          <w:tcPr>
            <w:tcW w:w="3021" w:type="dxa"/>
          </w:tcPr>
          <w:p w14:paraId="30A6FDF0"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0</w:t>
            </w:r>
          </w:p>
        </w:tc>
        <w:tc>
          <w:tcPr>
            <w:tcW w:w="3021" w:type="dxa"/>
          </w:tcPr>
          <w:p w14:paraId="1168BC81"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0</w:t>
            </w:r>
          </w:p>
        </w:tc>
      </w:tr>
      <w:tr w:rsidR="00695AE2" w:rsidRPr="00CB5050" w14:paraId="4D6DA50D" w14:textId="77777777" w:rsidTr="00980493">
        <w:tc>
          <w:tcPr>
            <w:tcW w:w="3020" w:type="dxa"/>
          </w:tcPr>
          <w:p w14:paraId="77B26DC2"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LJ</w:t>
            </w:r>
          </w:p>
        </w:tc>
        <w:tc>
          <w:tcPr>
            <w:tcW w:w="3021" w:type="dxa"/>
          </w:tcPr>
          <w:p w14:paraId="1329AC95"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21</w:t>
            </w:r>
          </w:p>
        </w:tc>
        <w:tc>
          <w:tcPr>
            <w:tcW w:w="3021" w:type="dxa"/>
          </w:tcPr>
          <w:p w14:paraId="40CE8268"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3</w:t>
            </w:r>
          </w:p>
        </w:tc>
      </w:tr>
      <w:tr w:rsidR="00695AE2" w:rsidRPr="00CB5050" w14:paraId="4D278800" w14:textId="77777777" w:rsidTr="00980493">
        <w:tc>
          <w:tcPr>
            <w:tcW w:w="3020" w:type="dxa"/>
          </w:tcPr>
          <w:p w14:paraId="0261B254"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MB</w:t>
            </w:r>
          </w:p>
        </w:tc>
        <w:tc>
          <w:tcPr>
            <w:tcW w:w="3021" w:type="dxa"/>
          </w:tcPr>
          <w:p w14:paraId="7902E261"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8</w:t>
            </w:r>
          </w:p>
        </w:tc>
        <w:tc>
          <w:tcPr>
            <w:tcW w:w="3021" w:type="dxa"/>
          </w:tcPr>
          <w:p w14:paraId="7EB3A756"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w:t>
            </w:r>
          </w:p>
        </w:tc>
      </w:tr>
      <w:tr w:rsidR="00695AE2" w:rsidRPr="00CB5050" w14:paraId="087379BE" w14:textId="77777777" w:rsidTr="00980493">
        <w:tc>
          <w:tcPr>
            <w:tcW w:w="3020" w:type="dxa"/>
          </w:tcPr>
          <w:p w14:paraId="00994849"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MS</w:t>
            </w:r>
          </w:p>
        </w:tc>
        <w:tc>
          <w:tcPr>
            <w:tcW w:w="3021" w:type="dxa"/>
          </w:tcPr>
          <w:p w14:paraId="1376DBA9"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3</w:t>
            </w:r>
          </w:p>
        </w:tc>
        <w:tc>
          <w:tcPr>
            <w:tcW w:w="3021" w:type="dxa"/>
          </w:tcPr>
          <w:p w14:paraId="51D58C48"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0</w:t>
            </w:r>
          </w:p>
        </w:tc>
      </w:tr>
      <w:tr w:rsidR="00695AE2" w:rsidRPr="00CB5050" w14:paraId="7B62FF77" w14:textId="77777777" w:rsidTr="00980493">
        <w:tc>
          <w:tcPr>
            <w:tcW w:w="3020" w:type="dxa"/>
          </w:tcPr>
          <w:p w14:paraId="51122612"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NG</w:t>
            </w:r>
          </w:p>
        </w:tc>
        <w:tc>
          <w:tcPr>
            <w:tcW w:w="3021" w:type="dxa"/>
          </w:tcPr>
          <w:p w14:paraId="404B5549"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w:t>
            </w:r>
          </w:p>
        </w:tc>
        <w:tc>
          <w:tcPr>
            <w:tcW w:w="3021" w:type="dxa"/>
          </w:tcPr>
          <w:p w14:paraId="251395B5"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w:t>
            </w:r>
          </w:p>
        </w:tc>
      </w:tr>
      <w:tr w:rsidR="00695AE2" w:rsidRPr="00CB5050" w14:paraId="3B7FA137" w14:textId="77777777" w:rsidTr="00980493">
        <w:tc>
          <w:tcPr>
            <w:tcW w:w="3020" w:type="dxa"/>
          </w:tcPr>
          <w:p w14:paraId="1FEF79B5"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NM</w:t>
            </w:r>
          </w:p>
        </w:tc>
        <w:tc>
          <w:tcPr>
            <w:tcW w:w="3021" w:type="dxa"/>
          </w:tcPr>
          <w:p w14:paraId="411CE9CC"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w:t>
            </w:r>
          </w:p>
        </w:tc>
        <w:tc>
          <w:tcPr>
            <w:tcW w:w="3021" w:type="dxa"/>
          </w:tcPr>
          <w:p w14:paraId="0D42172C"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w:t>
            </w:r>
          </w:p>
        </w:tc>
      </w:tr>
      <w:tr w:rsidR="00695AE2" w:rsidRPr="00CB5050" w14:paraId="5949CB34" w14:textId="77777777" w:rsidTr="00980493">
        <w:tc>
          <w:tcPr>
            <w:tcW w:w="3020" w:type="dxa"/>
          </w:tcPr>
          <w:p w14:paraId="2A589798"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PT</w:t>
            </w:r>
          </w:p>
        </w:tc>
        <w:tc>
          <w:tcPr>
            <w:tcW w:w="3021" w:type="dxa"/>
          </w:tcPr>
          <w:p w14:paraId="23BC692E"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3</w:t>
            </w:r>
          </w:p>
        </w:tc>
        <w:tc>
          <w:tcPr>
            <w:tcW w:w="3021" w:type="dxa"/>
          </w:tcPr>
          <w:p w14:paraId="0E1BBDB7"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0</w:t>
            </w:r>
          </w:p>
        </w:tc>
      </w:tr>
      <w:tr w:rsidR="00695AE2" w:rsidRPr="00CB5050" w14:paraId="0D680EA9" w14:textId="77777777" w:rsidTr="00980493">
        <w:tc>
          <w:tcPr>
            <w:tcW w:w="3020" w:type="dxa"/>
          </w:tcPr>
          <w:p w14:paraId="7F056CCB"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SKUPAJ</w:t>
            </w:r>
          </w:p>
        </w:tc>
        <w:tc>
          <w:tcPr>
            <w:tcW w:w="3021" w:type="dxa"/>
          </w:tcPr>
          <w:p w14:paraId="0E2B9EF6"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51</w:t>
            </w:r>
          </w:p>
        </w:tc>
        <w:tc>
          <w:tcPr>
            <w:tcW w:w="3021" w:type="dxa"/>
          </w:tcPr>
          <w:p w14:paraId="3A7DF68B" w14:textId="77777777" w:rsidR="00695AE2" w:rsidRPr="00CB5050" w:rsidRDefault="00695AE2" w:rsidP="00980493">
            <w:pPr>
              <w:tabs>
                <w:tab w:val="left" w:pos="283"/>
              </w:tabs>
              <w:autoSpaceDE w:val="0"/>
              <w:autoSpaceDN w:val="0"/>
              <w:adjustRightInd w:val="0"/>
              <w:jc w:val="center"/>
              <w:textAlignment w:val="center"/>
              <w:rPr>
                <w:rFonts w:eastAsia="Calibri" w:cs="Calibri"/>
                <w:sz w:val="16"/>
                <w:szCs w:val="16"/>
              </w:rPr>
            </w:pPr>
            <w:r w:rsidRPr="00CB5050">
              <w:rPr>
                <w:rFonts w:eastAsia="Calibri" w:cs="Calibri"/>
                <w:sz w:val="16"/>
                <w:szCs w:val="16"/>
              </w:rPr>
              <w:t>11</w:t>
            </w:r>
          </w:p>
        </w:tc>
      </w:tr>
    </w:tbl>
    <w:p w14:paraId="6C072CE7" w14:textId="77777777" w:rsidR="00695AE2" w:rsidRPr="00CB5050" w:rsidRDefault="00695AE2" w:rsidP="00695AE2">
      <w:pPr>
        <w:spacing w:line="240" w:lineRule="auto"/>
        <w:jc w:val="both"/>
        <w:rPr>
          <w:rFonts w:eastAsia="Calibri"/>
        </w:rPr>
      </w:pPr>
    </w:p>
    <w:p w14:paraId="6A528D01" w14:textId="77777777" w:rsidR="00695AE2" w:rsidRPr="00CB5050" w:rsidRDefault="00695AE2" w:rsidP="00695AE2">
      <w:pPr>
        <w:pStyle w:val="Naslov4"/>
      </w:pPr>
      <w:bookmarkStart w:id="658" w:name="_Toc95149754"/>
      <w:bookmarkStart w:id="659" w:name="_Toc168844974"/>
      <w:bookmarkStart w:id="660" w:name="_Toc191561953"/>
      <w:bookmarkStart w:id="661" w:name="_Toc223093953"/>
      <w:r w:rsidRPr="00CB5050">
        <w:t>Analiza primerjalnih vrednosti</w:t>
      </w:r>
      <w:bookmarkEnd w:id="658"/>
      <w:bookmarkEnd w:id="659"/>
      <w:bookmarkEnd w:id="660"/>
      <w:bookmarkEnd w:id="661"/>
    </w:p>
    <w:p w14:paraId="7BF85F90" w14:textId="77777777" w:rsidR="00695AE2" w:rsidRPr="00CB5050" w:rsidRDefault="00695AE2" w:rsidP="00695AE2">
      <w:pPr>
        <w:spacing w:line="240" w:lineRule="auto"/>
        <w:ind w:firstLine="4"/>
        <w:jc w:val="both"/>
        <w:rPr>
          <w:rFonts w:eastAsia="Times New Roman"/>
          <w:color w:val="000000"/>
          <w:u w:val="single" w:color="000000"/>
          <w:lang w:eastAsia="sl-SI"/>
        </w:rPr>
      </w:pPr>
    </w:p>
    <w:p w14:paraId="02770F5A"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z 51 zadevami prejelo 70,0 odstotka več zahtevkov za povračilo škode zaradi sojenja v nerazumnem roku kot leta 2024, ko jih je prejelo 30. </w:t>
      </w:r>
    </w:p>
    <w:p w14:paraId="2C94A2DF" w14:textId="77777777" w:rsidR="00695AE2" w:rsidRPr="00CB5050" w:rsidRDefault="00695AE2" w:rsidP="00695AE2">
      <w:pPr>
        <w:spacing w:line="240" w:lineRule="auto"/>
        <w:jc w:val="both"/>
        <w:rPr>
          <w:rFonts w:eastAsia="Calibri"/>
          <w:szCs w:val="22"/>
        </w:rPr>
      </w:pPr>
    </w:p>
    <w:p w14:paraId="5D39212D"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imelo Državno odvetništvo RS s 76 zadevami v delu za 24,59 odstotka več zadev v delu kot leta 2024, ko je imelo v predhodnem postopku po ZVPSBNO v delu 61 zadev. </w:t>
      </w:r>
    </w:p>
    <w:p w14:paraId="73BA95DC" w14:textId="77777777" w:rsidR="00695AE2" w:rsidRPr="00CB5050" w:rsidRDefault="00695AE2" w:rsidP="00695AE2">
      <w:pPr>
        <w:spacing w:line="240" w:lineRule="auto"/>
        <w:jc w:val="both"/>
        <w:rPr>
          <w:rFonts w:eastAsia="Calibri"/>
          <w:szCs w:val="22"/>
        </w:rPr>
      </w:pPr>
    </w:p>
    <w:p w14:paraId="581402F2" w14:textId="77777777" w:rsidR="00695AE2" w:rsidRPr="00CB5050" w:rsidRDefault="00695AE2" w:rsidP="00695AE2">
      <w:pPr>
        <w:spacing w:line="240" w:lineRule="auto"/>
        <w:jc w:val="both"/>
        <w:rPr>
          <w:rFonts w:eastAsia="Calibri"/>
          <w:szCs w:val="22"/>
        </w:rPr>
      </w:pPr>
      <w:r w:rsidRPr="00CB5050">
        <w:rPr>
          <w:rFonts w:eastAsia="Calibri"/>
          <w:szCs w:val="22"/>
        </w:rPr>
        <w:t>V letu 2025 je Državno odvetništvo RS zaključilo 57 zadev, kar je 42,5 odstotka več kot leta 2024, ko je zaključilo 40 zadev.</w:t>
      </w:r>
    </w:p>
    <w:p w14:paraId="12C1D8A8" w14:textId="77777777" w:rsidR="00695AE2" w:rsidRPr="00CB5050" w:rsidRDefault="00695AE2" w:rsidP="00695AE2">
      <w:pPr>
        <w:spacing w:line="240" w:lineRule="auto"/>
        <w:jc w:val="both"/>
        <w:rPr>
          <w:rFonts w:eastAsia="Calibri"/>
          <w:szCs w:val="22"/>
        </w:rPr>
      </w:pPr>
    </w:p>
    <w:p w14:paraId="31A1573C"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bCs/>
          <w:color w:val="007466"/>
          <w:spacing w:val="1"/>
          <w:sz w:val="20"/>
          <w:szCs w:val="20"/>
        </w:rPr>
      </w:pPr>
      <w:r w:rsidRPr="00CB5050">
        <w:rPr>
          <w:rFonts w:eastAsia="Calibri"/>
          <w:b/>
          <w:bCs/>
          <w:color w:val="007466"/>
          <w:spacing w:val="1"/>
          <w:sz w:val="20"/>
          <w:szCs w:val="20"/>
        </w:rPr>
        <w:t>Grafikon: Število prejetih zadev v predhodnem postopku po ZVPSBNO v obdobju 2021 – 2025</w:t>
      </w:r>
    </w:p>
    <w:p w14:paraId="159C671A"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color w:val="007466"/>
          <w:spacing w:val="1"/>
          <w:sz w:val="20"/>
          <w:szCs w:val="20"/>
        </w:rPr>
      </w:pPr>
    </w:p>
    <w:p w14:paraId="2C2BFCCE" w14:textId="77777777" w:rsidR="00695AE2" w:rsidRPr="00CB5050" w:rsidRDefault="00695AE2" w:rsidP="00695AE2">
      <w:pPr>
        <w:spacing w:line="240" w:lineRule="auto"/>
        <w:ind w:firstLine="4"/>
        <w:jc w:val="center"/>
        <w:rPr>
          <w:rFonts w:eastAsia="Times New Roman"/>
          <w:color w:val="000000"/>
          <w:szCs w:val="22"/>
          <w:lang w:eastAsia="sl-SI"/>
        </w:rPr>
      </w:pPr>
      <w:r w:rsidRPr="00CB5050">
        <w:rPr>
          <w:rFonts w:eastAsia="Times New Roman"/>
          <w:noProof/>
          <w:color w:val="000000"/>
          <w:szCs w:val="22"/>
          <w:lang w:eastAsia="sl-SI"/>
        </w:rPr>
        <w:drawing>
          <wp:inline distT="0" distB="0" distL="0" distR="0" wp14:anchorId="27255069" wp14:editId="5D8A8457">
            <wp:extent cx="4584700" cy="2755900"/>
            <wp:effectExtent l="0" t="0" r="6350" b="6350"/>
            <wp:docPr id="176229697" name="Slika 4" descr="Slika, ki vsebuje besede besedilo, posnetek zaslona, pravokotnik, kvadra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9697" name="Slika 4" descr="Slika, ki vsebuje besede besedilo, posnetek zaslona, pravokotnik, kvadrat&#10;&#10;Vsebina, ustvarjena z UI, morda ni praviln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8E32B2" w14:textId="77777777" w:rsidR="00695AE2" w:rsidRPr="00CB5050" w:rsidRDefault="00695AE2" w:rsidP="00695AE2">
      <w:pPr>
        <w:spacing w:line="240" w:lineRule="auto"/>
        <w:ind w:firstLine="4"/>
        <w:jc w:val="both"/>
        <w:rPr>
          <w:rFonts w:eastAsia="Times New Roman"/>
          <w:color w:val="000000"/>
          <w:lang w:eastAsia="sl-SI"/>
        </w:rPr>
      </w:pPr>
    </w:p>
    <w:p w14:paraId="203B918F" w14:textId="77777777" w:rsidR="00695AE2" w:rsidRPr="00CB5050" w:rsidRDefault="00695AE2" w:rsidP="00695AE2">
      <w:pPr>
        <w:spacing w:line="240" w:lineRule="auto"/>
        <w:ind w:firstLine="4"/>
        <w:jc w:val="both"/>
        <w:rPr>
          <w:rFonts w:eastAsia="Times New Roman"/>
          <w:szCs w:val="22"/>
          <w:lang w:eastAsia="sl-SI"/>
        </w:rPr>
      </w:pPr>
      <w:r w:rsidRPr="00CB5050">
        <w:rPr>
          <w:rFonts w:eastAsia="Times New Roman"/>
          <w:szCs w:val="22"/>
          <w:lang w:eastAsia="sl-SI"/>
        </w:rPr>
        <w:t xml:space="preserve">Število prejetih zadev v predhodnem postopku po ZVPSBNO se je v letu 2025 v primerjavi s pripadom v letu 2024 nekoliko zvišalo. Zbrani podatki za leto 2023 so sicer nakazovali na negativen trend zagotavljanja pravice do sojenja brez nepotrebnega odlašanja pred slovenskimi sodišči, saj je v letu 2023 Državno odvetništvo RS zaznalo velik porast zadev; tedaj so se kot bolj problematična izkazovala področja izvršilnih postopkov in nepravdnih postopkov, predvsem postopkov dedovanja in postopkov vzpostavitve etažne lastnine. </w:t>
      </w:r>
    </w:p>
    <w:p w14:paraId="284BEBF3" w14:textId="77777777" w:rsidR="00695AE2" w:rsidRPr="00CB5050" w:rsidRDefault="00695AE2" w:rsidP="00695AE2">
      <w:pPr>
        <w:spacing w:line="240" w:lineRule="auto"/>
        <w:ind w:firstLine="4"/>
        <w:jc w:val="both"/>
        <w:rPr>
          <w:rFonts w:eastAsia="Times New Roman"/>
          <w:szCs w:val="22"/>
          <w:lang w:eastAsia="sl-SI"/>
        </w:rPr>
      </w:pPr>
    </w:p>
    <w:p w14:paraId="03A78A52" w14:textId="77777777" w:rsidR="00695AE2" w:rsidRPr="00CB5050" w:rsidRDefault="00695AE2" w:rsidP="00695AE2">
      <w:pPr>
        <w:spacing w:line="240" w:lineRule="auto"/>
        <w:ind w:firstLine="4"/>
        <w:jc w:val="both"/>
        <w:rPr>
          <w:rFonts w:eastAsia="Times New Roman"/>
          <w:szCs w:val="22"/>
          <w:lang w:eastAsia="sl-SI"/>
        </w:rPr>
      </w:pPr>
      <w:r w:rsidRPr="00CB5050">
        <w:rPr>
          <w:rFonts w:eastAsia="Times New Roman"/>
          <w:szCs w:val="22"/>
          <w:lang w:eastAsia="sl-SI"/>
        </w:rPr>
        <w:t xml:space="preserve">V letu 2024 se trend povečevanja števila zadev iz naslova ZVPSBNO ni nadaljeval in tudi število prejetih zahtevkov na podlagi ZVPSBNO v letu 2025, ki je sicer za 70 odstotkov višje kot v letu </w:t>
      </w:r>
      <w:r w:rsidRPr="00CB5050">
        <w:rPr>
          <w:rFonts w:eastAsia="Times New Roman"/>
          <w:szCs w:val="22"/>
          <w:lang w:eastAsia="sl-SI"/>
        </w:rPr>
        <w:lastRenderedPageBreak/>
        <w:t>2024, po oceni Državnega odvetništva RS še ni skrb vzbujajoče oziroma ne predstavlja podlage za morebitne zaključke o sistemsko pogojenih težavah slovenskega pravosodja.  Za leto 2025 je bilo mogoče ugotoviti, da g</w:t>
      </w:r>
      <w:r w:rsidRPr="00CB5050">
        <w:rPr>
          <w:rFonts w:eastAsia="Times New Roman"/>
          <w:lang w:eastAsia="sl-SI"/>
        </w:rPr>
        <w:t xml:space="preserve">lavnina zadev, v katerih so sodni zaostanki nastajali, izvira iz odškodninskih sporov, delovnopravnih sporov (odškodnina zaradi poškodbe pri delu) in kazenskih postopkov.  </w:t>
      </w:r>
    </w:p>
    <w:p w14:paraId="4D721260" w14:textId="77777777" w:rsidR="00695AE2" w:rsidRPr="00CB5050" w:rsidRDefault="00695AE2" w:rsidP="00695AE2">
      <w:pPr>
        <w:spacing w:line="240" w:lineRule="auto"/>
        <w:jc w:val="both"/>
        <w:rPr>
          <w:rFonts w:eastAsia="Times New Roman"/>
          <w:szCs w:val="22"/>
          <w:lang w:eastAsia="sl-SI"/>
        </w:rPr>
      </w:pPr>
    </w:p>
    <w:p w14:paraId="2C37DB9F" w14:textId="77777777" w:rsidR="00695AE2" w:rsidRPr="00CB5050" w:rsidRDefault="00695AE2" w:rsidP="00695AE2">
      <w:pPr>
        <w:pStyle w:val="Naslov4"/>
      </w:pPr>
      <w:bookmarkStart w:id="662" w:name="_Toc168844975"/>
      <w:bookmarkStart w:id="663" w:name="_Toc191561954"/>
      <w:bookmarkStart w:id="664" w:name="_Toc223093954"/>
      <w:r w:rsidRPr="00CB5050">
        <w:t>Ukrepi za obvladovanje zadev in priporočila Državnega odvetništva RS</w:t>
      </w:r>
      <w:bookmarkEnd w:id="662"/>
      <w:bookmarkEnd w:id="663"/>
      <w:bookmarkEnd w:id="664"/>
      <w:r w:rsidRPr="00CB5050">
        <w:t xml:space="preserve"> </w:t>
      </w:r>
    </w:p>
    <w:p w14:paraId="75F12811" w14:textId="77777777" w:rsidR="00695AE2" w:rsidRPr="00CB5050" w:rsidRDefault="00695AE2" w:rsidP="00695AE2">
      <w:pPr>
        <w:spacing w:line="240" w:lineRule="auto"/>
        <w:jc w:val="both"/>
        <w:rPr>
          <w:rFonts w:eastAsia="Calibri"/>
          <w:shd w:val="clear" w:color="auto" w:fill="FFFFFF"/>
        </w:rPr>
      </w:pPr>
      <w:bookmarkStart w:id="665" w:name="_Hlk135395571"/>
    </w:p>
    <w:p w14:paraId="3F9B150E" w14:textId="77777777" w:rsidR="00695AE2" w:rsidRPr="00CB5050" w:rsidRDefault="00695AE2" w:rsidP="00695AE2">
      <w:pPr>
        <w:pStyle w:val="Naslov5"/>
      </w:pPr>
      <w:bookmarkStart w:id="666" w:name="_Toc168844977"/>
      <w:bookmarkStart w:id="667" w:name="_Toc191561955"/>
      <w:bookmarkStart w:id="668" w:name="_Toc223093955"/>
      <w:r w:rsidRPr="00CB5050">
        <w:t>Nespoštovanje časovnih standardov glede izdaje sodne odločbe</w:t>
      </w:r>
      <w:bookmarkEnd w:id="666"/>
      <w:bookmarkEnd w:id="667"/>
      <w:bookmarkEnd w:id="668"/>
    </w:p>
    <w:p w14:paraId="3B837DBF" w14:textId="77777777" w:rsidR="00695AE2" w:rsidRPr="00CB5050" w:rsidRDefault="00695AE2" w:rsidP="00695AE2">
      <w:pPr>
        <w:spacing w:line="240" w:lineRule="auto"/>
        <w:jc w:val="both"/>
        <w:rPr>
          <w:rFonts w:eastAsia="Calibri"/>
          <w:szCs w:val="22"/>
        </w:rPr>
      </w:pPr>
    </w:p>
    <w:p w14:paraId="3E7BE30D"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ocenjuje, da bi bilo v primerih, ko potek posameznega postopka bistveno odstopa od s strani predsednika Vrhovnega sodišča RS sprejetih časovnih standardov oziroma v primerih, ko je zaznati, da se postopek neutemeljeno zavlačuje, smiselno vložiti predloge za pospešitev postopka, v primeru, da se pospešitveni predlog ne bi udejanjil, pa uporabiti tudi institut nadzorstvene pritožbe po ZVPSBNO. </w:t>
      </w:r>
    </w:p>
    <w:p w14:paraId="31C23B52" w14:textId="77777777" w:rsidR="00695AE2" w:rsidRPr="00CB5050" w:rsidRDefault="00695AE2" w:rsidP="00695AE2">
      <w:pPr>
        <w:spacing w:line="240" w:lineRule="auto"/>
        <w:jc w:val="both"/>
        <w:rPr>
          <w:rFonts w:eastAsia="Calibri"/>
          <w:szCs w:val="22"/>
        </w:rPr>
      </w:pPr>
    </w:p>
    <w:p w14:paraId="036A8B37"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ki je eden od varuhov pravnih in tudi javnofinančnih interesov Republike Slovenije, mora namreč skrbeti za spoštovanje pravice do sojenja brez nepotrebnega odlašanja. S tem se varujejo ne le finančni interesi države in zmanjšujejo finančni učinki v breme državnega proračuna (na primer v primerih, ko bi zaradi prisoje odškodnine zamudne obresti tekle od dneva zaključka glavne obravnave, sodba pa ni izdana daljše obdobje), temveč se tako tudi preprečuje odškodninska odgovornost države po ZVPSBNO, ki bi nastala nasprotni stranki zaradi neizdane sodne odločbe ali poteka postopka, v katerem prihaja do sojenja z nepotrebnim odlašanjem. </w:t>
      </w:r>
    </w:p>
    <w:p w14:paraId="296B68F7" w14:textId="77777777" w:rsidR="00695AE2" w:rsidRPr="00CB5050" w:rsidRDefault="00695AE2" w:rsidP="00695AE2">
      <w:pPr>
        <w:spacing w:line="240" w:lineRule="auto"/>
        <w:jc w:val="both"/>
        <w:rPr>
          <w:rFonts w:eastAsia="Calibri"/>
          <w:szCs w:val="22"/>
        </w:rPr>
      </w:pPr>
    </w:p>
    <w:p w14:paraId="18A6971C" w14:textId="77777777" w:rsidR="00695AE2" w:rsidRPr="00CB5050" w:rsidRDefault="00695AE2" w:rsidP="00695AE2">
      <w:pPr>
        <w:pStyle w:val="Naslov5"/>
      </w:pPr>
      <w:bookmarkStart w:id="669" w:name="_Toc191561956"/>
      <w:bookmarkStart w:id="670" w:name="_Toc223093956"/>
      <w:r w:rsidRPr="00CB5050">
        <w:t>Praksa ESČP glede kršitve pravice do sojenja v razumnem roku</w:t>
      </w:r>
      <w:bookmarkEnd w:id="669"/>
      <w:bookmarkEnd w:id="670"/>
    </w:p>
    <w:p w14:paraId="49FFDCAC" w14:textId="77777777" w:rsidR="00695AE2" w:rsidRPr="00CB5050" w:rsidRDefault="00695AE2" w:rsidP="00695AE2">
      <w:pPr>
        <w:spacing w:line="240" w:lineRule="auto"/>
        <w:jc w:val="both"/>
        <w:rPr>
          <w:rFonts w:eastAsia="Times New Roman"/>
          <w:color w:val="000000"/>
          <w:lang w:eastAsia="sl-SI"/>
        </w:rPr>
      </w:pPr>
    </w:p>
    <w:p w14:paraId="77C1819B" w14:textId="77777777" w:rsidR="00695AE2" w:rsidRPr="00CB5050" w:rsidRDefault="00695AE2" w:rsidP="00695AE2">
      <w:pPr>
        <w:spacing w:line="240" w:lineRule="auto"/>
        <w:jc w:val="both"/>
        <w:rPr>
          <w:rFonts w:eastAsia="Times New Roman"/>
          <w:color w:val="000000"/>
          <w:lang w:eastAsia="sl-SI"/>
        </w:rPr>
      </w:pPr>
      <w:r w:rsidRPr="00CB5050">
        <w:rPr>
          <w:rFonts w:eastAsia="Times New Roman"/>
          <w:color w:val="000000"/>
          <w:lang w:eastAsia="sl-SI"/>
        </w:rPr>
        <w:t xml:space="preserve">Državno odvetništvo RS v postopkih odločanja o zahtevkih, vloženih na podlagi ZVPSBNO, uporablja analizo prakse ESČP glede kršitve pravice do sojenja v razumnem roku, ki je objavljena tudi na spletni strani Državnega odvetništva RS in obsega pregled zadev, v katerih je ESČP odločalo do konca leta 2009. Poleg tega so na spletni strani Državnega odvetništva RS objavljene tudi zadeve, ki jih je ESČP obravnavalo od leta 2010 dalje. Analiza novejših zadev zaenkrat ni bila pripravljena, bi pa bila tako nosilcem spisov kot tudi komisiji v precejšnjo pomoč pri obravnavi zadev. </w:t>
      </w:r>
    </w:p>
    <w:p w14:paraId="55961051" w14:textId="77777777" w:rsidR="00695AE2" w:rsidRPr="00CB5050" w:rsidRDefault="00695AE2" w:rsidP="00695AE2">
      <w:pPr>
        <w:spacing w:line="240" w:lineRule="auto"/>
        <w:jc w:val="both"/>
        <w:rPr>
          <w:rFonts w:eastAsia="Times New Roman"/>
          <w:color w:val="000000"/>
          <w:lang w:eastAsia="sl-SI"/>
        </w:rPr>
      </w:pPr>
      <w:r w:rsidRPr="00CB5050">
        <w:rPr>
          <w:rFonts w:eastAsia="Times New Roman"/>
          <w:color w:val="000000"/>
          <w:lang w:eastAsia="sl-SI"/>
        </w:rPr>
        <w:t xml:space="preserve"> </w:t>
      </w:r>
    </w:p>
    <w:p w14:paraId="78FCDAC0" w14:textId="77777777" w:rsidR="00695AE2" w:rsidRPr="00CB5050" w:rsidRDefault="00695AE2" w:rsidP="00695AE2">
      <w:pPr>
        <w:spacing w:line="240" w:lineRule="auto"/>
        <w:jc w:val="both"/>
        <w:rPr>
          <w:rFonts w:eastAsia="Times New Roman"/>
          <w:color w:val="000000"/>
          <w:lang w:eastAsia="sl-SI"/>
        </w:rPr>
      </w:pPr>
      <w:r w:rsidRPr="00CB5050">
        <w:rPr>
          <w:rFonts w:eastAsia="Times New Roman"/>
          <w:color w:val="000000"/>
          <w:lang w:eastAsia="sl-SI"/>
        </w:rPr>
        <w:t>V večini primerov ESČP v zadnjem času pri štetju sodnih stopenj ne upošteva več (enkratnega ali večkratnega) vračanja zadeve v novo sojenje, bi pa bila na mestu tudi podrobnejša analiza odškodnin, prisojenih s strani ESČP v zadnjih letih, in primerjava teh odškodnin z odškodninami, prisojenimi pred letom 2010. V nekaterih zadevah, v katerih je ESČP odločalo v preteklosti, je bilo namreč ob upoštevanju vračanja zadeve v novo sojenje določenih tudi po 10 in več sodnih stopenj; manjše število sodnih stopenj, po drugi strani, ob enakem trajanju postopka v posledici pomeni višjo odškodnino. Izbira ustreznega izhodišča oziroma pristopa zato nedvomno vpliva na oblikovanje ponudb v izvensodnih poravnavah.</w:t>
      </w:r>
      <w:bookmarkStart w:id="671" w:name="_Toc95149756"/>
      <w:bookmarkStart w:id="672" w:name="_Toc168844978"/>
      <w:bookmarkEnd w:id="665"/>
    </w:p>
    <w:p w14:paraId="1760E419" w14:textId="77777777" w:rsidR="00695AE2" w:rsidRPr="00CB5050" w:rsidRDefault="00695AE2" w:rsidP="00695AE2">
      <w:pPr>
        <w:spacing w:line="240" w:lineRule="auto"/>
        <w:jc w:val="both"/>
        <w:rPr>
          <w:rFonts w:eastAsia="Times New Roman"/>
          <w:color w:val="000000"/>
          <w:sz w:val="28"/>
          <w:szCs w:val="28"/>
          <w:lang w:eastAsia="sl-SI"/>
        </w:rPr>
      </w:pPr>
    </w:p>
    <w:p w14:paraId="7B1B5FBB" w14:textId="77777777" w:rsidR="00695AE2" w:rsidRPr="00CB5050" w:rsidRDefault="00695AE2" w:rsidP="00695AE2">
      <w:pPr>
        <w:pStyle w:val="Naslov3"/>
      </w:pPr>
      <w:bookmarkStart w:id="673" w:name="_Toc191561959"/>
      <w:bookmarkStart w:id="674" w:name="_Toc223093957"/>
      <w:r w:rsidRPr="00CB5050">
        <w:t>Predhodni postopki po XXXII. poglavju Zakona o kazenskem postopku</w:t>
      </w:r>
      <w:bookmarkEnd w:id="671"/>
      <w:bookmarkEnd w:id="672"/>
      <w:bookmarkEnd w:id="673"/>
      <w:bookmarkEnd w:id="674"/>
    </w:p>
    <w:p w14:paraId="6434822A" w14:textId="77777777" w:rsidR="00695AE2" w:rsidRPr="00CB5050" w:rsidRDefault="00695AE2" w:rsidP="00695AE2">
      <w:pPr>
        <w:spacing w:line="240" w:lineRule="auto"/>
        <w:rPr>
          <w:rFonts w:eastAsia="Calibri"/>
          <w:sz w:val="28"/>
          <w:szCs w:val="28"/>
        </w:rPr>
      </w:pPr>
    </w:p>
    <w:p w14:paraId="4D728190" w14:textId="77777777" w:rsidR="00695AE2" w:rsidRPr="00CB5050" w:rsidRDefault="00695AE2" w:rsidP="00695AE2">
      <w:pPr>
        <w:pStyle w:val="Naslov4"/>
      </w:pPr>
      <w:bookmarkStart w:id="675" w:name="_Toc95149757"/>
      <w:bookmarkStart w:id="676" w:name="_Toc168844979"/>
      <w:bookmarkStart w:id="677" w:name="_Toc191561960"/>
      <w:bookmarkStart w:id="678" w:name="_Toc223093958"/>
      <w:r w:rsidRPr="00CB5050">
        <w:lastRenderedPageBreak/>
        <w:t>Uvod</w:t>
      </w:r>
      <w:bookmarkEnd w:id="675"/>
      <w:bookmarkEnd w:id="676"/>
      <w:bookmarkEnd w:id="677"/>
      <w:bookmarkEnd w:id="678"/>
    </w:p>
    <w:p w14:paraId="3CE15844" w14:textId="77777777" w:rsidR="00695AE2" w:rsidRPr="00CB5050" w:rsidRDefault="00695AE2" w:rsidP="00695AE2">
      <w:pPr>
        <w:spacing w:line="240" w:lineRule="auto"/>
        <w:rPr>
          <w:rFonts w:eastAsia="Calibri"/>
        </w:rPr>
      </w:pPr>
    </w:p>
    <w:p w14:paraId="2C03F236" w14:textId="77777777" w:rsidR="00695AE2" w:rsidRPr="00CB5050" w:rsidRDefault="00695AE2" w:rsidP="00695AE2">
      <w:pPr>
        <w:spacing w:line="240" w:lineRule="auto"/>
        <w:jc w:val="both"/>
        <w:rPr>
          <w:rFonts w:eastAsia="Calibri"/>
        </w:rPr>
      </w:pPr>
      <w:r w:rsidRPr="00CB5050">
        <w:rPr>
          <w:rFonts w:eastAsia="Times New Roman"/>
          <w:lang w:eastAsia="sl-SI"/>
        </w:rPr>
        <w:t xml:space="preserve">Zakon o kazenskem postopku (ZKP) celotno XXXII. poglavje namenja postopku za povrnitev škode, rehabilitacijo in uveljavitev drugih pravic oseb, ki so bile neupravičeno obsojene ali jim je bila neutemeljeno odvzeta prostost. </w:t>
      </w:r>
      <w:r w:rsidRPr="00CB5050">
        <w:rPr>
          <w:rFonts w:eastAsia="Calibri"/>
        </w:rPr>
        <w:t>Pravica do odškodnine pripada oškodovancu tudi, kadar je odvzem prostosti nezakonit, v tem primeru neodvisno od izida postopka, posamezne zadeve pa se nanašajo tudi na plačilo odškodnine zaradi zasega predmetov ali sodelovanja v postopku odloženega pregona in podobno.</w:t>
      </w:r>
    </w:p>
    <w:p w14:paraId="2E6FBC5D" w14:textId="77777777" w:rsidR="00695AE2" w:rsidRPr="00CB5050" w:rsidRDefault="00695AE2" w:rsidP="00695AE2">
      <w:pPr>
        <w:spacing w:line="240" w:lineRule="auto"/>
        <w:jc w:val="both"/>
        <w:rPr>
          <w:rFonts w:eastAsia="Calibri"/>
        </w:rPr>
      </w:pPr>
    </w:p>
    <w:p w14:paraId="0F99FED9" w14:textId="77777777" w:rsidR="00695AE2" w:rsidRPr="00CB5050" w:rsidRDefault="00695AE2" w:rsidP="00695AE2">
      <w:pPr>
        <w:spacing w:line="240" w:lineRule="auto"/>
        <w:jc w:val="both"/>
        <w:rPr>
          <w:rFonts w:eastAsia="Calibri"/>
        </w:rPr>
      </w:pPr>
      <w:r w:rsidRPr="00CB5050">
        <w:rPr>
          <w:rFonts w:eastAsia="Calibri"/>
        </w:rPr>
        <w:t>Pravica do povrnitve škode in rehabilitacije je temeljna človekova pravica, katere varstvo zagotavlja 30. člen Ustave RS. Navedena ustavna določba določa objektivno odgovornost države za škodo v primeru, ko je iz katerega koli vzroka (krivdnega ali nekrivdnega, pravnega ali protipravnega) prišlo do neupravičene obsodbe oziroma neutemeljenega odvzema prostosti. Gre za posebno osebnostno pravico, ki jo lahko uveljavlja le neupravičeno obsojena oseba oziroma oseba, ki ji je bila neupravičeno odvzeta prostost.</w:t>
      </w:r>
      <w:r w:rsidRPr="00CB5050">
        <w:rPr>
          <w:rFonts w:eastAsia="Calibri"/>
          <w:vertAlign w:val="superscript"/>
        </w:rPr>
        <w:t xml:space="preserve"> </w:t>
      </w:r>
      <w:r w:rsidRPr="00CB5050">
        <w:rPr>
          <w:rFonts w:eastAsia="Calibri"/>
          <w:vertAlign w:val="superscript"/>
        </w:rPr>
        <w:footnoteReference w:id="24"/>
      </w:r>
      <w:r w:rsidRPr="00CB5050">
        <w:rPr>
          <w:rFonts w:eastAsia="Calibri"/>
        </w:rPr>
        <w:t xml:space="preserve"> S tem ko je posamezniku dana možnost, da mu država v takšnih primerih povrne škodo in ga rehabilitira, je zagotovljeno spoštovanje pravne države ter predložena bistvena predpostavka za učinkovito varstvo človekovih pravic.</w:t>
      </w:r>
      <w:r w:rsidRPr="00CB5050">
        <w:rPr>
          <w:rFonts w:eastAsia="Calibri"/>
          <w:vertAlign w:val="superscript"/>
        </w:rPr>
        <w:footnoteReference w:id="25"/>
      </w:r>
      <w:r w:rsidRPr="00CB5050">
        <w:rPr>
          <w:rFonts w:eastAsia="Calibri"/>
        </w:rPr>
        <w:t xml:space="preserve"> </w:t>
      </w:r>
    </w:p>
    <w:p w14:paraId="21D2941D" w14:textId="77777777" w:rsidR="00695AE2" w:rsidRPr="00CB5050" w:rsidRDefault="00695AE2" w:rsidP="00695AE2">
      <w:pPr>
        <w:spacing w:line="240" w:lineRule="auto"/>
        <w:jc w:val="both"/>
        <w:rPr>
          <w:rFonts w:eastAsia="Times New Roman"/>
          <w:lang w:eastAsia="sl-SI"/>
        </w:rPr>
      </w:pPr>
    </w:p>
    <w:p w14:paraId="2688E8BD" w14:textId="77777777" w:rsidR="00695AE2" w:rsidRPr="00CB5050" w:rsidRDefault="00695AE2" w:rsidP="00695AE2">
      <w:pPr>
        <w:spacing w:line="240" w:lineRule="auto"/>
        <w:jc w:val="both"/>
        <w:rPr>
          <w:rFonts w:eastAsia="Calibri"/>
          <w:szCs w:val="22"/>
        </w:rPr>
      </w:pPr>
      <w:r w:rsidRPr="00CB5050">
        <w:rPr>
          <w:rFonts w:eastAsia="Calibri"/>
          <w:szCs w:val="22"/>
        </w:rPr>
        <w:t xml:space="preserve">Ob izpolnjenih predpostavkah, določenih v </w:t>
      </w:r>
      <w:r w:rsidRPr="00CB5050">
        <w:rPr>
          <w:rFonts w:eastAsia="Times New Roman"/>
          <w:lang w:eastAsia="sl-SI"/>
        </w:rPr>
        <w:t>XXXII. poglavju ZKP</w:t>
      </w:r>
      <w:r w:rsidRPr="00CB5050">
        <w:rPr>
          <w:rFonts w:eastAsia="Calibri"/>
          <w:szCs w:val="22"/>
        </w:rPr>
        <w:t xml:space="preserve">, pripada torej oškodovancu pravica do odškodnine, ne da bi se v postopku ugotavljala protipravnost ravnanja Republike Slovenije, predmet dokazovanja pa so ostale predpostavke odškodninske odgovornosti po Obligacijskem zakoniku: obstoj škode, vzročna zveza med škodnim dogodkom in škodo ter odgovornost.  </w:t>
      </w:r>
    </w:p>
    <w:p w14:paraId="6D556A15" w14:textId="77777777" w:rsidR="00695AE2" w:rsidRPr="00CB5050" w:rsidRDefault="00695AE2" w:rsidP="00695AE2">
      <w:pPr>
        <w:spacing w:line="240" w:lineRule="auto"/>
        <w:jc w:val="both"/>
        <w:rPr>
          <w:rFonts w:eastAsia="Times New Roman"/>
          <w:lang w:eastAsia="sl-SI"/>
        </w:rPr>
      </w:pPr>
    </w:p>
    <w:p w14:paraId="00D39627" w14:textId="77777777" w:rsidR="00695AE2" w:rsidRPr="00CB5050" w:rsidRDefault="00695AE2" w:rsidP="00695AE2">
      <w:pPr>
        <w:spacing w:line="240" w:lineRule="auto"/>
        <w:jc w:val="both"/>
        <w:rPr>
          <w:rFonts w:eastAsia="Calibri"/>
        </w:rPr>
      </w:pPr>
      <w:r w:rsidRPr="00CB5050">
        <w:rPr>
          <w:rFonts w:eastAsia="Calibri"/>
        </w:rPr>
        <w:t xml:space="preserve">Zahtevke po </w:t>
      </w:r>
      <w:r w:rsidRPr="00CB5050">
        <w:rPr>
          <w:rFonts w:eastAsia="Calibri"/>
          <w:szCs w:val="22"/>
        </w:rPr>
        <w:t>XXXII. poglavju ZKP</w:t>
      </w:r>
      <w:r w:rsidRPr="00CB5050">
        <w:rPr>
          <w:rFonts w:eastAsia="Calibri"/>
        </w:rPr>
        <w:t xml:space="preserve"> v predhodnem postopku Državno odvetništvo RS vodi v vpisniku PK, v skladu z določbo tretje alineje prvega odstavka 42. člena ZDOdv pa se zadeve obravnavajo le na sedežu Državnega odvetništva RS v Ljubljani, kjer je ustanovljena posebna komisija za odločanje o odškodninskih zahtevkih po XXXII. poglavju Zakona o kazenskem postopku in XIV. poglavju Zakona o prekrških (v nadaljevanju: komisija). </w:t>
      </w:r>
      <w:r w:rsidRPr="00CB5050">
        <w:rPr>
          <w:rFonts w:eastAsia="Calibri"/>
          <w:szCs w:val="22"/>
        </w:rPr>
        <w:t>Komisija oblikuje priporočila in smernice za poenoteno delovanje, obravnava problemska vprašanja s področja in omogoča strokovno vsebinsko razpravo.</w:t>
      </w:r>
      <w:r w:rsidRPr="00CB5050">
        <w:rPr>
          <w:rFonts w:eastAsia="Calibri"/>
        </w:rPr>
        <w:t xml:space="preserve"> </w:t>
      </w:r>
      <w:r w:rsidRPr="00CB5050">
        <w:rPr>
          <w:rFonts w:eastAsia="Calibri"/>
          <w:szCs w:val="22"/>
        </w:rPr>
        <w:t>Komisija skrbi tudi za enotno prakso Državnega odvetništva RS, ki sledi ustaljeni sodni praksi s tega področja.</w:t>
      </w:r>
      <w:r w:rsidRPr="00CB5050">
        <w:rPr>
          <w:rFonts w:eastAsia="Calibri"/>
        </w:rPr>
        <w:t xml:space="preserve"> S tem razlogom komisija spremlja aktualno sodno prakso in se po potrebi glede posameznih pravnih vprašanj poveže s pravnimi strokovnjaki s kazenskega področja. </w:t>
      </w:r>
    </w:p>
    <w:p w14:paraId="503406A5" w14:textId="77777777" w:rsidR="00695AE2" w:rsidRPr="00CB5050" w:rsidRDefault="00695AE2" w:rsidP="00695AE2">
      <w:pPr>
        <w:spacing w:line="240" w:lineRule="auto"/>
        <w:jc w:val="both"/>
        <w:rPr>
          <w:rFonts w:eastAsia="Calibri"/>
          <w:szCs w:val="22"/>
        </w:rPr>
      </w:pPr>
    </w:p>
    <w:p w14:paraId="76EFD5C9" w14:textId="77777777" w:rsidR="00695AE2" w:rsidRPr="00CB5050" w:rsidRDefault="00695AE2" w:rsidP="00695AE2">
      <w:pPr>
        <w:spacing w:line="240" w:lineRule="auto"/>
        <w:jc w:val="both"/>
        <w:rPr>
          <w:rFonts w:eastAsia="Calibri"/>
        </w:rPr>
      </w:pPr>
      <w:r w:rsidRPr="00CB5050">
        <w:rPr>
          <w:rFonts w:eastAsia="Calibri"/>
        </w:rPr>
        <w:t xml:space="preserve">Obveznost poskusa mirne rešitve spora določa ZKP, pri obravnavi odškodninskih zahtevkov pa se uporabljajo tudi določila ZDOdv o predhodnem postopku mirne rešitve spora. </w:t>
      </w:r>
    </w:p>
    <w:p w14:paraId="69E97043" w14:textId="77777777" w:rsidR="00695AE2" w:rsidRPr="00CB5050" w:rsidRDefault="00695AE2" w:rsidP="00695AE2">
      <w:pPr>
        <w:spacing w:line="240" w:lineRule="auto"/>
        <w:jc w:val="both"/>
        <w:rPr>
          <w:rFonts w:eastAsia="Calibri"/>
        </w:rPr>
      </w:pPr>
    </w:p>
    <w:p w14:paraId="3B849813" w14:textId="77777777" w:rsidR="00695AE2" w:rsidRPr="00CB5050" w:rsidRDefault="00695AE2" w:rsidP="00695AE2">
      <w:pPr>
        <w:spacing w:line="240" w:lineRule="auto"/>
        <w:jc w:val="both"/>
        <w:rPr>
          <w:rFonts w:eastAsia="Calibri"/>
        </w:rPr>
      </w:pPr>
      <w:r w:rsidRPr="00CB5050">
        <w:rPr>
          <w:rFonts w:eastAsia="Calibri"/>
        </w:rPr>
        <w:t xml:space="preserve">Če zahtevi za povrnitev škode ni ugodeno ali če Državno odvetništvo RS in oškodovanec ne dosežeta sporazuma o mirni rešitvi spornega razmerja v treh mesecih od njene vložitve, sme oškodovanec vložiti pri pristojnem sodišču tožbo za povrnitev škode, tožbi pa mora priložiti potrdilo o neuspelem poskusu mirne rešitve spora v predhodnem postopku, ki ga izda državni odvetnik v osmih dneh od dne, ko se je postopek končal. Če je bil dosežen sporazum le glede </w:t>
      </w:r>
      <w:r w:rsidRPr="00CB5050">
        <w:rPr>
          <w:rFonts w:eastAsia="Calibri"/>
        </w:rPr>
        <w:lastRenderedPageBreak/>
        <w:t>dela zahtevka, sme oškodovanec vložiti tožbo glede ostanka. Dokler pred Državnim odvetništvom RS traja predhodni postopek, zastaranje pravice do povrnitve škode ne teče.</w:t>
      </w:r>
    </w:p>
    <w:p w14:paraId="68CAF3A8" w14:textId="77777777" w:rsidR="00695AE2" w:rsidRPr="00CB5050" w:rsidRDefault="00695AE2" w:rsidP="00695AE2">
      <w:pPr>
        <w:pStyle w:val="Jasna"/>
      </w:pPr>
      <w:bookmarkStart w:id="679" w:name="_Toc95149758"/>
    </w:p>
    <w:p w14:paraId="4CF25D4E" w14:textId="77777777" w:rsidR="00695AE2" w:rsidRPr="00CB5050" w:rsidRDefault="00695AE2" w:rsidP="00695AE2">
      <w:pPr>
        <w:pStyle w:val="Naslov4"/>
      </w:pPr>
      <w:bookmarkStart w:id="680" w:name="_Toc168844980"/>
      <w:bookmarkStart w:id="681" w:name="_Toc191561961"/>
      <w:bookmarkStart w:id="682" w:name="_Toc223093959"/>
      <w:r w:rsidRPr="00CB5050">
        <w:t>Statisti</w:t>
      </w:r>
      <w:bookmarkEnd w:id="679"/>
      <w:bookmarkEnd w:id="680"/>
      <w:r w:rsidRPr="00CB5050">
        <w:t>čni podatki</w:t>
      </w:r>
      <w:bookmarkEnd w:id="681"/>
      <w:bookmarkEnd w:id="682"/>
    </w:p>
    <w:p w14:paraId="08F25B0C" w14:textId="77777777" w:rsidR="00695AE2" w:rsidRPr="00CB5050" w:rsidRDefault="00695AE2" w:rsidP="00695AE2">
      <w:pPr>
        <w:spacing w:line="240" w:lineRule="auto"/>
        <w:rPr>
          <w:rFonts w:eastAsia="Calibri"/>
        </w:rPr>
      </w:pPr>
    </w:p>
    <w:p w14:paraId="549B8970" w14:textId="77777777" w:rsidR="00695AE2" w:rsidRPr="00CB5050" w:rsidRDefault="00695AE2" w:rsidP="00695AE2">
      <w:pPr>
        <w:spacing w:line="240" w:lineRule="auto"/>
        <w:jc w:val="both"/>
        <w:rPr>
          <w:rFonts w:eastAsia="Calibri"/>
          <w:szCs w:val="22"/>
        </w:rPr>
      </w:pPr>
      <w:r w:rsidRPr="00CB5050">
        <w:rPr>
          <w:rFonts w:eastAsia="Calibri"/>
          <w:szCs w:val="22"/>
        </w:rPr>
        <w:t>V letu 2025 je Državno odvetništvo RS prejelo 40 zahtevkov</w:t>
      </w:r>
      <w:r w:rsidRPr="00CB5050">
        <w:rPr>
          <w:rFonts w:eastAsia="Times New Roman"/>
          <w:lang w:eastAsia="sl-SI"/>
        </w:rPr>
        <w:t xml:space="preserve"> po XXXII. poglavju ZKP</w:t>
      </w:r>
      <w:r w:rsidRPr="00CB5050">
        <w:rPr>
          <w:rFonts w:eastAsia="Calibri"/>
          <w:szCs w:val="22"/>
        </w:rPr>
        <w:t xml:space="preserve">. Državno odvetništvo RS je imelo na tem področju v letu 2025 v delu 66 zadev, zaključilo je 50 zadev, na dan 31. 12. 2025 pa je bilo odprtih 10 zadev. </w:t>
      </w:r>
    </w:p>
    <w:p w14:paraId="6DF482B9" w14:textId="77777777" w:rsidR="00695AE2" w:rsidRPr="00CB5050" w:rsidRDefault="00695AE2" w:rsidP="00695AE2">
      <w:pPr>
        <w:spacing w:line="240" w:lineRule="auto"/>
        <w:jc w:val="both"/>
        <w:rPr>
          <w:rFonts w:eastAsia="Calibri"/>
        </w:rPr>
      </w:pPr>
    </w:p>
    <w:p w14:paraId="5847E8C5" w14:textId="77777777" w:rsidR="00695AE2" w:rsidRPr="00CB5050" w:rsidRDefault="00695AE2" w:rsidP="00695AE2">
      <w:pPr>
        <w:pStyle w:val="Naslov4"/>
      </w:pPr>
      <w:bookmarkStart w:id="683" w:name="_Toc95149759"/>
      <w:bookmarkStart w:id="684" w:name="_Toc168844981"/>
      <w:bookmarkStart w:id="685" w:name="_Toc191561962"/>
      <w:bookmarkStart w:id="686" w:name="_Toc223093960"/>
      <w:r w:rsidRPr="00CB5050">
        <w:t>Analiza primerjalnih vrednosti</w:t>
      </w:r>
      <w:bookmarkEnd w:id="683"/>
      <w:bookmarkEnd w:id="684"/>
      <w:bookmarkEnd w:id="685"/>
      <w:bookmarkEnd w:id="686"/>
    </w:p>
    <w:p w14:paraId="59B9A741" w14:textId="77777777" w:rsidR="00695AE2" w:rsidRPr="00CB5050" w:rsidRDefault="00695AE2" w:rsidP="00695AE2">
      <w:pPr>
        <w:spacing w:line="240" w:lineRule="auto"/>
        <w:rPr>
          <w:rFonts w:eastAsia="Calibri"/>
        </w:rPr>
      </w:pPr>
    </w:p>
    <w:p w14:paraId="425252B6"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prejelo 40 zahtevkov, kar je 13,04 odstotka manj kot leta 2024, ko je prejelo 46 zahtevkov. </w:t>
      </w:r>
    </w:p>
    <w:p w14:paraId="6B3BF1BF" w14:textId="77777777" w:rsidR="00695AE2" w:rsidRPr="00CB5050" w:rsidRDefault="00695AE2" w:rsidP="00695AE2">
      <w:pPr>
        <w:spacing w:line="240" w:lineRule="auto"/>
        <w:jc w:val="both"/>
        <w:rPr>
          <w:rFonts w:eastAsia="Calibri"/>
        </w:rPr>
      </w:pPr>
    </w:p>
    <w:p w14:paraId="75B62039"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je imelo na tem področju v letu 2025 v delu 60 zadev, kar je 11,76 odstotka manj kot leta 2024, ko je imelo v delu 68 zadev.</w:t>
      </w:r>
    </w:p>
    <w:p w14:paraId="66FF2404" w14:textId="77777777" w:rsidR="00695AE2" w:rsidRPr="00CB5050" w:rsidRDefault="00695AE2" w:rsidP="00695AE2">
      <w:pPr>
        <w:spacing w:line="240" w:lineRule="auto"/>
        <w:jc w:val="both"/>
        <w:rPr>
          <w:rFonts w:eastAsia="Calibri"/>
        </w:rPr>
      </w:pPr>
    </w:p>
    <w:p w14:paraId="65158A4A"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je na tem področju v letu 2025 zaključilo 50 zadev, kar je 5,66 odstotka manj kot leta 2024, ko je zaključilo 53 zadev.</w:t>
      </w:r>
    </w:p>
    <w:p w14:paraId="066714C0" w14:textId="77777777" w:rsidR="00695AE2" w:rsidRPr="00CB5050" w:rsidRDefault="00695AE2" w:rsidP="00695AE2">
      <w:pPr>
        <w:spacing w:line="240" w:lineRule="auto"/>
        <w:jc w:val="both"/>
        <w:rPr>
          <w:rFonts w:eastAsia="Calibri"/>
        </w:rPr>
      </w:pPr>
    </w:p>
    <w:p w14:paraId="3B93B163" w14:textId="77777777" w:rsidR="00695AE2" w:rsidRPr="00CB5050" w:rsidRDefault="00695AE2" w:rsidP="00695AE2">
      <w:pPr>
        <w:spacing w:line="240" w:lineRule="auto"/>
        <w:jc w:val="both"/>
        <w:rPr>
          <w:rFonts w:eastAsia="Calibri"/>
          <w:b/>
          <w:bCs/>
          <w:color w:val="007466"/>
          <w:sz w:val="20"/>
          <w:szCs w:val="20"/>
        </w:rPr>
      </w:pPr>
      <w:r w:rsidRPr="00CB5050">
        <w:rPr>
          <w:rFonts w:eastAsia="Calibri"/>
          <w:szCs w:val="22"/>
        </w:rPr>
        <w:t xml:space="preserve">Na dan 31. 12. 2025 je bilo na Državnem odvetništvu RS odprtih 10 zadev, kar je 33,33 odstotka manj kot na dan 31. 12. 2024, ko je bilo odprtih še 15 zadev. </w:t>
      </w:r>
    </w:p>
    <w:p w14:paraId="2C09002D"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bCs/>
          <w:color w:val="007466"/>
          <w:spacing w:val="1"/>
          <w:sz w:val="20"/>
          <w:szCs w:val="20"/>
        </w:rPr>
      </w:pPr>
    </w:p>
    <w:p w14:paraId="705896AF"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bCs/>
          <w:color w:val="007466"/>
          <w:spacing w:val="1"/>
          <w:sz w:val="20"/>
          <w:szCs w:val="20"/>
        </w:rPr>
      </w:pPr>
      <w:r w:rsidRPr="00CB5050">
        <w:rPr>
          <w:rFonts w:eastAsia="Calibri"/>
          <w:b/>
          <w:bCs/>
          <w:color w:val="007466"/>
          <w:spacing w:val="1"/>
          <w:sz w:val="20"/>
          <w:szCs w:val="20"/>
        </w:rPr>
        <w:t>Grafikon: Število prejetih zadev po XXXII. poglavju ZKP v obdobju 2021 – 2025</w:t>
      </w:r>
    </w:p>
    <w:p w14:paraId="1199BDB3"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color w:val="007466"/>
          <w:spacing w:val="1"/>
          <w:sz w:val="20"/>
          <w:szCs w:val="20"/>
        </w:rPr>
      </w:pPr>
    </w:p>
    <w:p w14:paraId="520F34E6" w14:textId="77777777" w:rsidR="00695AE2" w:rsidRPr="00CB5050" w:rsidRDefault="00695AE2" w:rsidP="00695AE2">
      <w:pPr>
        <w:tabs>
          <w:tab w:val="left" w:pos="283"/>
        </w:tabs>
        <w:autoSpaceDE w:val="0"/>
        <w:autoSpaceDN w:val="0"/>
        <w:adjustRightInd w:val="0"/>
        <w:spacing w:line="20" w:lineRule="atLeast"/>
        <w:jc w:val="center"/>
        <w:textAlignment w:val="center"/>
        <w:rPr>
          <w:rFonts w:eastAsia="Calibri"/>
          <w:color w:val="005600"/>
          <w:spacing w:val="1"/>
          <w:sz w:val="14"/>
          <w:szCs w:val="14"/>
        </w:rPr>
      </w:pPr>
      <w:r w:rsidRPr="00CB5050">
        <w:rPr>
          <w:rFonts w:eastAsia="Calibri"/>
          <w:noProof/>
          <w:color w:val="005600"/>
          <w:spacing w:val="1"/>
          <w:sz w:val="14"/>
          <w:szCs w:val="14"/>
        </w:rPr>
        <w:drawing>
          <wp:inline distT="0" distB="0" distL="0" distR="0" wp14:anchorId="2603E04A" wp14:editId="7DC032D2">
            <wp:extent cx="4584700" cy="2755900"/>
            <wp:effectExtent l="0" t="0" r="6350" b="6350"/>
            <wp:docPr id="216661948" name="Slika 5" descr="Slika, ki vsebuje besede besedilo, posnetek zaslona, pravokotnik, kvadra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61948" name="Slika 5" descr="Slika, ki vsebuje besede besedilo, posnetek zaslona, pravokotnik, kvadrat&#10;&#10;Vsebina, ustvarjena z UI, morda ni praviln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6D303A"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color w:val="007466"/>
          <w:spacing w:val="1"/>
        </w:rPr>
      </w:pPr>
    </w:p>
    <w:p w14:paraId="73DFDE49"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Iz prikaza podatkov v grafikonu je mogoče ugotoviti, da je število novo prejetih odškodninskih zahtevkov </w:t>
      </w:r>
      <w:r w:rsidRPr="00CB5050">
        <w:rPr>
          <w:rFonts w:eastAsia="Times New Roman"/>
          <w:lang w:eastAsia="sl-SI"/>
        </w:rPr>
        <w:t>po XXXII. poglavju ZKP v</w:t>
      </w:r>
      <w:r w:rsidRPr="00CB5050">
        <w:rPr>
          <w:rFonts w:eastAsia="Times New Roman"/>
          <w:szCs w:val="22"/>
        </w:rPr>
        <w:t xml:space="preserve"> obdobju od leta 2021 do leta 2025 konstantno in na letni ravni skoraj enako – v tem obdobju je Državno odvetništvo RS prejelo v povprečju 43 tovrstnih zadev; izjema, ko je bilo prejetih nekoliko več zadev iz tega naslova, je le leto 2023, ko je Državno odvetništvo RS prejelo 51 novih zadev s tega področja dela. Tudi pripad v letu 2025, ko je Državno odvetništvo prejelo 40 novih zadev</w:t>
      </w:r>
      <w:r w:rsidRPr="00CB5050">
        <w:rPr>
          <w:rFonts w:eastAsia="Times New Roman"/>
          <w:lang w:eastAsia="sl-SI"/>
        </w:rPr>
        <w:t xml:space="preserve"> po XXXII. poglavju ZKP, torej ne odstopa od povprečja zadnjih nekaj let. </w:t>
      </w:r>
      <w:r w:rsidRPr="00CB5050">
        <w:rPr>
          <w:rFonts w:eastAsia="Times New Roman"/>
          <w:szCs w:val="22"/>
        </w:rPr>
        <w:t xml:space="preserve">  </w:t>
      </w:r>
    </w:p>
    <w:p w14:paraId="6E5F7FB7" w14:textId="77777777" w:rsidR="00695AE2" w:rsidRPr="00CB5050" w:rsidRDefault="00695AE2" w:rsidP="00695AE2">
      <w:pPr>
        <w:spacing w:line="240" w:lineRule="auto"/>
        <w:jc w:val="both"/>
        <w:rPr>
          <w:rFonts w:eastAsia="Times New Roman"/>
          <w:b/>
          <w:color w:val="007466"/>
          <w:szCs w:val="22"/>
        </w:rPr>
      </w:pPr>
    </w:p>
    <w:p w14:paraId="60B39095" w14:textId="77777777" w:rsidR="00695AE2" w:rsidRPr="00CB5050" w:rsidRDefault="00695AE2" w:rsidP="00695AE2">
      <w:pPr>
        <w:pStyle w:val="Naslov4"/>
      </w:pPr>
      <w:bookmarkStart w:id="687" w:name="_Toc95149760"/>
      <w:bookmarkStart w:id="688" w:name="_Toc168844982"/>
      <w:bookmarkStart w:id="689" w:name="_Toc191561963"/>
      <w:bookmarkStart w:id="690" w:name="_Toc223093961"/>
      <w:r w:rsidRPr="00CB5050">
        <w:t>Ukrepi za obvladovanje zadev in priporočila Državnega odvetništva RS</w:t>
      </w:r>
      <w:bookmarkEnd w:id="687"/>
      <w:bookmarkEnd w:id="688"/>
      <w:bookmarkEnd w:id="689"/>
      <w:bookmarkEnd w:id="690"/>
    </w:p>
    <w:p w14:paraId="63BE7CC4" w14:textId="77777777" w:rsidR="00695AE2" w:rsidRPr="00CB5050" w:rsidRDefault="00695AE2" w:rsidP="00695AE2">
      <w:pPr>
        <w:spacing w:line="240" w:lineRule="auto"/>
        <w:jc w:val="both"/>
        <w:rPr>
          <w:rFonts w:eastAsia="Calibri"/>
        </w:rPr>
      </w:pPr>
    </w:p>
    <w:p w14:paraId="1DC566D6" w14:textId="77777777" w:rsidR="00695AE2" w:rsidRPr="00CB5050" w:rsidRDefault="00695AE2" w:rsidP="00695AE2">
      <w:pPr>
        <w:pStyle w:val="Naslov5"/>
      </w:pPr>
      <w:bookmarkStart w:id="691" w:name="_Toc168844983"/>
      <w:bookmarkStart w:id="692" w:name="_Toc191561964"/>
      <w:bookmarkStart w:id="693" w:name="_Toc223093962"/>
      <w:r w:rsidRPr="00CB5050">
        <w:t>Prizadevanja Državnega odvetništva RS za sklepanje poravnav</w:t>
      </w:r>
      <w:bookmarkEnd w:id="691"/>
      <w:bookmarkEnd w:id="692"/>
      <w:bookmarkEnd w:id="693"/>
    </w:p>
    <w:p w14:paraId="3906EE58" w14:textId="77777777" w:rsidR="00695AE2" w:rsidRPr="00CB5050" w:rsidRDefault="00695AE2" w:rsidP="00695AE2">
      <w:pPr>
        <w:spacing w:line="240" w:lineRule="auto"/>
        <w:jc w:val="both"/>
        <w:rPr>
          <w:rFonts w:eastAsia="Calibri"/>
          <w:szCs w:val="22"/>
        </w:rPr>
      </w:pPr>
    </w:p>
    <w:p w14:paraId="59F26E33" w14:textId="77777777" w:rsidR="00695AE2" w:rsidRPr="00CB5050" w:rsidRDefault="00695AE2" w:rsidP="00695AE2">
      <w:pPr>
        <w:spacing w:line="240" w:lineRule="auto"/>
        <w:jc w:val="both"/>
        <w:rPr>
          <w:rFonts w:eastAsia="Calibri"/>
        </w:rPr>
      </w:pPr>
      <w:r w:rsidRPr="00CB5050">
        <w:rPr>
          <w:rFonts w:eastAsia="Calibri"/>
          <w:szCs w:val="22"/>
        </w:rPr>
        <w:t xml:space="preserve">Državno odvetništvo RS je usmerjeno k reševanju sporov po mirni poti, zato tej usmeritvi sledi tudi komisija. Pri obravnavi predhodnih zahtevkov po </w:t>
      </w:r>
      <w:r w:rsidRPr="00CB5050">
        <w:rPr>
          <w:rFonts w:eastAsia="Times New Roman"/>
          <w:lang w:eastAsia="sl-SI"/>
        </w:rPr>
        <w:t>XXXII. poglavju ZKP</w:t>
      </w:r>
      <w:r w:rsidRPr="00CB5050">
        <w:rPr>
          <w:rFonts w:eastAsia="Calibri"/>
          <w:szCs w:val="22"/>
        </w:rPr>
        <w:t xml:space="preserve"> si Državno odvetništvo RS prizadeva za sklenitev</w:t>
      </w:r>
      <w:r w:rsidRPr="00CB5050">
        <w:rPr>
          <w:rFonts w:eastAsia="Calibri"/>
        </w:rPr>
        <w:t xml:space="preserve"> izvensodne poravnave</w:t>
      </w:r>
      <w:r w:rsidRPr="00CB5050">
        <w:rPr>
          <w:rFonts w:eastAsia="Calibri"/>
          <w:szCs w:val="22"/>
        </w:rPr>
        <w:t xml:space="preserve">, </w:t>
      </w:r>
      <w:r w:rsidRPr="00CB5050">
        <w:rPr>
          <w:rFonts w:eastAsia="Calibri"/>
        </w:rPr>
        <w:t>saj vsaka izvensodno rešena zadeva pomeni manjše število vloženih tožb. Pri tem se Državno odvetništvo RS zaveda, da gre v zadevah zaradi plačila odškodnine zaradi neupravičene obsodbe in neutemeljenega zapora ali pripora praviloma za kompleksne in dolgotrajne sodne postopke. V</w:t>
      </w:r>
      <w:r w:rsidRPr="00CB5050">
        <w:rPr>
          <w:rFonts w:eastAsia="Calibri"/>
          <w:szCs w:val="22"/>
        </w:rPr>
        <w:t xml:space="preserve">sak posamezen zahtevek se zato skrbno in poglobljeno prouči že pred sejo komisije, nato poteka o zadevi strokovna diskusija še na sami seji. </w:t>
      </w:r>
      <w:r w:rsidRPr="00CB5050">
        <w:rPr>
          <w:rFonts w:eastAsia="Calibri"/>
        </w:rPr>
        <w:t xml:space="preserve">Posebna pozornost se namenja individualizaciji odškodnine. </w:t>
      </w:r>
      <w:r w:rsidRPr="00CB5050">
        <w:rPr>
          <w:rFonts w:eastAsia="Calibri"/>
          <w:szCs w:val="22"/>
        </w:rPr>
        <w:t xml:space="preserve">V primeru zavrnitve zahtevka se razlogi zavrnitve podkrepijo z navedbo teorije in sodne prakse ter se tako poskuša nasprotno stranko prepričati v neutemeljenost njene zahteve ter posledično v odločitev, da tožbe ne vloži. </w:t>
      </w:r>
    </w:p>
    <w:p w14:paraId="447A7843" w14:textId="77777777" w:rsidR="00695AE2" w:rsidRPr="00CB5050" w:rsidRDefault="00695AE2" w:rsidP="00695AE2">
      <w:pPr>
        <w:spacing w:line="240" w:lineRule="auto"/>
        <w:jc w:val="both"/>
        <w:rPr>
          <w:rFonts w:eastAsia="Calibri"/>
        </w:rPr>
      </w:pPr>
    </w:p>
    <w:p w14:paraId="29648519" w14:textId="77777777" w:rsidR="00695AE2" w:rsidRPr="00CB5050" w:rsidRDefault="00695AE2" w:rsidP="00695AE2">
      <w:pPr>
        <w:pStyle w:val="Naslov5"/>
      </w:pPr>
      <w:bookmarkStart w:id="694" w:name="_Toc191561965"/>
      <w:bookmarkStart w:id="695" w:name="_Toc223093963"/>
      <w:r w:rsidRPr="00CB5050">
        <w:t>Prikaz uspeha Državnega odvetništva RS pri sklepanju poravnav</w:t>
      </w:r>
      <w:bookmarkEnd w:id="694"/>
      <w:bookmarkEnd w:id="695"/>
    </w:p>
    <w:p w14:paraId="1052D2FF" w14:textId="77777777" w:rsidR="00695AE2" w:rsidRPr="00CB5050" w:rsidRDefault="00695AE2" w:rsidP="00695AE2">
      <w:pPr>
        <w:spacing w:line="240" w:lineRule="auto"/>
        <w:jc w:val="both"/>
        <w:rPr>
          <w:rFonts w:eastAsia="Calibri"/>
        </w:rPr>
      </w:pPr>
    </w:p>
    <w:p w14:paraId="54753BFB" w14:textId="77777777" w:rsidR="00695AE2" w:rsidRPr="00CB5050" w:rsidRDefault="00695AE2" w:rsidP="00695AE2">
      <w:pPr>
        <w:spacing w:line="240" w:lineRule="auto"/>
        <w:jc w:val="both"/>
        <w:rPr>
          <w:rFonts w:eastAsia="Calibri"/>
        </w:rPr>
      </w:pPr>
      <w:r w:rsidRPr="00CB5050">
        <w:rPr>
          <w:rFonts w:eastAsia="Calibri"/>
        </w:rPr>
        <w:t xml:space="preserve">Pri zahtevkih po </w:t>
      </w:r>
      <w:r w:rsidRPr="00CB5050">
        <w:rPr>
          <w:rFonts w:eastAsia="Calibri"/>
          <w:szCs w:val="22"/>
        </w:rPr>
        <w:t>XXXII. poglavju ZKP</w:t>
      </w:r>
      <w:r w:rsidRPr="00CB5050">
        <w:rPr>
          <w:rFonts w:eastAsia="Calibri"/>
        </w:rPr>
        <w:t xml:space="preserve"> gre za t. i. PK zadeve, glede katerih ima Državo odvetništvo RS sredstva za poravnavo obveznosti po sklenjenih poravnavah zagotovljena v svojem proračunu in za sklenitev poravnave tudi ne potrebuje soglasja drugega državnega organa oziroma zastopanega subjekta, saj izvaja svojo institucionalno pristojnost. </w:t>
      </w:r>
    </w:p>
    <w:p w14:paraId="308AE0A1" w14:textId="77777777" w:rsidR="00695AE2" w:rsidRPr="00CB5050" w:rsidRDefault="00695AE2" w:rsidP="00695AE2">
      <w:pPr>
        <w:spacing w:line="240" w:lineRule="auto"/>
        <w:jc w:val="both"/>
        <w:rPr>
          <w:rFonts w:eastAsia="Times New Roman"/>
        </w:rPr>
      </w:pPr>
    </w:p>
    <w:p w14:paraId="5AD84F29" w14:textId="77777777" w:rsidR="00695AE2" w:rsidRPr="00CB5050" w:rsidRDefault="00695AE2" w:rsidP="00695AE2">
      <w:pPr>
        <w:spacing w:line="240" w:lineRule="auto"/>
        <w:jc w:val="both"/>
        <w:rPr>
          <w:rFonts w:eastAsia="Times New Roman"/>
        </w:rPr>
      </w:pPr>
      <w:r w:rsidRPr="00CB5050">
        <w:rPr>
          <w:rFonts w:eastAsia="Times New Roman"/>
        </w:rPr>
        <w:t xml:space="preserve">Državno odvetništvo RS je v letu 2025 pri obravnavi zadev 14 zahtevkov zavrnilo, sklenjenih pa je bilo 30 izvensodnih poravnav. </w:t>
      </w:r>
    </w:p>
    <w:p w14:paraId="3761CD75" w14:textId="77777777" w:rsidR="00695AE2" w:rsidRPr="00CB5050" w:rsidRDefault="00695AE2" w:rsidP="00695AE2">
      <w:pPr>
        <w:spacing w:line="240" w:lineRule="auto"/>
        <w:jc w:val="both"/>
        <w:rPr>
          <w:rFonts w:eastAsia="Times New Roman"/>
        </w:rPr>
      </w:pPr>
    </w:p>
    <w:p w14:paraId="3E13DB1E" w14:textId="77777777" w:rsidR="00695AE2" w:rsidRPr="00CB5050" w:rsidRDefault="00695AE2" w:rsidP="00695AE2">
      <w:pPr>
        <w:spacing w:line="240" w:lineRule="auto"/>
        <w:jc w:val="both"/>
        <w:rPr>
          <w:rFonts w:eastAsia="Times New Roman"/>
        </w:rPr>
      </w:pPr>
      <w:r w:rsidRPr="00CB5050">
        <w:rPr>
          <w:rFonts w:eastAsia="Times New Roman"/>
        </w:rPr>
        <w:t xml:space="preserve">V teh 30 zadevah, ki so se končale s sklenitvijo poravnave, je bila skupna zahtevana vrednost plačila odškodnine 1.271.208,15 evra, v sklenjenih poravnavah pa se je Republika Slovenija zavezala k izplačilu obveznosti v skupni višini 261.155,28 evra (20,54 odstotka skupno zahtevane vrednosti), kar pomeni prihranek za proračun 1.010.052,87 evra (79,46 odstotni uspeh). </w:t>
      </w:r>
    </w:p>
    <w:p w14:paraId="1AC9F108" w14:textId="77777777" w:rsidR="00695AE2" w:rsidRDefault="00695AE2" w:rsidP="00695AE2">
      <w:pPr>
        <w:spacing w:line="240" w:lineRule="auto"/>
        <w:jc w:val="both"/>
        <w:rPr>
          <w:rFonts w:eastAsia="Times New Roman"/>
        </w:rPr>
      </w:pPr>
    </w:p>
    <w:p w14:paraId="50307F4C" w14:textId="77777777" w:rsidR="00695AE2" w:rsidRDefault="00695AE2" w:rsidP="00695AE2">
      <w:pPr>
        <w:spacing w:line="240" w:lineRule="auto"/>
        <w:jc w:val="both"/>
        <w:rPr>
          <w:rFonts w:eastAsia="Times New Roman"/>
        </w:rPr>
      </w:pPr>
    </w:p>
    <w:p w14:paraId="6F9053B5" w14:textId="77777777" w:rsidR="00695AE2" w:rsidRPr="00CB5050" w:rsidRDefault="00695AE2" w:rsidP="00695AE2">
      <w:pPr>
        <w:spacing w:line="240" w:lineRule="auto"/>
        <w:jc w:val="both"/>
        <w:rPr>
          <w:rFonts w:eastAsia="Times New Roman"/>
          <w:b/>
          <w:bCs/>
          <w:color w:val="007466"/>
          <w:sz w:val="20"/>
          <w:szCs w:val="20"/>
        </w:rPr>
      </w:pPr>
      <w:r w:rsidRPr="00CB5050">
        <w:rPr>
          <w:rFonts w:eastAsia="Times New Roman"/>
          <w:b/>
          <w:bCs/>
          <w:color w:val="007466"/>
          <w:sz w:val="20"/>
          <w:szCs w:val="20"/>
        </w:rPr>
        <w:t>Grafikon: Prikaz prihranka RS v poravnavah, sklenjenih  v »PK« zadevah</w:t>
      </w:r>
    </w:p>
    <w:p w14:paraId="0EE84370" w14:textId="77777777" w:rsidR="00695AE2" w:rsidRPr="00CB5050" w:rsidRDefault="00695AE2" w:rsidP="00695AE2">
      <w:pPr>
        <w:spacing w:line="240" w:lineRule="auto"/>
        <w:jc w:val="both"/>
        <w:rPr>
          <w:rFonts w:eastAsia="Times New Roman"/>
          <w:sz w:val="20"/>
          <w:szCs w:val="20"/>
        </w:rPr>
      </w:pPr>
    </w:p>
    <w:p w14:paraId="7F6FDCC0" w14:textId="77777777" w:rsidR="00695AE2" w:rsidRPr="00CB5050" w:rsidRDefault="00695AE2" w:rsidP="00695AE2">
      <w:pPr>
        <w:spacing w:line="240" w:lineRule="auto"/>
        <w:jc w:val="center"/>
        <w:rPr>
          <w:rFonts w:eastAsia="Times New Roman"/>
        </w:rPr>
      </w:pPr>
      <w:r w:rsidRPr="00CB5050">
        <w:rPr>
          <w:rFonts w:eastAsia="Times New Roman"/>
          <w:noProof/>
        </w:rPr>
        <w:drawing>
          <wp:inline distT="0" distB="0" distL="0" distR="0" wp14:anchorId="516AAE7B" wp14:editId="04B478D5">
            <wp:extent cx="3769744" cy="2165775"/>
            <wp:effectExtent l="0" t="0" r="2540" b="6350"/>
            <wp:docPr id="253077260" name="Slika 6" descr="Slika, ki vsebuje besede besedilo, posnetek zaslon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77260" name="Slika 6" descr="Slika, ki vsebuje besede besedilo, posnetek zaslona, oblikovanje&#10;&#10;Vsebina, ustvarjena z UI, morda ni praviln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44810" cy="2208901"/>
                    </a:xfrm>
                    <a:prstGeom prst="rect">
                      <a:avLst/>
                    </a:prstGeom>
                    <a:noFill/>
                  </pic:spPr>
                </pic:pic>
              </a:graphicData>
            </a:graphic>
          </wp:inline>
        </w:drawing>
      </w:r>
    </w:p>
    <w:p w14:paraId="0174B361" w14:textId="77777777" w:rsidR="00695AE2" w:rsidRPr="00CB5050" w:rsidRDefault="00695AE2" w:rsidP="00695AE2">
      <w:pPr>
        <w:pStyle w:val="Jasna"/>
      </w:pPr>
      <w:bookmarkStart w:id="696" w:name="_Toc95149761"/>
      <w:bookmarkStart w:id="697" w:name="_Toc168844985"/>
      <w:bookmarkStart w:id="698" w:name="_Toc191561966"/>
    </w:p>
    <w:p w14:paraId="75124D01" w14:textId="77777777" w:rsidR="00695AE2" w:rsidRPr="00CB5050" w:rsidRDefault="00695AE2" w:rsidP="00695AE2">
      <w:pPr>
        <w:pStyle w:val="Naslov3"/>
      </w:pPr>
      <w:bookmarkStart w:id="699" w:name="_Toc223093964"/>
      <w:r w:rsidRPr="00CB5050">
        <w:t>Predhodni postopki po XIV. poglavju Zakona o prekrških</w:t>
      </w:r>
      <w:bookmarkEnd w:id="696"/>
      <w:bookmarkEnd w:id="697"/>
      <w:bookmarkEnd w:id="698"/>
      <w:bookmarkEnd w:id="699"/>
    </w:p>
    <w:p w14:paraId="5A21051E" w14:textId="77777777" w:rsidR="00695AE2" w:rsidRPr="00CB5050" w:rsidRDefault="00695AE2" w:rsidP="00695AE2">
      <w:pPr>
        <w:spacing w:line="240" w:lineRule="auto"/>
        <w:rPr>
          <w:rFonts w:eastAsia="Calibri"/>
          <w:sz w:val="28"/>
          <w:szCs w:val="28"/>
        </w:rPr>
      </w:pPr>
    </w:p>
    <w:p w14:paraId="3FCE288A" w14:textId="77777777" w:rsidR="00695AE2" w:rsidRPr="00CB5050" w:rsidRDefault="00695AE2" w:rsidP="00695AE2">
      <w:pPr>
        <w:pStyle w:val="Naslov4"/>
      </w:pPr>
      <w:bookmarkStart w:id="700" w:name="_Toc95149762"/>
      <w:bookmarkStart w:id="701" w:name="_Toc168844986"/>
      <w:bookmarkStart w:id="702" w:name="_Toc191561967"/>
      <w:bookmarkStart w:id="703" w:name="_Toc223093965"/>
      <w:r w:rsidRPr="00CB5050">
        <w:t>Uvod</w:t>
      </w:r>
      <w:bookmarkEnd w:id="700"/>
      <w:bookmarkEnd w:id="701"/>
      <w:bookmarkEnd w:id="702"/>
      <w:bookmarkEnd w:id="703"/>
    </w:p>
    <w:p w14:paraId="62F60B66" w14:textId="77777777" w:rsidR="00695AE2" w:rsidRPr="00CB5050" w:rsidRDefault="00695AE2" w:rsidP="00695AE2">
      <w:pPr>
        <w:spacing w:line="240" w:lineRule="auto"/>
        <w:rPr>
          <w:rFonts w:eastAsia="Calibri"/>
        </w:rPr>
      </w:pPr>
    </w:p>
    <w:p w14:paraId="14203D05" w14:textId="77777777" w:rsidR="00695AE2" w:rsidRPr="00CB5050" w:rsidRDefault="00695AE2" w:rsidP="00695AE2">
      <w:pPr>
        <w:spacing w:line="240" w:lineRule="auto"/>
        <w:jc w:val="both"/>
        <w:rPr>
          <w:rFonts w:eastAsia="Calibri"/>
          <w:szCs w:val="22"/>
        </w:rPr>
      </w:pPr>
      <w:r w:rsidRPr="00CB5050">
        <w:rPr>
          <w:rFonts w:eastAsia="Calibri"/>
          <w:szCs w:val="22"/>
        </w:rPr>
        <w:t xml:space="preserve">Smiselno enaka ureditev kot v ZKP je tudi v Zakonu o prekrških (v nadaljevanju: ZP-1). Po šestem odstavku 193. člena ZP-1 mora oškodovanec pred vložitvijo tožbe za povrnitev škode vložiti zahtevo pri Državnem odvetništvu RS, da se z njim sporazume o obstoju škode ter o vrsti in višini odškodnine. Če Državno odvetništvo RS in oškodovanec ne dosežeta sporazuma v treh mesecih od vložitve zahteve, lahko oškodovanec pri pristojnem sodišču vloži tožbo za povrnitev škode. Če je bil dosežen sporazum le glede dela zahtevka, sme vložiti tožbo glede ostanka. Dokler pred Državnim odvetništvom RS traja predhodni postopek, zastaranje pravice do povrnitve škode ne teče. </w:t>
      </w:r>
    </w:p>
    <w:p w14:paraId="33D1B10C" w14:textId="77777777" w:rsidR="00695AE2" w:rsidRPr="00CB5050" w:rsidRDefault="00695AE2" w:rsidP="00695AE2">
      <w:pPr>
        <w:spacing w:line="240" w:lineRule="auto"/>
        <w:jc w:val="both"/>
        <w:rPr>
          <w:rFonts w:eastAsia="Calibri"/>
          <w:szCs w:val="22"/>
        </w:rPr>
      </w:pPr>
    </w:p>
    <w:p w14:paraId="0E81F719" w14:textId="77777777" w:rsidR="00695AE2" w:rsidRPr="00CB5050" w:rsidRDefault="00695AE2" w:rsidP="00695AE2">
      <w:pPr>
        <w:spacing w:line="240" w:lineRule="auto"/>
        <w:jc w:val="both"/>
        <w:rPr>
          <w:rFonts w:eastAsia="Calibri"/>
        </w:rPr>
      </w:pPr>
      <w:r w:rsidRPr="00CB5050">
        <w:rPr>
          <w:rFonts w:eastAsia="Calibri"/>
        </w:rPr>
        <w:t>Tovrstne zahtevke v predhodnem postopku Državno odvetništvo RS obravnava v vpisniku PP, v skladu z določbo tretje alineje prvega odstavka 42. člena ZDOdv pa le na sedežu Državnega odvetništva RS v Ljubljani, kjer je zaradi poenotenega obravnavanja zadev ustanovljena posebna komisija za odločanje o odškodninskih zahtevkih po XXXII. poglavju Zakona o kazenskem postopku in XIV. poglavju Zakona o prekrških.</w:t>
      </w:r>
    </w:p>
    <w:p w14:paraId="2AF1367A" w14:textId="77777777" w:rsidR="00695AE2" w:rsidRPr="00CB5050" w:rsidRDefault="00695AE2" w:rsidP="00695AE2">
      <w:pPr>
        <w:spacing w:line="240" w:lineRule="auto"/>
        <w:jc w:val="both"/>
        <w:rPr>
          <w:rFonts w:eastAsia="Calibri"/>
          <w:szCs w:val="22"/>
        </w:rPr>
      </w:pPr>
    </w:p>
    <w:p w14:paraId="02C3A93C" w14:textId="77777777" w:rsidR="00695AE2" w:rsidRPr="00CB5050" w:rsidRDefault="00695AE2" w:rsidP="00695AE2">
      <w:pPr>
        <w:spacing w:line="240" w:lineRule="auto"/>
        <w:jc w:val="both"/>
        <w:rPr>
          <w:rFonts w:eastAsia="Calibri"/>
          <w:szCs w:val="22"/>
        </w:rPr>
      </w:pPr>
      <w:r w:rsidRPr="00CB5050">
        <w:rPr>
          <w:rFonts w:eastAsia="Calibri"/>
          <w:szCs w:val="22"/>
        </w:rPr>
        <w:t xml:space="preserve">Podlaga za priznanje odškodnine je nastanek škode zaradi neopravičenega izreka sankcije, pravico do povrnitve škode, ki zajema tudi neupravičeno plačano globo in stroške postopka, pa ima tudi tisti, ki jih je plačal ali zoper katerega je bila odločba izvršena pred pravnomočnostjo.  </w:t>
      </w:r>
    </w:p>
    <w:p w14:paraId="27401E24" w14:textId="77777777" w:rsidR="00695AE2" w:rsidRPr="00CB5050" w:rsidRDefault="00695AE2" w:rsidP="00695AE2">
      <w:pPr>
        <w:spacing w:line="240" w:lineRule="auto"/>
        <w:jc w:val="both"/>
        <w:rPr>
          <w:rFonts w:eastAsia="Calibri"/>
          <w:szCs w:val="22"/>
        </w:rPr>
      </w:pPr>
    </w:p>
    <w:p w14:paraId="61D11F86" w14:textId="77777777" w:rsidR="00695AE2" w:rsidRPr="00CB5050" w:rsidRDefault="00695AE2" w:rsidP="00695AE2">
      <w:pPr>
        <w:pStyle w:val="Naslov4"/>
      </w:pPr>
      <w:bookmarkStart w:id="704" w:name="_Toc95149763"/>
      <w:bookmarkStart w:id="705" w:name="_Toc168844987"/>
      <w:bookmarkStart w:id="706" w:name="_Toc191561968"/>
      <w:bookmarkStart w:id="707" w:name="_Toc223093966"/>
      <w:r w:rsidRPr="00CB5050">
        <w:t>Statisti</w:t>
      </w:r>
      <w:bookmarkEnd w:id="704"/>
      <w:bookmarkEnd w:id="705"/>
      <w:r w:rsidRPr="00CB5050">
        <w:t>čni podatki</w:t>
      </w:r>
      <w:bookmarkEnd w:id="706"/>
      <w:bookmarkEnd w:id="707"/>
    </w:p>
    <w:p w14:paraId="2EB33D5C" w14:textId="77777777" w:rsidR="00695AE2" w:rsidRPr="00CB5050" w:rsidRDefault="00695AE2" w:rsidP="00695AE2">
      <w:pPr>
        <w:spacing w:line="240" w:lineRule="auto"/>
        <w:jc w:val="both"/>
        <w:rPr>
          <w:rFonts w:eastAsia="Calibri"/>
        </w:rPr>
      </w:pPr>
    </w:p>
    <w:p w14:paraId="2D45B88E"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prejelo 12 novih zadev in je imelo na tem področju v letu 2025 v delu 15 zadev. Zaključilo je 10 zadev, na dan 31. 12. 2025 je bilo odprtih 5 zadev. </w:t>
      </w:r>
    </w:p>
    <w:p w14:paraId="66C5FA06" w14:textId="77777777" w:rsidR="00695AE2" w:rsidRPr="00CB5050" w:rsidRDefault="00695AE2" w:rsidP="00695AE2">
      <w:pPr>
        <w:spacing w:line="240" w:lineRule="auto"/>
        <w:jc w:val="both"/>
        <w:rPr>
          <w:rFonts w:eastAsia="Calibri"/>
        </w:rPr>
      </w:pPr>
    </w:p>
    <w:p w14:paraId="54159B3C" w14:textId="77777777" w:rsidR="00695AE2" w:rsidRPr="00CB5050" w:rsidRDefault="00695AE2" w:rsidP="00695AE2">
      <w:pPr>
        <w:pStyle w:val="Naslov4"/>
      </w:pPr>
      <w:bookmarkStart w:id="708" w:name="_Toc95149764"/>
      <w:bookmarkStart w:id="709" w:name="_Toc168844988"/>
      <w:bookmarkStart w:id="710" w:name="_Toc191561969"/>
      <w:bookmarkStart w:id="711" w:name="_Toc223093967"/>
      <w:r w:rsidRPr="00CB5050">
        <w:t>Analiza primerjalnih vrednosti</w:t>
      </w:r>
      <w:bookmarkEnd w:id="708"/>
      <w:bookmarkEnd w:id="709"/>
      <w:bookmarkEnd w:id="710"/>
      <w:bookmarkEnd w:id="711"/>
    </w:p>
    <w:p w14:paraId="5BF12B94" w14:textId="77777777" w:rsidR="00695AE2" w:rsidRPr="00CB5050" w:rsidRDefault="00695AE2" w:rsidP="00695AE2">
      <w:pPr>
        <w:spacing w:line="240" w:lineRule="auto"/>
        <w:rPr>
          <w:rFonts w:eastAsia="Calibri"/>
        </w:rPr>
      </w:pPr>
    </w:p>
    <w:p w14:paraId="4E21C45A"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V letu 2025 je Državno odvetništvo RS prejelo 12 novih zadev, kar je 100,0 odstotka več kot v letu 2024, ko je Državno odvetništvo RS prejelo 6 novih zadev. </w:t>
      </w:r>
    </w:p>
    <w:p w14:paraId="007686A4" w14:textId="77777777" w:rsidR="00695AE2" w:rsidRPr="00CB5050" w:rsidRDefault="00695AE2" w:rsidP="00695AE2">
      <w:pPr>
        <w:spacing w:line="240" w:lineRule="auto"/>
        <w:jc w:val="both"/>
        <w:rPr>
          <w:rFonts w:eastAsia="Times New Roman"/>
          <w:szCs w:val="22"/>
        </w:rPr>
      </w:pPr>
    </w:p>
    <w:p w14:paraId="5E18022A" w14:textId="77777777" w:rsidR="00695AE2" w:rsidRPr="00CB5050" w:rsidRDefault="00695AE2" w:rsidP="00695AE2">
      <w:pPr>
        <w:spacing w:line="240" w:lineRule="auto"/>
        <w:jc w:val="both"/>
        <w:rPr>
          <w:rFonts w:eastAsia="Times New Roman"/>
          <w:szCs w:val="22"/>
        </w:rPr>
      </w:pPr>
      <w:r w:rsidRPr="00CB5050">
        <w:rPr>
          <w:rFonts w:eastAsia="Times New Roman"/>
          <w:szCs w:val="22"/>
        </w:rPr>
        <w:t>Na tem področju je bilo v letu 2025 v delu 15 zadev, kar je 66,67 odstotka več kot leta 2024, ko je imelo na tem področju v delu 9 zadev.</w:t>
      </w:r>
    </w:p>
    <w:p w14:paraId="5A17F520" w14:textId="77777777" w:rsidR="00695AE2" w:rsidRPr="00CB5050" w:rsidRDefault="00695AE2" w:rsidP="00695AE2">
      <w:pPr>
        <w:spacing w:line="240" w:lineRule="auto"/>
        <w:jc w:val="both"/>
        <w:rPr>
          <w:rFonts w:eastAsia="Times New Roman"/>
          <w:szCs w:val="22"/>
        </w:rPr>
      </w:pPr>
    </w:p>
    <w:p w14:paraId="6423B932" w14:textId="77777777" w:rsidR="00695AE2" w:rsidRPr="00CB5050" w:rsidRDefault="00695AE2" w:rsidP="00695AE2">
      <w:pPr>
        <w:spacing w:line="240" w:lineRule="auto"/>
        <w:jc w:val="both"/>
        <w:rPr>
          <w:rFonts w:eastAsia="Times New Roman"/>
          <w:szCs w:val="22"/>
        </w:rPr>
      </w:pPr>
      <w:r w:rsidRPr="00CB5050">
        <w:rPr>
          <w:rFonts w:eastAsia="Times New Roman"/>
          <w:szCs w:val="22"/>
        </w:rPr>
        <w:t>V letu 2025 je Državno odvetništvo RS zaključilo 10 zadev, kar je 66,67 odstotka več kot leta 2024, ko je zaključilo 6 zadev.</w:t>
      </w:r>
    </w:p>
    <w:p w14:paraId="49849492" w14:textId="77777777" w:rsidR="00695AE2" w:rsidRPr="00CB5050" w:rsidRDefault="00695AE2" w:rsidP="00695AE2">
      <w:pPr>
        <w:spacing w:line="240" w:lineRule="auto"/>
        <w:jc w:val="both"/>
        <w:rPr>
          <w:rFonts w:eastAsia="Times New Roman"/>
          <w:szCs w:val="22"/>
        </w:rPr>
      </w:pPr>
    </w:p>
    <w:p w14:paraId="7E4483F8"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dan 31. 12. 2025 je bilo na Državnem odvetništvu RS odprtih 5 zadev, kar je 66,67 odstotka več kot na dan 31. 12. 2024, ko so bile odprte 3 zadeve. </w:t>
      </w:r>
    </w:p>
    <w:p w14:paraId="2587C69E" w14:textId="77777777" w:rsidR="00695AE2" w:rsidRPr="00CB5050" w:rsidRDefault="00695AE2" w:rsidP="00695AE2">
      <w:pPr>
        <w:spacing w:line="240" w:lineRule="auto"/>
        <w:jc w:val="both"/>
        <w:rPr>
          <w:rFonts w:eastAsia="Calibri"/>
          <w:szCs w:val="22"/>
        </w:rPr>
      </w:pPr>
    </w:p>
    <w:p w14:paraId="64DB693F" w14:textId="77777777" w:rsidR="00695AE2" w:rsidRPr="00CB5050" w:rsidRDefault="00695AE2" w:rsidP="00695AE2">
      <w:pPr>
        <w:pStyle w:val="Naslov4"/>
      </w:pPr>
      <w:bookmarkStart w:id="712" w:name="_Toc168844989"/>
      <w:bookmarkStart w:id="713" w:name="_Toc191561970"/>
      <w:bookmarkStart w:id="714" w:name="_Toc223093968"/>
      <w:r w:rsidRPr="00CB5050">
        <w:t>Ukrepi za obvladovanje zadev in priporočila Državnega odvetništva RS</w:t>
      </w:r>
      <w:bookmarkEnd w:id="712"/>
      <w:bookmarkEnd w:id="713"/>
      <w:bookmarkEnd w:id="714"/>
    </w:p>
    <w:p w14:paraId="50618B86" w14:textId="77777777" w:rsidR="00695AE2" w:rsidRPr="00CB5050" w:rsidRDefault="00695AE2" w:rsidP="00695AE2">
      <w:pPr>
        <w:spacing w:line="240" w:lineRule="auto"/>
        <w:jc w:val="both"/>
        <w:rPr>
          <w:rFonts w:eastAsia="Calibri"/>
        </w:rPr>
      </w:pPr>
    </w:p>
    <w:p w14:paraId="49327443" w14:textId="77777777" w:rsidR="00695AE2" w:rsidRPr="00CB5050" w:rsidRDefault="00695AE2" w:rsidP="00695AE2">
      <w:pPr>
        <w:spacing w:line="240" w:lineRule="auto"/>
        <w:ind w:right="9"/>
        <w:jc w:val="both"/>
        <w:rPr>
          <w:rFonts w:eastAsia="Times New Roman"/>
          <w:color w:val="000000"/>
          <w:szCs w:val="22"/>
          <w:lang w:eastAsia="sl-SI"/>
        </w:rPr>
      </w:pPr>
      <w:r w:rsidRPr="00CB5050">
        <w:rPr>
          <w:rFonts w:eastAsia="Times New Roman"/>
          <w:color w:val="000000"/>
          <w:szCs w:val="22"/>
          <w:lang w:eastAsia="sl-SI"/>
        </w:rPr>
        <w:lastRenderedPageBreak/>
        <w:t>Bistvo predhodnih postopkov, ki se vodijo pred Državnim odvetništvom RS, je prizadevanje za mirno rešitev spora. Ob podanem temelju zahtevka se spor poskuša rešiti s poravnavanjem, torej z medsebojnim popuščanjem. Postopek vračila globe v ta okvir ne sodi, ob ugotovitvi predpostavk za vračilo je višina zneska znana, saj gre pravzaprav za računsko operacijo vračila iz proračuna prek uprave za javna plačila (aplikacija UJPnet), kjer imamo proračunski uporabniki pooblastilo za vračanje sredstev iz proračuna. Prostora za poravnavanje torej niti ni.</w:t>
      </w:r>
    </w:p>
    <w:p w14:paraId="2FA30D5A" w14:textId="77777777" w:rsidR="00695AE2" w:rsidRPr="00CB5050" w:rsidRDefault="00695AE2" w:rsidP="00695AE2">
      <w:pPr>
        <w:spacing w:line="240" w:lineRule="auto"/>
        <w:ind w:right="9"/>
        <w:jc w:val="both"/>
        <w:rPr>
          <w:rFonts w:eastAsia="Times New Roman"/>
          <w:color w:val="000000"/>
          <w:szCs w:val="22"/>
          <w:lang w:eastAsia="sl-SI"/>
        </w:rPr>
      </w:pPr>
    </w:p>
    <w:p w14:paraId="1D43F576" w14:textId="77777777" w:rsidR="00695AE2" w:rsidRPr="00CB5050" w:rsidRDefault="00695AE2" w:rsidP="00695AE2">
      <w:pPr>
        <w:spacing w:line="240" w:lineRule="auto"/>
        <w:ind w:right="9"/>
        <w:jc w:val="both"/>
        <w:rPr>
          <w:rFonts w:eastAsia="Times New Roman"/>
          <w:color w:val="000000"/>
          <w:szCs w:val="22"/>
          <w:lang w:eastAsia="sl-SI"/>
        </w:rPr>
      </w:pPr>
      <w:r w:rsidRPr="00CB5050">
        <w:rPr>
          <w:rFonts w:eastAsia="Times New Roman"/>
          <w:color w:val="000000"/>
          <w:szCs w:val="22"/>
          <w:lang w:eastAsia="sl-SI"/>
        </w:rPr>
        <w:t>Čeprav ZP-1 nakazuje na pristojnost Državnega odvetništva RS tudi glede vračila glob, je potreben razmislek o smiselnosti takšne ureditve, predvsem glede njene ekonomičnosti. Po mnenju Državnega odvetništva RS je primerno, da ob odpadli pravni podlagi vrne globo z obrestmi organ, ki jo je izrekel, Državnemu odvetništvu RS pa se odstopijo zahtevki, v katerih se poleg vračila globe uveljavlja tudi povračilo škode. Takšen način se je uveljavil tudi v praksi.</w:t>
      </w:r>
    </w:p>
    <w:p w14:paraId="532C7972" w14:textId="77777777" w:rsidR="00695AE2" w:rsidRPr="00CB5050" w:rsidRDefault="00695AE2" w:rsidP="00695AE2">
      <w:pPr>
        <w:spacing w:line="240" w:lineRule="auto"/>
        <w:ind w:right="9"/>
        <w:jc w:val="both"/>
        <w:rPr>
          <w:rFonts w:eastAsia="Times New Roman"/>
          <w:color w:val="000000"/>
          <w:szCs w:val="22"/>
          <w:lang w:eastAsia="sl-SI"/>
        </w:rPr>
      </w:pPr>
    </w:p>
    <w:p w14:paraId="6C3BF27D" w14:textId="77777777" w:rsidR="00695AE2" w:rsidRPr="00CB5050" w:rsidRDefault="00695AE2" w:rsidP="00695AE2">
      <w:pPr>
        <w:spacing w:line="240" w:lineRule="auto"/>
        <w:ind w:right="9"/>
        <w:jc w:val="both"/>
        <w:rPr>
          <w:rFonts w:eastAsia="Times New Roman"/>
          <w:color w:val="000000"/>
          <w:szCs w:val="22"/>
          <w:lang w:eastAsia="sl-SI"/>
        </w:rPr>
      </w:pPr>
      <w:r w:rsidRPr="00CB5050">
        <w:rPr>
          <w:rFonts w:eastAsia="Times New Roman"/>
          <w:color w:val="000000"/>
          <w:szCs w:val="22"/>
          <w:lang w:eastAsia="sl-SI"/>
        </w:rPr>
        <w:t>Ko torej oseba zahteva povrnitev škode zaradi neopravičenega izreka sankcije, če je bila pravnomočna odločba oziroma sodba ali sklep o prekršku spremenjena, odpravljena ali razveljavljena in postopek zoper njega pravnomočno ustavljen, oziroma ko oseba zahteva povrnitev škode zaradi neupravičenega plačila globe ali stroškov postopka oziroma zaradi izvršitve odločbe pred pravnomočnostjo, je pristojni organ Državno odvetništvo RS, ki je pristojno za odškodninske zahtevke iz 193. člena ZP-1.</w:t>
      </w:r>
    </w:p>
    <w:p w14:paraId="52D28AB6" w14:textId="77777777" w:rsidR="00695AE2" w:rsidRPr="00CB5050" w:rsidRDefault="00695AE2" w:rsidP="00695AE2">
      <w:pPr>
        <w:spacing w:line="240" w:lineRule="auto"/>
        <w:rPr>
          <w:rFonts w:eastAsia="Calibri"/>
          <w:sz w:val="32"/>
          <w:szCs w:val="32"/>
        </w:rPr>
      </w:pPr>
      <w:bookmarkStart w:id="715" w:name="_Toc95149765"/>
    </w:p>
    <w:p w14:paraId="72205822" w14:textId="77777777" w:rsidR="00695AE2" w:rsidRPr="00CB5050" w:rsidRDefault="00695AE2" w:rsidP="00695AE2">
      <w:pPr>
        <w:pStyle w:val="Naslov2"/>
      </w:pPr>
      <w:bookmarkStart w:id="716" w:name="_Toc168844990"/>
      <w:bookmarkStart w:id="717" w:name="_Toc191561971"/>
      <w:bookmarkStart w:id="718" w:name="_Toc223093969"/>
      <w:r w:rsidRPr="00CB5050">
        <w:t>Postopki izvršbe in zavarovanja</w:t>
      </w:r>
      <w:bookmarkEnd w:id="715"/>
      <w:bookmarkEnd w:id="716"/>
      <w:bookmarkEnd w:id="717"/>
      <w:bookmarkEnd w:id="718"/>
    </w:p>
    <w:p w14:paraId="5DE1FF65" w14:textId="77777777" w:rsidR="00695AE2" w:rsidRPr="00CB5050" w:rsidRDefault="00695AE2" w:rsidP="00695AE2">
      <w:pPr>
        <w:spacing w:line="240" w:lineRule="auto"/>
        <w:rPr>
          <w:rFonts w:eastAsia="Calibri"/>
          <w:sz w:val="32"/>
          <w:szCs w:val="32"/>
        </w:rPr>
      </w:pPr>
    </w:p>
    <w:p w14:paraId="420FA706" w14:textId="77777777" w:rsidR="00695AE2" w:rsidRPr="00CB5050" w:rsidRDefault="00695AE2" w:rsidP="00695AE2">
      <w:pPr>
        <w:pStyle w:val="Naslov3"/>
      </w:pPr>
      <w:bookmarkStart w:id="719" w:name="_Toc95149766"/>
      <w:bookmarkStart w:id="720" w:name="_Toc168844991"/>
      <w:bookmarkStart w:id="721" w:name="_Toc191561972"/>
      <w:bookmarkStart w:id="722" w:name="_Toc223093970"/>
      <w:r w:rsidRPr="00CB5050">
        <w:t>Uvod</w:t>
      </w:r>
      <w:bookmarkEnd w:id="719"/>
      <w:bookmarkEnd w:id="720"/>
      <w:bookmarkEnd w:id="721"/>
      <w:bookmarkEnd w:id="722"/>
    </w:p>
    <w:p w14:paraId="6D876925" w14:textId="77777777" w:rsidR="00695AE2" w:rsidRPr="00CB5050" w:rsidRDefault="00695AE2" w:rsidP="00695AE2">
      <w:pPr>
        <w:tabs>
          <w:tab w:val="left" w:pos="1440"/>
        </w:tabs>
        <w:spacing w:line="240" w:lineRule="auto"/>
        <w:jc w:val="both"/>
        <w:rPr>
          <w:rFonts w:eastAsia="Calibri"/>
          <w:sz w:val="28"/>
          <w:szCs w:val="28"/>
        </w:rPr>
      </w:pPr>
    </w:p>
    <w:p w14:paraId="7ED993B8" w14:textId="77777777" w:rsidR="00695AE2" w:rsidRPr="00CB5050" w:rsidRDefault="00695AE2" w:rsidP="00695AE2">
      <w:pPr>
        <w:tabs>
          <w:tab w:val="left" w:pos="1440"/>
        </w:tabs>
        <w:spacing w:line="240" w:lineRule="auto"/>
        <w:jc w:val="both"/>
        <w:rPr>
          <w:rFonts w:eastAsia="Calibri"/>
        </w:rPr>
      </w:pPr>
      <w:r w:rsidRPr="00CB5050">
        <w:rPr>
          <w:rFonts w:eastAsia="Calibri"/>
        </w:rPr>
        <w:t>Državno odvetništvo RS zastopa Republiko Slovenijo, ki v izvršilnih postopkih kot stranka lahko nastopa na strani dolžnika ali upnika. Postopki izvršbe se vodijo bodisi na podlagi izvršilnega naslova (izvršljive sodne odločbe: sodbe, arbitražne odločbe, plačilnega ali drugega naloga sodišča; sodne poravnave; druge izvršljive odločbe ali listine, za katero zakon, ratificirana in objavljena mednarodna pogodba ali pravni akt EU, ki se v Republiki Sloveniji uporablja neposredno, določa, da je izvršilni naslov ter izvršljivega notarskega zapisa) ali na podlagi verodostojne listine</w:t>
      </w:r>
      <w:r w:rsidRPr="00CB5050">
        <w:rPr>
          <w:rFonts w:eastAsia="Calibri"/>
          <w:i/>
        </w:rPr>
        <w:t xml:space="preserve"> </w:t>
      </w:r>
      <w:r w:rsidRPr="00CB5050">
        <w:rPr>
          <w:rFonts w:eastAsia="Calibri"/>
        </w:rPr>
        <w:t xml:space="preserve">(faktura, menica, ček s protestom in povratnim računom, javna listina, s strani odgovorne osebe overjeni izpisek iz poslovnih knjig, po zakonu overjena zasebna listina, listina, ki ima po posebnih predpisih naravo javne listine, ter obračun obresti in pisni obračun prejemkov iz delovnega razmerja). V teh zadevah upnik z vložitvijo predloga za izvršbo proti Republiki Sloveniji na podlagi verodostojne listine sproži avtomatiziran sodni izvršilni postopek, Centralni oddelek za verodostojno listino (v nadaljevanju: COVL) pri Okrajnem sodišču v Ljubljani pa izda sklep o izvršbi, s katerim ne le dovoli izvršbo, temveč Republiki Sloveniji tudi naloži plačilo obveznosti po v predlogu navedeni verodostojni listini. V primeru obrazloženega ugovora se zadeva glede zahtevka in stroškov postopka odstopi v reševanje stvarno in krajevno pristojnemu sodišču, ki postopa po pravilih pravdnega postopka. Sodišče nato odloča o tem, ali sklep o izvršbi ostane v veljavi. </w:t>
      </w:r>
    </w:p>
    <w:p w14:paraId="7C04ED9B" w14:textId="77777777" w:rsidR="00695AE2" w:rsidRPr="00CB5050" w:rsidRDefault="00695AE2" w:rsidP="00695AE2">
      <w:pPr>
        <w:tabs>
          <w:tab w:val="left" w:pos="1440"/>
        </w:tabs>
        <w:spacing w:line="240" w:lineRule="auto"/>
        <w:jc w:val="both"/>
        <w:rPr>
          <w:rFonts w:eastAsia="Calibri"/>
        </w:rPr>
      </w:pPr>
    </w:p>
    <w:p w14:paraId="641C4593" w14:textId="77777777" w:rsidR="00695AE2" w:rsidRPr="00CB5050" w:rsidRDefault="00695AE2" w:rsidP="00695AE2">
      <w:pPr>
        <w:tabs>
          <w:tab w:val="left" w:pos="1440"/>
        </w:tabs>
        <w:spacing w:line="240" w:lineRule="auto"/>
        <w:jc w:val="both"/>
        <w:rPr>
          <w:rFonts w:eastAsia="Calibri"/>
        </w:rPr>
      </w:pPr>
      <w:r w:rsidRPr="00CB5050">
        <w:rPr>
          <w:rFonts w:eastAsia="Calibri"/>
        </w:rPr>
        <w:t xml:space="preserve">Državno odvetništvo RS v izvršilnih postopkih glede </w:t>
      </w:r>
      <w:r w:rsidRPr="00CB5050">
        <w:rPr>
          <w:rFonts w:eastAsia="Calibri"/>
          <w:bCs/>
        </w:rPr>
        <w:t>denarnih terjatev</w:t>
      </w:r>
      <w:r w:rsidRPr="00CB5050">
        <w:rPr>
          <w:rFonts w:eastAsia="Calibri"/>
        </w:rPr>
        <w:t xml:space="preserve"> zastopa Republiko Slovenijo zaradi izterjave davčnih terjatev, delovnih in socialnih terjatev, stroškov sodnih postopkov in stroškov sodišč, odškodnin, terjatev države iz naslova opravljenih storitev ali </w:t>
      </w:r>
      <w:r w:rsidRPr="00CB5050">
        <w:rPr>
          <w:rFonts w:eastAsia="Calibri"/>
        </w:rPr>
        <w:lastRenderedPageBreak/>
        <w:t xml:space="preserve">zaradi uporabe premoženja države, izterjave škod zaradi poškodovanja ali oškodovanja državnega premoženja, pa tudi terjatev, povezanih s kaznivimi dejanji. Državno odvetništvo RS primarno ni pristojno za izterjavo denarnih terjatev, ki jih ima Republika Slovenija na podlagi pravnomočnih in izvršljivih upravnih odločb. V tem primeru gre namreč za </w:t>
      </w:r>
      <w:r w:rsidRPr="00CB5050">
        <w:rPr>
          <w:rFonts w:eastAsia="Calibri"/>
          <w:iCs/>
        </w:rPr>
        <w:t>upravno izvršbo</w:t>
      </w:r>
      <w:r w:rsidRPr="00CB5050">
        <w:rPr>
          <w:rFonts w:eastAsia="Calibri"/>
        </w:rPr>
        <w:t>. Uresničitev upravne odločbe v sodnem postopku pa je omejena izključno na izvršbo na nepremičnine in na delež družbenika.</w:t>
      </w:r>
    </w:p>
    <w:p w14:paraId="2BA5F265" w14:textId="77777777" w:rsidR="00695AE2" w:rsidRPr="00CB5050" w:rsidRDefault="00695AE2" w:rsidP="00695AE2">
      <w:pPr>
        <w:tabs>
          <w:tab w:val="left" w:pos="1440"/>
        </w:tabs>
        <w:spacing w:line="240" w:lineRule="auto"/>
        <w:jc w:val="both"/>
        <w:rPr>
          <w:rFonts w:eastAsia="Calibri"/>
        </w:rPr>
      </w:pPr>
    </w:p>
    <w:p w14:paraId="1850C5F0" w14:textId="77777777" w:rsidR="00695AE2" w:rsidRPr="00CB5050" w:rsidRDefault="00695AE2" w:rsidP="00695AE2">
      <w:pPr>
        <w:tabs>
          <w:tab w:val="left" w:pos="1440"/>
        </w:tabs>
        <w:spacing w:line="240" w:lineRule="auto"/>
        <w:jc w:val="both"/>
        <w:rPr>
          <w:rFonts w:eastAsia="Calibri"/>
        </w:rPr>
      </w:pPr>
      <w:r w:rsidRPr="00CB5050">
        <w:rPr>
          <w:rFonts w:eastAsia="Calibri"/>
        </w:rPr>
        <w:t xml:space="preserve">Izterjava denarnih terjatev se izvršuje s sredstvi izvršbe: rubežem denarnih sredstev na računu dolžnika pri organizaciji za plačilni promet in prenosom na račun upnika; rubežem terjatve pri dolžnikovem dolžniku (večinoma delodajalcu ali pri ZPIZ) in prenosom na račun upnika; rubežem, cenitvijo in prodajo premičnih stvari in poplačilom na račun upnika; zaznambo sklepa o izvršbi v zemljiški knjigi, cenitvijo, prodajo nepremičnin in poplačilom upnika; izvršbo na druge premoženjske ali materialne pravice, izvršbo na nematerializirane vrednostne papirje ter izvršbo na delež družbenika.  </w:t>
      </w:r>
    </w:p>
    <w:p w14:paraId="6DC65955" w14:textId="77777777" w:rsidR="00695AE2" w:rsidRPr="00CB5050" w:rsidRDefault="00695AE2" w:rsidP="00695AE2">
      <w:pPr>
        <w:spacing w:line="240" w:lineRule="auto"/>
        <w:jc w:val="both"/>
        <w:rPr>
          <w:rFonts w:eastAsia="Calibri"/>
        </w:rPr>
      </w:pPr>
    </w:p>
    <w:p w14:paraId="6D5E0737" w14:textId="77777777" w:rsidR="00695AE2" w:rsidRPr="00CB5050" w:rsidRDefault="00695AE2" w:rsidP="00695AE2">
      <w:pPr>
        <w:tabs>
          <w:tab w:val="left" w:pos="1440"/>
        </w:tabs>
        <w:spacing w:line="240" w:lineRule="auto"/>
        <w:jc w:val="both"/>
        <w:rPr>
          <w:rFonts w:eastAsia="Calibri"/>
        </w:rPr>
      </w:pPr>
      <w:r w:rsidRPr="00CB5050">
        <w:rPr>
          <w:rFonts w:eastAsia="Calibri"/>
        </w:rPr>
        <w:t xml:space="preserve">V izvršilnih postopkih zaradi izterjave </w:t>
      </w:r>
      <w:r w:rsidRPr="00CB5050">
        <w:rPr>
          <w:rFonts w:eastAsia="Calibri"/>
          <w:bCs/>
        </w:rPr>
        <w:t>nedenarnih terjatev</w:t>
      </w:r>
      <w:r w:rsidRPr="00CB5050">
        <w:rPr>
          <w:rFonts w:eastAsia="Calibri"/>
        </w:rPr>
        <w:t xml:space="preserve"> Državno odvetništvo RS zastopa Republiko Slovenijo v postopkih, ki se nanašajo na neupravičeno uporabo nepremičnine, motenje posesti, izbiro koncesionarja, zaščito pred vznemirjanjem ipd. </w:t>
      </w:r>
    </w:p>
    <w:p w14:paraId="4B47B434" w14:textId="77777777" w:rsidR="00695AE2" w:rsidRPr="00CB5050" w:rsidRDefault="00695AE2" w:rsidP="00695AE2">
      <w:pPr>
        <w:tabs>
          <w:tab w:val="left" w:pos="1440"/>
        </w:tabs>
        <w:spacing w:line="240" w:lineRule="auto"/>
        <w:jc w:val="both"/>
        <w:rPr>
          <w:rFonts w:eastAsia="Calibri"/>
        </w:rPr>
      </w:pPr>
    </w:p>
    <w:p w14:paraId="18D90609" w14:textId="77777777" w:rsidR="00695AE2" w:rsidRPr="00CB5050" w:rsidRDefault="00695AE2" w:rsidP="00695AE2">
      <w:pPr>
        <w:tabs>
          <w:tab w:val="left" w:pos="1440"/>
        </w:tabs>
        <w:spacing w:line="240" w:lineRule="auto"/>
        <w:jc w:val="both"/>
        <w:rPr>
          <w:rFonts w:eastAsia="Calibri"/>
        </w:rPr>
      </w:pPr>
      <w:r w:rsidRPr="00CB5050">
        <w:rPr>
          <w:rFonts w:eastAsia="Calibri"/>
        </w:rPr>
        <w:t>Izterjava nedenarnih terjatev se izvršuje s sredstvi izvršbe, kot so dobava in izročitev</w:t>
      </w:r>
      <w:r w:rsidRPr="00CB5050">
        <w:rPr>
          <w:rFonts w:eastAsia="Calibri"/>
          <w:szCs w:val="22"/>
        </w:rPr>
        <w:t xml:space="preserve"> </w:t>
      </w:r>
      <w:r w:rsidRPr="00CB5050">
        <w:rPr>
          <w:rFonts w:eastAsia="Calibri"/>
        </w:rPr>
        <w:t>premičnin, izpraznitev in izročitev nepremičnin, z izvršbo na obveznost, kaj storiti, opustiti ali dopustiti; z vrnitvijo delavca na delo; z razdelitvijo stvari; izjava volje pa se izvršuje z naložitvijo denarnih kazni ali penalov.</w:t>
      </w:r>
    </w:p>
    <w:p w14:paraId="58C94443" w14:textId="77777777" w:rsidR="00695AE2" w:rsidRPr="00CB5050" w:rsidRDefault="00695AE2" w:rsidP="00695AE2">
      <w:pPr>
        <w:pStyle w:val="Jasna"/>
      </w:pPr>
    </w:p>
    <w:p w14:paraId="3C4C92A2" w14:textId="77777777" w:rsidR="00695AE2" w:rsidRPr="00CB5050" w:rsidRDefault="00695AE2" w:rsidP="00695AE2">
      <w:pPr>
        <w:pStyle w:val="Naslov3"/>
      </w:pPr>
      <w:bookmarkStart w:id="723" w:name="_Toc95149767"/>
      <w:bookmarkStart w:id="724" w:name="_Toc168844992"/>
      <w:bookmarkStart w:id="725" w:name="_Toc191561973"/>
      <w:bookmarkStart w:id="726" w:name="_Toc223093971"/>
      <w:r w:rsidRPr="00CB5050">
        <w:t>Statisti</w:t>
      </w:r>
      <w:bookmarkEnd w:id="723"/>
      <w:bookmarkEnd w:id="724"/>
      <w:r w:rsidRPr="00CB5050">
        <w:t>čni podatki</w:t>
      </w:r>
      <w:bookmarkEnd w:id="725"/>
      <w:bookmarkEnd w:id="726"/>
      <w:r w:rsidRPr="00CB5050">
        <w:t xml:space="preserve"> </w:t>
      </w:r>
    </w:p>
    <w:p w14:paraId="60A237F4" w14:textId="77777777" w:rsidR="00695AE2" w:rsidRPr="00CB5050" w:rsidRDefault="00695AE2" w:rsidP="00695AE2">
      <w:pPr>
        <w:spacing w:line="240" w:lineRule="auto"/>
        <w:rPr>
          <w:rFonts w:eastAsia="Calibri"/>
          <w:sz w:val="28"/>
          <w:szCs w:val="28"/>
        </w:rPr>
      </w:pPr>
    </w:p>
    <w:p w14:paraId="4A496315" w14:textId="77777777" w:rsidR="00695AE2" w:rsidRPr="00CB5050" w:rsidRDefault="00695AE2" w:rsidP="00695AE2">
      <w:pPr>
        <w:spacing w:line="240" w:lineRule="auto"/>
        <w:jc w:val="both"/>
        <w:rPr>
          <w:rFonts w:eastAsia="Calibri"/>
          <w:szCs w:val="22"/>
        </w:rPr>
      </w:pPr>
      <w:r w:rsidRPr="00CB5050">
        <w:rPr>
          <w:rFonts w:eastAsia="Calibri"/>
          <w:szCs w:val="22"/>
        </w:rPr>
        <w:t>Leta 2025 je Državno odvetništvo RS prejelo 4.168 zadev, in sicer:</w:t>
      </w:r>
    </w:p>
    <w:p w14:paraId="7C6AF57E" w14:textId="77777777" w:rsidR="00695AE2" w:rsidRPr="00CB5050" w:rsidRDefault="00695AE2" w:rsidP="00695AE2">
      <w:pPr>
        <w:numPr>
          <w:ilvl w:val="0"/>
          <w:numId w:val="119"/>
        </w:numPr>
        <w:spacing w:after="160" w:line="240" w:lineRule="auto"/>
        <w:contextualSpacing/>
        <w:jc w:val="both"/>
        <w:rPr>
          <w:rFonts w:eastAsia="Calibri"/>
          <w:szCs w:val="22"/>
        </w:rPr>
      </w:pPr>
      <w:r w:rsidRPr="00CB5050">
        <w:rPr>
          <w:rFonts w:eastAsia="Calibri"/>
          <w:szCs w:val="22"/>
        </w:rPr>
        <w:t xml:space="preserve">1.860 zadev, povezanih s postopkom izvršbe, </w:t>
      </w:r>
    </w:p>
    <w:p w14:paraId="2E58CCF3" w14:textId="77777777" w:rsidR="00695AE2" w:rsidRPr="00CB5050" w:rsidRDefault="00695AE2" w:rsidP="00695AE2">
      <w:pPr>
        <w:numPr>
          <w:ilvl w:val="0"/>
          <w:numId w:val="119"/>
        </w:numPr>
        <w:spacing w:after="160" w:line="240" w:lineRule="auto"/>
        <w:contextualSpacing/>
        <w:jc w:val="both"/>
        <w:rPr>
          <w:rFonts w:eastAsia="Calibri"/>
          <w:szCs w:val="22"/>
        </w:rPr>
      </w:pPr>
      <w:r w:rsidRPr="00CB5050">
        <w:rPr>
          <w:rFonts w:eastAsia="Calibri"/>
          <w:szCs w:val="22"/>
        </w:rPr>
        <w:t xml:space="preserve">1.925 zadev, povezanih s postopkom zavarovanja, </w:t>
      </w:r>
    </w:p>
    <w:p w14:paraId="1FBB4897" w14:textId="77777777" w:rsidR="00695AE2" w:rsidRPr="00CB5050" w:rsidRDefault="00695AE2" w:rsidP="00695AE2">
      <w:pPr>
        <w:numPr>
          <w:ilvl w:val="0"/>
          <w:numId w:val="119"/>
        </w:numPr>
        <w:spacing w:after="160" w:line="240" w:lineRule="auto"/>
        <w:contextualSpacing/>
        <w:jc w:val="both"/>
        <w:rPr>
          <w:rFonts w:eastAsia="Calibri"/>
          <w:szCs w:val="22"/>
        </w:rPr>
      </w:pPr>
      <w:r w:rsidRPr="00CB5050">
        <w:rPr>
          <w:rFonts w:eastAsia="Calibri"/>
          <w:szCs w:val="22"/>
        </w:rPr>
        <w:t xml:space="preserve">378 postopkov, povezanih z izvršbami v tujini, </w:t>
      </w:r>
    </w:p>
    <w:p w14:paraId="6EDC992D" w14:textId="77777777" w:rsidR="00695AE2" w:rsidRPr="00CB5050" w:rsidRDefault="00695AE2" w:rsidP="00695AE2">
      <w:pPr>
        <w:numPr>
          <w:ilvl w:val="0"/>
          <w:numId w:val="119"/>
        </w:numPr>
        <w:spacing w:after="160" w:line="240" w:lineRule="auto"/>
        <w:contextualSpacing/>
        <w:jc w:val="both"/>
        <w:rPr>
          <w:rFonts w:eastAsia="Calibri"/>
          <w:szCs w:val="22"/>
        </w:rPr>
      </w:pPr>
      <w:r w:rsidRPr="00CB5050">
        <w:rPr>
          <w:rFonts w:eastAsia="Calibri"/>
          <w:szCs w:val="22"/>
        </w:rPr>
        <w:t>5 zadev v predhodnem postopku.</w:t>
      </w:r>
    </w:p>
    <w:p w14:paraId="1FED48C3" w14:textId="77777777" w:rsidR="00695AE2" w:rsidRPr="00CB5050" w:rsidRDefault="00695AE2" w:rsidP="00695AE2">
      <w:pPr>
        <w:spacing w:line="240" w:lineRule="auto"/>
        <w:jc w:val="both"/>
        <w:rPr>
          <w:rFonts w:eastAsia="Calibri"/>
        </w:rPr>
      </w:pPr>
      <w:r w:rsidRPr="00CB5050">
        <w:rPr>
          <w:rFonts w:eastAsia="Calibri"/>
        </w:rPr>
        <w:t xml:space="preserve"> </w:t>
      </w:r>
    </w:p>
    <w:p w14:paraId="6D0D2C97" w14:textId="77777777" w:rsidR="00695AE2" w:rsidRPr="00CB5050" w:rsidRDefault="00695AE2" w:rsidP="00695AE2">
      <w:pPr>
        <w:spacing w:line="240" w:lineRule="auto"/>
        <w:jc w:val="both"/>
        <w:rPr>
          <w:rFonts w:eastAsia="Calibri"/>
          <w:szCs w:val="22"/>
        </w:rPr>
      </w:pPr>
      <w:r w:rsidRPr="00CB5050">
        <w:rPr>
          <w:rFonts w:eastAsia="Calibri"/>
          <w:szCs w:val="22"/>
        </w:rPr>
        <w:t xml:space="preserve">Skupno je imelo Državno odvetništvo RS v letu 2025 v delu 13.003 zadev izvršbe in zavarovanja, rešenih je bilo 5.058 zadev, na dan 31. 12. 2025 pa je ostalo odprtih 7.945 zadev. </w:t>
      </w:r>
    </w:p>
    <w:p w14:paraId="2D748F33" w14:textId="77777777" w:rsidR="00695AE2" w:rsidRPr="00CB5050" w:rsidRDefault="00695AE2" w:rsidP="00695AE2">
      <w:pPr>
        <w:tabs>
          <w:tab w:val="left" w:pos="1440"/>
        </w:tabs>
        <w:spacing w:line="240" w:lineRule="auto"/>
        <w:jc w:val="both"/>
        <w:rPr>
          <w:rFonts w:eastAsia="Calibri"/>
        </w:rPr>
      </w:pPr>
    </w:p>
    <w:p w14:paraId="6BA65232" w14:textId="77777777" w:rsidR="00695AE2" w:rsidRPr="00CB5050" w:rsidRDefault="00695AE2" w:rsidP="00695AE2">
      <w:pPr>
        <w:spacing w:line="240" w:lineRule="auto"/>
        <w:jc w:val="both"/>
        <w:rPr>
          <w:rFonts w:eastAsia="Calibri"/>
          <w:color w:val="FF0000"/>
          <w:szCs w:val="22"/>
        </w:rPr>
      </w:pPr>
      <w:r w:rsidRPr="00CB5050">
        <w:rPr>
          <w:rFonts w:eastAsia="Calibri"/>
          <w:szCs w:val="22"/>
        </w:rPr>
        <w:t xml:space="preserve">Glede na status Republike Slovenije v postopkih izvršbe in zavarovanja je v letu 2025 Državno odvetništvo RS prejelo v reševanje 4.109 zadev, v katerih Republika Slovenija nastopa kot upnik, ter 48 zadev, v katerih nastopa kot dolžnik, 3 zadeve, v katerih Državno odvetništvo RS zastopa Republiko Slovenijo, kadar je na podlagi sklepa o dedovanju nanjo prešlo premoženje zapustnika, ki je bil stranka v izvršilnem postopku, ter 8 zadev, v katerih nastopa kot dolžnikov dolžnik. </w:t>
      </w:r>
    </w:p>
    <w:p w14:paraId="66AC2A9E" w14:textId="77777777" w:rsidR="00695AE2" w:rsidRPr="00CB5050" w:rsidRDefault="00695AE2" w:rsidP="00695AE2">
      <w:pPr>
        <w:tabs>
          <w:tab w:val="left" w:pos="1440"/>
        </w:tabs>
        <w:spacing w:line="240" w:lineRule="auto"/>
        <w:jc w:val="both"/>
        <w:rPr>
          <w:rFonts w:eastAsia="Calibri"/>
          <w:sz w:val="28"/>
          <w:szCs w:val="28"/>
        </w:rPr>
      </w:pPr>
    </w:p>
    <w:p w14:paraId="75EBE34F" w14:textId="77777777" w:rsidR="00695AE2" w:rsidRPr="00CB5050" w:rsidRDefault="00695AE2" w:rsidP="00695AE2">
      <w:pPr>
        <w:pStyle w:val="Naslov3"/>
      </w:pPr>
      <w:bookmarkStart w:id="727" w:name="_Toc95149768"/>
      <w:bookmarkStart w:id="728" w:name="_Toc168844993"/>
      <w:bookmarkStart w:id="729" w:name="_Toc191561974"/>
      <w:bookmarkStart w:id="730" w:name="_Toc223093972"/>
      <w:r w:rsidRPr="00CB5050">
        <w:t>Analiza primerjalnih vrednosti</w:t>
      </w:r>
      <w:bookmarkEnd w:id="727"/>
      <w:bookmarkEnd w:id="728"/>
      <w:bookmarkEnd w:id="729"/>
      <w:bookmarkEnd w:id="730"/>
      <w:r w:rsidRPr="00CB5050">
        <w:t xml:space="preserve"> </w:t>
      </w:r>
    </w:p>
    <w:p w14:paraId="757C4DD3" w14:textId="77777777" w:rsidR="00695AE2" w:rsidRPr="00CB5050" w:rsidRDefault="00695AE2" w:rsidP="00695AE2">
      <w:pPr>
        <w:spacing w:line="240" w:lineRule="auto"/>
        <w:jc w:val="both"/>
        <w:rPr>
          <w:rFonts w:eastAsia="Calibri"/>
          <w:sz w:val="28"/>
          <w:szCs w:val="28"/>
        </w:rPr>
      </w:pPr>
    </w:p>
    <w:p w14:paraId="3CC288DF" w14:textId="77777777" w:rsidR="00695AE2" w:rsidRPr="00CB5050" w:rsidRDefault="00695AE2" w:rsidP="00695AE2">
      <w:pPr>
        <w:spacing w:line="240" w:lineRule="auto"/>
        <w:jc w:val="both"/>
        <w:rPr>
          <w:rFonts w:eastAsia="Calibri"/>
          <w:szCs w:val="22"/>
        </w:rPr>
      </w:pPr>
      <w:r w:rsidRPr="00CB5050">
        <w:rPr>
          <w:rFonts w:eastAsia="Calibri"/>
          <w:szCs w:val="22"/>
        </w:rPr>
        <w:t>Leta 2025 je Državno odvetništvo RS prejelo 4.168 zadev v postopkih izvršbe in zavarovanja, kar je 20,01 odstotka več kot leta 2024, ko je prejelo 3</w:t>
      </w:r>
      <w:r w:rsidRPr="00CB5050">
        <w:rPr>
          <w:rFonts w:eastAsia="Calibri"/>
          <w:color w:val="000000"/>
          <w:szCs w:val="22"/>
        </w:rPr>
        <w:t>.473 zadev</w:t>
      </w:r>
      <w:r w:rsidRPr="00CB5050">
        <w:rPr>
          <w:rFonts w:eastAsia="Calibri"/>
          <w:szCs w:val="22"/>
        </w:rPr>
        <w:t xml:space="preserve">. </w:t>
      </w:r>
    </w:p>
    <w:p w14:paraId="0E09982D" w14:textId="77777777" w:rsidR="00695AE2" w:rsidRPr="00CB5050" w:rsidRDefault="00695AE2" w:rsidP="00695AE2">
      <w:pPr>
        <w:spacing w:line="240" w:lineRule="auto"/>
        <w:jc w:val="both"/>
        <w:rPr>
          <w:rFonts w:eastAsia="Calibri"/>
        </w:rPr>
      </w:pPr>
    </w:p>
    <w:p w14:paraId="211F9C90" w14:textId="77777777" w:rsidR="00695AE2" w:rsidRPr="00CB5050" w:rsidRDefault="00695AE2" w:rsidP="00695AE2">
      <w:pPr>
        <w:spacing w:line="240" w:lineRule="auto"/>
        <w:jc w:val="both"/>
        <w:rPr>
          <w:rFonts w:eastAsia="Calibri"/>
          <w:szCs w:val="22"/>
        </w:rPr>
      </w:pPr>
      <w:r w:rsidRPr="00CB5050">
        <w:rPr>
          <w:rFonts w:eastAsia="Calibri"/>
          <w:color w:val="000000"/>
          <w:szCs w:val="22"/>
        </w:rPr>
        <w:t>Skupno je imelo Državno odvetništvo RS v delu 13.003 zadev, kar je 1,3 odstotka manj zadev, kot jih je obravnavalo v letu 2024, ko je bilo v delu 13.174 zadev</w:t>
      </w:r>
      <w:r w:rsidRPr="00CB5050">
        <w:rPr>
          <w:rFonts w:eastAsia="Calibri"/>
          <w:szCs w:val="22"/>
        </w:rPr>
        <w:t xml:space="preserve">. </w:t>
      </w:r>
    </w:p>
    <w:p w14:paraId="54C60C37" w14:textId="77777777" w:rsidR="00695AE2" w:rsidRPr="00CB5050" w:rsidRDefault="00695AE2" w:rsidP="00695AE2">
      <w:pPr>
        <w:spacing w:line="240" w:lineRule="auto"/>
        <w:jc w:val="both"/>
        <w:rPr>
          <w:rFonts w:eastAsia="Calibri"/>
        </w:rPr>
      </w:pPr>
    </w:p>
    <w:p w14:paraId="4CCF73E5" w14:textId="77777777" w:rsidR="00695AE2" w:rsidRPr="00CB5050" w:rsidRDefault="00695AE2" w:rsidP="00695AE2">
      <w:pPr>
        <w:spacing w:line="240" w:lineRule="auto"/>
        <w:jc w:val="both"/>
        <w:rPr>
          <w:rFonts w:eastAsia="Calibri"/>
          <w:szCs w:val="22"/>
        </w:rPr>
      </w:pPr>
      <w:r w:rsidRPr="00CB5050">
        <w:rPr>
          <w:rFonts w:eastAsia="Calibri"/>
          <w:color w:val="000000"/>
          <w:szCs w:val="22"/>
        </w:rPr>
        <w:t>Zaključilo se je 5.058 zadev, kar je 4,33 odstotka manj kot leta 2024, ko se je zaključilo 5.287 zadev, na dan 31. 12. 2024 pa je bilo odprtih 7.945 zadev, kar je 0,74 odstotka več kot na dan</w:t>
      </w:r>
      <w:r w:rsidRPr="00CB5050">
        <w:rPr>
          <w:rFonts w:eastAsia="Calibri"/>
          <w:szCs w:val="22"/>
        </w:rPr>
        <w:t xml:space="preserve"> 31. 12. 2024, ko je bilo odprtih 7.887 zadev. </w:t>
      </w:r>
    </w:p>
    <w:p w14:paraId="4D9DF0D5" w14:textId="77777777" w:rsidR="00695AE2" w:rsidRPr="00CB5050" w:rsidRDefault="00695AE2" w:rsidP="00695AE2">
      <w:pPr>
        <w:spacing w:line="240" w:lineRule="auto"/>
        <w:jc w:val="both"/>
        <w:rPr>
          <w:rFonts w:eastAsia="Calibri"/>
        </w:rPr>
      </w:pPr>
    </w:p>
    <w:p w14:paraId="3F2CF0A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bCs/>
          <w:color w:val="007466"/>
          <w:spacing w:val="1"/>
          <w:sz w:val="20"/>
          <w:szCs w:val="20"/>
        </w:rPr>
      </w:pPr>
      <w:r w:rsidRPr="00CB5050">
        <w:rPr>
          <w:rFonts w:eastAsia="Calibri"/>
          <w:b/>
          <w:bCs/>
          <w:color w:val="007466"/>
          <w:spacing w:val="1"/>
          <w:sz w:val="20"/>
          <w:szCs w:val="20"/>
        </w:rPr>
        <w:t>Grafikon: Število prejetih zadev s področja izvršbe in zavarovanja v obdobju 2021 – 2025</w:t>
      </w:r>
    </w:p>
    <w:p w14:paraId="3A18DEE8" w14:textId="77777777" w:rsidR="00695AE2" w:rsidRPr="00CB5050" w:rsidRDefault="00695AE2" w:rsidP="00695AE2">
      <w:pPr>
        <w:spacing w:line="240" w:lineRule="auto"/>
        <w:jc w:val="both"/>
        <w:rPr>
          <w:rFonts w:eastAsia="Calibri"/>
          <w:sz w:val="20"/>
          <w:szCs w:val="20"/>
        </w:rPr>
      </w:pPr>
    </w:p>
    <w:p w14:paraId="672C3283" w14:textId="77777777" w:rsidR="00695AE2" w:rsidRPr="00CB5050" w:rsidRDefault="00695AE2" w:rsidP="00695AE2">
      <w:pPr>
        <w:spacing w:line="240" w:lineRule="auto"/>
        <w:jc w:val="center"/>
        <w:rPr>
          <w:rFonts w:eastAsia="Calibri"/>
          <w:szCs w:val="22"/>
        </w:rPr>
      </w:pPr>
      <w:r w:rsidRPr="00CB5050">
        <w:rPr>
          <w:rFonts w:eastAsia="Calibri"/>
          <w:noProof/>
          <w:szCs w:val="22"/>
        </w:rPr>
        <w:drawing>
          <wp:inline distT="0" distB="0" distL="0" distR="0" wp14:anchorId="1A8C362F" wp14:editId="10076266">
            <wp:extent cx="4584700" cy="2755900"/>
            <wp:effectExtent l="0" t="0" r="6350" b="6350"/>
            <wp:docPr id="1432539507" name="Slika 7"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39507" name="Slika 7" descr="Slika, ki vsebuje besede besedilo, posnetek zaslona, pravokotnik, številka&#10;&#10;Vsebina, ustvarjena z UI, morda ni praviln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59AA954" w14:textId="77777777" w:rsidR="00695AE2" w:rsidRPr="00CB5050" w:rsidRDefault="00695AE2" w:rsidP="00695AE2">
      <w:pPr>
        <w:spacing w:line="240" w:lineRule="auto"/>
        <w:jc w:val="both"/>
        <w:rPr>
          <w:rFonts w:eastAsia="Calibri"/>
          <w:szCs w:val="22"/>
        </w:rPr>
      </w:pPr>
    </w:p>
    <w:p w14:paraId="395EB7E9" w14:textId="77777777" w:rsidR="00695AE2" w:rsidRPr="00CB5050" w:rsidRDefault="00695AE2" w:rsidP="00695AE2">
      <w:pPr>
        <w:spacing w:line="240" w:lineRule="auto"/>
        <w:jc w:val="both"/>
        <w:rPr>
          <w:rFonts w:eastAsia="Calibri"/>
          <w:szCs w:val="22"/>
        </w:rPr>
      </w:pPr>
      <w:r w:rsidRPr="00CB5050">
        <w:rPr>
          <w:rFonts w:eastAsia="Calibri"/>
          <w:szCs w:val="22"/>
        </w:rPr>
        <w:t>Statistični podatki za obdobje 2021 – 2025 kažejo, da pripad novih izvršilnih zadev vsa leta  ostaja na približno enaki ravni; v povprečju je Državno odvetništvo RS v zadnjih petih letih prejelo v delo po 3.829 novih zadev. Število prejetih novih izvršilnih zadev v letu 2025 je torej povsem blizu povprečja v zadnjih petih letih.</w:t>
      </w:r>
    </w:p>
    <w:p w14:paraId="01C2288F" w14:textId="77777777" w:rsidR="00695AE2" w:rsidRPr="00CB5050" w:rsidRDefault="00695AE2" w:rsidP="00695AE2">
      <w:pPr>
        <w:spacing w:line="240" w:lineRule="auto"/>
        <w:jc w:val="both"/>
        <w:rPr>
          <w:rFonts w:eastAsia="Calibri"/>
          <w:szCs w:val="22"/>
        </w:rPr>
      </w:pPr>
    </w:p>
    <w:p w14:paraId="109AB14C" w14:textId="77777777" w:rsidR="00695AE2" w:rsidRPr="00CB5050" w:rsidRDefault="00695AE2" w:rsidP="00695AE2">
      <w:pPr>
        <w:spacing w:line="240" w:lineRule="auto"/>
        <w:jc w:val="both"/>
        <w:rPr>
          <w:rFonts w:eastAsia="Calibri"/>
          <w:szCs w:val="22"/>
        </w:rPr>
      </w:pPr>
      <w:r w:rsidRPr="00CB5050">
        <w:rPr>
          <w:rFonts w:eastAsia="Calibri"/>
          <w:szCs w:val="22"/>
        </w:rPr>
        <w:t>Glede števila zadev v delu Državno odvetništvo RS opozarja, da je v nekaterih odprtih zadevah glede na premoženjsko stanje dolžnikov dejansko nemogoče priti do poplačila terjatev,</w:t>
      </w:r>
      <w:r w:rsidRPr="00CB5050">
        <w:rPr>
          <w:rFonts w:eastAsia="Calibri"/>
          <w:color w:val="FF0000"/>
          <w:szCs w:val="22"/>
        </w:rPr>
        <w:t xml:space="preserve"> </w:t>
      </w:r>
      <w:r w:rsidRPr="00CB5050">
        <w:rPr>
          <w:rFonts w:eastAsia="Calibri"/>
          <w:szCs w:val="22"/>
        </w:rPr>
        <w:t xml:space="preserve">zato Državno odvetništvo RS spise vodi tudi po več let in jih prenaša iz enega obdobja poročanja v drugo. Tako nekateri spisi leta ostajajo odprti in se v njih delajo le periodične poizvedbe o morebitnem novem premoženju dolžnika, realnih možnosti za poplačilo terjatev ter s tem za zaključek zadeve pa pravzaprav ni. </w:t>
      </w:r>
    </w:p>
    <w:p w14:paraId="19905EB2" w14:textId="77777777" w:rsidR="00695AE2" w:rsidRPr="00CB5050" w:rsidRDefault="00695AE2" w:rsidP="00695AE2">
      <w:pPr>
        <w:spacing w:line="240" w:lineRule="auto"/>
        <w:jc w:val="both"/>
        <w:rPr>
          <w:rFonts w:eastAsia="Calibri"/>
          <w:sz w:val="28"/>
          <w:szCs w:val="28"/>
          <w:vertAlign w:val="superscript"/>
        </w:rPr>
      </w:pPr>
    </w:p>
    <w:p w14:paraId="528D91FA" w14:textId="77777777" w:rsidR="00695AE2" w:rsidRPr="00CB5050" w:rsidRDefault="00695AE2" w:rsidP="00695AE2">
      <w:pPr>
        <w:pStyle w:val="Naslov3"/>
      </w:pPr>
      <w:bookmarkStart w:id="731" w:name="_Toc95149769"/>
      <w:bookmarkStart w:id="732" w:name="_Toc168844994"/>
      <w:bookmarkStart w:id="733" w:name="_Toc191561975"/>
      <w:bookmarkStart w:id="734" w:name="_Toc223093973"/>
      <w:r w:rsidRPr="00CB5050">
        <w:t>Ukrepi za obvladovanje zadev in priporočila Državnega odvetništva RS</w:t>
      </w:r>
      <w:bookmarkEnd w:id="731"/>
      <w:bookmarkEnd w:id="732"/>
      <w:bookmarkEnd w:id="733"/>
      <w:bookmarkEnd w:id="734"/>
    </w:p>
    <w:p w14:paraId="1C261052" w14:textId="77777777" w:rsidR="00695AE2" w:rsidRPr="00CB5050" w:rsidRDefault="00695AE2" w:rsidP="00695AE2">
      <w:pPr>
        <w:spacing w:line="240" w:lineRule="auto"/>
        <w:rPr>
          <w:rFonts w:eastAsia="Calibri"/>
          <w:sz w:val="28"/>
          <w:szCs w:val="28"/>
        </w:rPr>
      </w:pPr>
    </w:p>
    <w:p w14:paraId="7B4CCDDC" w14:textId="77777777" w:rsidR="00695AE2" w:rsidRPr="00CB5050" w:rsidRDefault="00695AE2" w:rsidP="00695AE2">
      <w:pPr>
        <w:pStyle w:val="Naslov4"/>
        <w:ind w:left="0" w:firstLine="0"/>
      </w:pPr>
      <w:bookmarkStart w:id="735" w:name="_Toc95149770"/>
      <w:bookmarkStart w:id="736" w:name="_Toc168844995"/>
      <w:bookmarkStart w:id="737" w:name="_Toc191561976"/>
      <w:bookmarkStart w:id="738" w:name="_Toc223093974"/>
      <w:r w:rsidRPr="00CB5050">
        <w:t>Izvršilni postopki, v katerih Državno odvetništvo RS zastopa Republiko Slovenijo kot dolžnika</w:t>
      </w:r>
      <w:bookmarkEnd w:id="735"/>
      <w:bookmarkEnd w:id="736"/>
      <w:bookmarkEnd w:id="737"/>
      <w:bookmarkEnd w:id="738"/>
    </w:p>
    <w:p w14:paraId="4C827A57" w14:textId="77777777" w:rsidR="00695AE2" w:rsidRPr="00CB5050" w:rsidRDefault="00695AE2" w:rsidP="00695AE2">
      <w:pPr>
        <w:pStyle w:val="Jasna"/>
      </w:pPr>
    </w:p>
    <w:p w14:paraId="449C3A8A" w14:textId="77777777" w:rsidR="00695AE2" w:rsidRPr="00CB5050" w:rsidRDefault="00695AE2" w:rsidP="00695AE2">
      <w:pPr>
        <w:spacing w:line="240" w:lineRule="auto"/>
        <w:jc w:val="both"/>
        <w:rPr>
          <w:rFonts w:eastAsia="Calibri"/>
        </w:rPr>
      </w:pPr>
      <w:r w:rsidRPr="00CB5050">
        <w:rPr>
          <w:rFonts w:eastAsia="Calibri"/>
        </w:rPr>
        <w:t>V letu 2025 je Državno odvetništvo RS v delo prejelo 45 zadev, v katerih je Republika Slovenija nastopala kot dolžnik, v skupnem znesku terjatev 2.274.049,17 evra.</w:t>
      </w:r>
    </w:p>
    <w:p w14:paraId="387E9F4B" w14:textId="77777777" w:rsidR="00695AE2" w:rsidRPr="00CB5050" w:rsidRDefault="00695AE2" w:rsidP="00695AE2">
      <w:pPr>
        <w:spacing w:line="240" w:lineRule="auto"/>
        <w:jc w:val="both"/>
        <w:rPr>
          <w:rFonts w:eastAsia="Calibri"/>
        </w:rPr>
      </w:pPr>
    </w:p>
    <w:p w14:paraId="6CB1CDF2" w14:textId="77777777" w:rsidR="00695AE2" w:rsidRPr="00CB5050" w:rsidRDefault="00695AE2" w:rsidP="00695AE2">
      <w:pPr>
        <w:spacing w:line="240" w:lineRule="auto"/>
        <w:jc w:val="both"/>
        <w:rPr>
          <w:rFonts w:eastAsia="Calibri"/>
        </w:rPr>
      </w:pPr>
      <w:r w:rsidRPr="00CB5050">
        <w:rPr>
          <w:rFonts w:eastAsia="Calibri"/>
        </w:rPr>
        <w:lastRenderedPageBreak/>
        <w:t xml:space="preserve">V zadevah, v katerih upniki predlog za izvršbo zoper Republiko Slovenijo vložijo na podlagi </w:t>
      </w:r>
      <w:r w:rsidRPr="00CB5050">
        <w:rPr>
          <w:rFonts w:eastAsia="Calibri"/>
          <w:color w:val="007466"/>
        </w:rPr>
        <w:t>verodostojne listine</w:t>
      </w:r>
      <w:r w:rsidRPr="00CB5050">
        <w:rPr>
          <w:rFonts w:eastAsia="Calibri"/>
        </w:rPr>
        <w:t xml:space="preserve">, morajo pred tem pri Državnem odvetništvu RS sprožiti predhodni postopek in predlagati sporazumno rešitev spora po 27. členu ZDOdv. Po določbi prvega odstavka 27. člena ZDOdv mora namreč tisti, ki namerava začeti pravdni ali drug postopek proti državi ali državnemu organu, predhodno predlagati državnemu odvetništvu, naj se sporno razmerje na miren način reši pred uvedbo pravdnega ali drugega postopka. Določba četrtega odstavka 27. člena ZDOdv določa, da je predhodni postopek poskusa mirne rešitve spora pogoj za uvedbo pravdnega ali drugega postopka. Določa tudi, da kdor namerava začeti pravdni ali drug postopek proti državi ali državnemu organu, mora pristojnemu sodišču ali drugemu organu predložiti potrdilo o neuspelem poskusu mirne rešitve spora v predhodnem postopku, sicer se tožba ali drug predlog za začetek postopka (torej tudi predlog za izvršbo) s sklepom zavrže. </w:t>
      </w:r>
    </w:p>
    <w:p w14:paraId="7C36A49D" w14:textId="77777777" w:rsidR="00695AE2" w:rsidRPr="00CB5050" w:rsidRDefault="00695AE2" w:rsidP="00695AE2">
      <w:pPr>
        <w:spacing w:line="240" w:lineRule="auto"/>
        <w:jc w:val="both"/>
        <w:rPr>
          <w:rFonts w:eastAsia="Calibri"/>
        </w:rPr>
      </w:pPr>
    </w:p>
    <w:p w14:paraId="575603DC" w14:textId="77777777" w:rsidR="00695AE2" w:rsidRPr="00CB5050" w:rsidRDefault="00695AE2" w:rsidP="00695AE2">
      <w:pPr>
        <w:spacing w:line="240" w:lineRule="auto"/>
        <w:jc w:val="both"/>
        <w:rPr>
          <w:rFonts w:eastAsia="Calibri"/>
        </w:rPr>
      </w:pPr>
      <w:r w:rsidRPr="00CB5050">
        <w:rPr>
          <w:rFonts w:eastAsia="Calibri"/>
        </w:rPr>
        <w:t xml:space="preserve">V primerih, ko Republika Slovenija nastopa kot dolžnik v izvršilnih postopkih na podlagi </w:t>
      </w:r>
      <w:r w:rsidRPr="00CB5050">
        <w:rPr>
          <w:rFonts w:eastAsia="Calibri"/>
          <w:color w:val="007466"/>
        </w:rPr>
        <w:t>izvršilnega naslova</w:t>
      </w:r>
      <w:r w:rsidRPr="00CB5050">
        <w:rPr>
          <w:rFonts w:eastAsia="Calibri"/>
        </w:rPr>
        <w:t xml:space="preserve">, rešitev zadeve v izvršilnem postopku praviloma pomeni zaključek razmerja z nasprotno stranko glede določenega vprašanja in s tem dokončnega poplačila. Glede na to, da postopek izvršbe sledi predhodno pravnomočno končanemu sodnemu postopku in terjatev upnika zoper Republiko Slovenijo izvira iz predhodno izposlovanega izvršilnega naslova, bi si morala vsa ministrstva in državni organi, na katere se izvršilni naslov nanaša, prizadevati, da se sodne odločbe izvršijo pravočasno v roku za prostovoljno izpolnitev in tako, kot se glasijo. Kakršno koli drugačno postopanje povzroča ne nazadnje tudi dodatne obremenitve za proračun v delu, ki se nanaša na zamudne obresti, stroške izvršilnih postopkov, stroške, ki nastanejo zaradi dela državnih organov, ki so poleg prvotnega dela na pravdnem spisu, zaradi neizpolnitve ali nepopolne izpolnitve sodne odločbe v roku, udeleženi še v dodatnem izvršilnem postopku. </w:t>
      </w:r>
    </w:p>
    <w:p w14:paraId="19DEED42" w14:textId="77777777" w:rsidR="00695AE2" w:rsidRPr="00CB5050" w:rsidRDefault="00695AE2" w:rsidP="00695AE2">
      <w:pPr>
        <w:spacing w:line="240" w:lineRule="auto"/>
        <w:jc w:val="both"/>
        <w:rPr>
          <w:rFonts w:eastAsia="Calibri"/>
          <w:color w:val="FF0000"/>
        </w:rPr>
      </w:pPr>
    </w:p>
    <w:p w14:paraId="1840CAC1" w14:textId="77777777" w:rsidR="00695AE2" w:rsidRPr="00CB5050" w:rsidRDefault="00695AE2" w:rsidP="00695AE2">
      <w:pPr>
        <w:spacing w:line="240" w:lineRule="auto"/>
        <w:jc w:val="both"/>
        <w:rPr>
          <w:rFonts w:eastAsia="Calibri"/>
        </w:rPr>
      </w:pPr>
      <w:r w:rsidRPr="00CB5050">
        <w:rPr>
          <w:rFonts w:eastAsia="Calibri"/>
        </w:rPr>
        <w:t>Državno odvetništvo RS v primeru izvršb na podlagi izvršilnega naslova zaznava primere, ko se kot posebej problematično pokaže določilo tretjega odstavka 46. člena ZIZ, ko se upnik lahko poplača pred pravnomočnostjo iz denarnih sredstev na računu dolžnika. Državno odvetništvo RS ob tem poudarja, da v primeru, da upnik, ki je vložil neutemeljeni predlog, na podlagi katerega je sodišče izdalo sklep in še pred pravnomočnostjo sklep izvršilo, nima premoženja, na katero bi bilo mogoče seči z izvršbo, zneskov, odtegnjenih pred pravnomočnostjo, ni več mogoče izterjati nazaj in je za odtegnjene zneske na ta način oškodovan proračun. Državno odvetništvo RS zato meni, da mora biti predlog za izvršbo na podlagi izvršilnega naslova v primeru, ko upnik predlaga izvršbo na denarna sredstva na računu dolžnika, podvržen natančnemu predhodnemu preizkusu predloga za izvršbo v skladu z določili ZPP in ZIZ, saj je posledice izvršitve sklepa pred njegovo pravnomočnostjo, tudi v primeru, da dolžnik z ugovorom uspe, včasih težko (ali nemogoče) odpraviti in od upnika izterjati tisto, kar je z (neutemeljeno) izvršbo prejel.</w:t>
      </w:r>
    </w:p>
    <w:p w14:paraId="08AF166C" w14:textId="77777777" w:rsidR="00695AE2" w:rsidRPr="00CB5050" w:rsidRDefault="00695AE2" w:rsidP="00695AE2">
      <w:pPr>
        <w:spacing w:line="240" w:lineRule="auto"/>
        <w:jc w:val="both"/>
        <w:rPr>
          <w:rFonts w:eastAsia="Calibri"/>
        </w:rPr>
      </w:pPr>
    </w:p>
    <w:p w14:paraId="3FFBEB93" w14:textId="77777777" w:rsidR="00695AE2" w:rsidRPr="00CB5050" w:rsidRDefault="00695AE2" w:rsidP="00695AE2">
      <w:pPr>
        <w:pStyle w:val="Naslov4"/>
        <w:ind w:left="0" w:firstLine="0"/>
      </w:pPr>
      <w:bookmarkStart w:id="739" w:name="_Toc95149771"/>
      <w:bookmarkStart w:id="740" w:name="_Toc168844996"/>
      <w:bookmarkStart w:id="741" w:name="_Toc191561977"/>
      <w:bookmarkStart w:id="742" w:name="_Toc223093975"/>
      <w:r w:rsidRPr="00CB5050">
        <w:t xml:space="preserve">Izvršilni postopki, v </w:t>
      </w:r>
      <w:r w:rsidRPr="00EB3AED">
        <w:t>katerih</w:t>
      </w:r>
      <w:r w:rsidRPr="00CB5050">
        <w:t xml:space="preserve"> Državno odvetništvo RS zastopa Republiko Slovenijo kot upnika</w:t>
      </w:r>
      <w:bookmarkEnd w:id="739"/>
      <w:bookmarkEnd w:id="740"/>
      <w:bookmarkEnd w:id="741"/>
      <w:bookmarkEnd w:id="742"/>
      <w:r w:rsidRPr="00CB5050">
        <w:t xml:space="preserve"> </w:t>
      </w:r>
    </w:p>
    <w:p w14:paraId="3E89450A" w14:textId="77777777" w:rsidR="00695AE2" w:rsidRPr="00CB5050" w:rsidRDefault="00695AE2" w:rsidP="00695AE2">
      <w:pPr>
        <w:spacing w:line="240" w:lineRule="auto"/>
        <w:jc w:val="both"/>
        <w:rPr>
          <w:rFonts w:eastAsia="Calibri"/>
        </w:rPr>
      </w:pPr>
    </w:p>
    <w:p w14:paraId="332A53EB" w14:textId="77777777" w:rsidR="00695AE2" w:rsidRPr="00CB5050" w:rsidRDefault="00695AE2" w:rsidP="00695AE2">
      <w:pPr>
        <w:spacing w:line="240" w:lineRule="auto"/>
        <w:jc w:val="both"/>
        <w:rPr>
          <w:rFonts w:eastAsia="Calibri"/>
        </w:rPr>
      </w:pPr>
      <w:r w:rsidRPr="00CB5050">
        <w:rPr>
          <w:rFonts w:eastAsia="Calibri"/>
        </w:rPr>
        <w:t xml:space="preserve">V letu 2025 je Državno odvetništvo RS prejelo v delo 1.804 zadeve, v katerih je Republiko Slovenijo zastopalo kot upnika, in sicer za skupno vrednost terjatev 22.280.084,55 evra. Skupno je bilo v letu 2025 na Državnem odvetništvu RS v delu 7.062 zadev, v katerih je RS nastopala kot upnik, za skupni znesek terjatev 95.867.952,77 evra, rešenih pa je bilo 2.101 </w:t>
      </w:r>
      <w:r w:rsidRPr="00CB5050">
        <w:rPr>
          <w:rFonts w:eastAsia="Calibri"/>
        </w:rPr>
        <w:lastRenderedPageBreak/>
        <w:t xml:space="preserve">takšnih zadev, za skupni znesek terjatev 35.387.561,65 evra, pri čemer se kot rešene zadeve v izvršilnih postopkih štejejo tudi tiste, pri katerih je izvršilno sodišče po vloženem obrazloženem ugovoru upnika sklep o izvršbi razveljavilo in se zadeva nadaljuje po pravilih pravdnega postopka pred krajevno in stvarno pristojnim sodiščem, ki mu je izvršilno sodišče zadevo odstopilo v nadaljnje reševanje (in torej v izvršilnem postopku še ni prišlo do poplačila terjatve, saj je le-ta med strankama postopka še sporna in jo bo šele v pravdnem postopku ugotovilo sodišče).  </w:t>
      </w:r>
    </w:p>
    <w:p w14:paraId="79E23C8E" w14:textId="77777777" w:rsidR="00695AE2" w:rsidRPr="00CB5050" w:rsidRDefault="00695AE2" w:rsidP="00695AE2">
      <w:pPr>
        <w:spacing w:line="240" w:lineRule="auto"/>
        <w:jc w:val="both"/>
        <w:rPr>
          <w:rFonts w:eastAsia="Calibri"/>
        </w:rPr>
      </w:pPr>
    </w:p>
    <w:p w14:paraId="7739F9C9" w14:textId="77777777" w:rsidR="00695AE2" w:rsidRPr="00CB5050" w:rsidRDefault="00695AE2" w:rsidP="00695AE2">
      <w:pPr>
        <w:spacing w:line="240" w:lineRule="auto"/>
        <w:jc w:val="both"/>
        <w:rPr>
          <w:rFonts w:eastAsia="Calibri"/>
        </w:rPr>
      </w:pPr>
      <w:r w:rsidRPr="00CB5050">
        <w:rPr>
          <w:rFonts w:eastAsia="Calibri"/>
        </w:rPr>
        <w:t xml:space="preserve">Na podlagi verodostojne listine Državno odvetništvo RS v imenu Republike Slovenije kot upnika izterjuje različne vrste terjatev državnih organov Republike Slovenije. Z izvršbo na podlagi verodostojne listine upnik pridobi v primeru, da ugovor zoper sklep o izvršbi ni vložen, izvršilni naslov. Obenem po pravnomočnosti sodišče sklep o izvršbi izvrši, kar pomeni, da gre za relativno učinkovito pravno sredstvo, vendar le, če ima dolžnik premoženje, na katero je mogoče seči z izvršbo. Vendar pa mora dolžnik pred vložitvijo predloga za izvršbo na podlagi verodostojne listine imeti tudi podatke o premoženju dolžnika, na katero je mogoče seči z izvršbo, saj so navedbe o premoženju sestavni del predloga za izvršbo v skladu z določilom 41. člena ZIZ in je takšen predlog smiselno vložiti le, če bo sklep tudi dejansko izvršen. V primeru, da dolžnik zoper sklep o izvršbi vloži obrazloženi ugovor (61. člen ZIZ), pa sodišče v skladu z določilom 62. člena ZIZ sklep o izvršbi razveljavi ter nadaljuje postopek kot pri plačilnem nalogu, kar pomeni, da se zadeva nadaljuje kot pravdni postopek in se tudi ustrezno predodeli na krajevno in stvarno pristojno sodišče. </w:t>
      </w:r>
    </w:p>
    <w:p w14:paraId="06308AEF" w14:textId="77777777" w:rsidR="00695AE2" w:rsidRPr="00CB5050" w:rsidRDefault="00695AE2" w:rsidP="00695AE2">
      <w:pPr>
        <w:spacing w:line="240" w:lineRule="auto"/>
        <w:jc w:val="both"/>
        <w:rPr>
          <w:rFonts w:eastAsia="Calibri"/>
          <w:color w:val="FF0000"/>
        </w:rPr>
      </w:pPr>
    </w:p>
    <w:p w14:paraId="0F4EB07E" w14:textId="77777777" w:rsidR="00695AE2" w:rsidRPr="00CB5050" w:rsidRDefault="00695AE2" w:rsidP="00695AE2">
      <w:pPr>
        <w:spacing w:line="240" w:lineRule="auto"/>
        <w:jc w:val="both"/>
        <w:rPr>
          <w:rFonts w:eastAsia="Calibri"/>
        </w:rPr>
      </w:pPr>
      <w:r w:rsidRPr="00CB5050">
        <w:rPr>
          <w:rFonts w:eastAsia="Calibri"/>
        </w:rPr>
        <w:t xml:space="preserve">Državno odvetništvo RS zastopa Republiko Slovenijo kot upnika v postopkih na podlagi izvršilnega naslova predvsem v zadevah na podlagi seznama izvršilnih naslovov Ministrstva za finance, Finančne uprave Republike Slovenije (FURS) in na podlagi sodnih odločb (pravnomočne in izvršljive odločbe sodišč). </w:t>
      </w:r>
    </w:p>
    <w:p w14:paraId="58D5980E" w14:textId="77777777" w:rsidR="00695AE2" w:rsidRPr="00CB5050" w:rsidRDefault="00695AE2" w:rsidP="00695AE2">
      <w:pPr>
        <w:spacing w:line="240" w:lineRule="auto"/>
        <w:jc w:val="both"/>
        <w:rPr>
          <w:rFonts w:eastAsia="Calibri"/>
        </w:rPr>
      </w:pPr>
    </w:p>
    <w:p w14:paraId="15373977" w14:textId="77777777" w:rsidR="00695AE2" w:rsidRPr="00CB5050" w:rsidRDefault="00695AE2" w:rsidP="00695AE2">
      <w:pPr>
        <w:spacing w:line="240" w:lineRule="auto"/>
        <w:jc w:val="both"/>
        <w:rPr>
          <w:rFonts w:eastAsia="Calibri"/>
        </w:rPr>
      </w:pPr>
      <w:r w:rsidRPr="00CB5050">
        <w:rPr>
          <w:rFonts w:eastAsia="Calibri"/>
        </w:rPr>
        <w:t xml:space="preserve">Kot sredstva izvršbe se v večini primerov v zadevah, v katerih je stranka FURS in se izterjujejo davčne obveznosti, predlaga prodaja nepremičnine dolžnika, pa tudi izvršba na delež družbenika ter vrednostne papirje. V drugih primerih se kot sredstvo izvršbe predlagata predvsem rubež denarnih sredstev na računu dolžnika ter izvršba na plačo in druge stalne prejemke dolžnika, ki je stroškovno najugodnejša in sprejemljiva s stališča ekonomičnosti postopka. Navedena sredstva izvršbe pri davčnih terjatvah ne pridejo v poštev, saj jih FURS v skladu z zakonom najprej izterjuje v postopku davčne izvršbe, in sicer na denarna sredstva na računu dolžnika, na plačo ter premičnine. Tako Državno odvetništvo RS v delo prejme zgolj tiste zadeve, v katerih davčnega dolga ni bilo mogoče izterjati z navedenimi drugimi sredstvi izvršbe oziroma je bila izvršba na druga izvršilna sredstva neuspešna.  </w:t>
      </w:r>
    </w:p>
    <w:p w14:paraId="02A43EAF" w14:textId="77777777" w:rsidR="00695AE2" w:rsidRPr="00CB5050" w:rsidRDefault="00695AE2" w:rsidP="00695AE2">
      <w:pPr>
        <w:spacing w:line="240" w:lineRule="auto"/>
        <w:jc w:val="both"/>
        <w:rPr>
          <w:rFonts w:eastAsia="Calibri"/>
          <w:color w:val="FF0000"/>
        </w:rPr>
      </w:pPr>
    </w:p>
    <w:p w14:paraId="720578BE" w14:textId="77777777" w:rsidR="00695AE2" w:rsidRPr="00CB5050" w:rsidRDefault="00695AE2" w:rsidP="00695AE2">
      <w:pPr>
        <w:kinsoku w:val="0"/>
        <w:overflowPunct w:val="0"/>
        <w:spacing w:line="240" w:lineRule="auto"/>
        <w:jc w:val="both"/>
        <w:rPr>
          <w:rFonts w:eastAsia="Calibri"/>
          <w:szCs w:val="22"/>
        </w:rPr>
      </w:pPr>
      <w:r w:rsidRPr="00CB5050">
        <w:rPr>
          <w:rFonts w:eastAsia="Calibri"/>
        </w:rPr>
        <w:t xml:space="preserve">Državno odvetništvo RS ugotavlja, da so postopki izvršbe dolgotrajni in povezani z visokimi stroški za upnike. </w:t>
      </w:r>
      <w:r w:rsidRPr="00CB5050">
        <w:rPr>
          <w:rFonts w:eastAsia="Calibri"/>
          <w:szCs w:val="22"/>
        </w:rPr>
        <w:t xml:space="preserve">Razmeroma redki so primeri, da dolžniki poravnajo svoje obveznosti v kratkem času po izdaji sklepa o izvršbi – razlog je verjetno prezadolženost dolžnikov, saj Državno odvetništvo RS opaža, da zoper dolžnike velikokrat teče več postopkov za izterjavo (tudi drugih upnikov), zato je možnost poplačila relativno majhna. Kot neustrezno Državno odvetništvo RS ocenjuje stanje oziroma primere, ko sodišče več let po pravnomočnosti sklepa o izvršbi ne izvede nobenega nadaljnjega dejanja v smeri izterjave, posledično pa se seveda zmanjšujejo tudi možnosti uspešne izterjave in poplačila terjatev. </w:t>
      </w:r>
      <w:r w:rsidRPr="00CB5050">
        <w:rPr>
          <w:rFonts w:eastAsia="Calibri"/>
        </w:rPr>
        <w:t xml:space="preserve">V praksi se je pokazalo, da sta najbolj učinkovita načina izvršbe izvršba na denarna sredstva na računu dolžnika pri </w:t>
      </w:r>
      <w:r w:rsidRPr="00CB5050">
        <w:rPr>
          <w:rFonts w:eastAsia="Calibri"/>
        </w:rPr>
        <w:lastRenderedPageBreak/>
        <w:t xml:space="preserve">organizaciji za plačilni promet in v primeru fizične osebe izvršba na plačo, kadar delodajalec ni samostojni podjetnik. Vsa druga izvršilna sredstva pomenijo za upnika velike stroške izvedencev ali izvršiteljev, ki pa se upniku povrnejo le, če je izvršba uspešna in je nepremičnina ali premičnina prodana v izvršbi za vrednost, ki pokrije stroške izvršbe ter tudi terjatev upnika, kar pa je skoraj nemogoče napovedati vnaprej. Kadar je že iz javno dostopnih evidenc razvidno, da je vrednost premoženja nesorazmerno nizka v primerjavi s terjatvijo ali stroški cenitve, kadar je delež dolžnika na premoženju, na katero se sega z izvršbo, manj kot celota ter kadar je pred terjatvijo Republike Slovenije zavarovana terjatev drugega upnika in za znesek, za katerega je mogoče že na prvi pogled oceniti, da bo s prodajo nepremičnine poplačan le ta in kupnina ne bo zadoščala še za poplačilo Republike Slovenije, vlaganje predlogov za izvršbo pomeni zgolj povečevanje stroškov postopka, obremenjevanje sodnega sistema in vseh udeleženih, ki sodelujejo v postopku izterjave, ter povečevanje stroškov proračuna in nikakor ne poplačila terjatve, zaradi poplačila katere naj bi se postopek izvedel. </w:t>
      </w:r>
    </w:p>
    <w:p w14:paraId="56F60191" w14:textId="77777777" w:rsidR="00695AE2" w:rsidRPr="00CB5050" w:rsidRDefault="00695AE2" w:rsidP="00695AE2">
      <w:pPr>
        <w:spacing w:line="240" w:lineRule="auto"/>
        <w:jc w:val="both"/>
        <w:rPr>
          <w:rFonts w:eastAsia="Calibri"/>
        </w:rPr>
      </w:pPr>
    </w:p>
    <w:p w14:paraId="36A701DA" w14:textId="77777777" w:rsidR="00695AE2" w:rsidRPr="00CB5050" w:rsidRDefault="00695AE2" w:rsidP="00695AE2">
      <w:pPr>
        <w:spacing w:line="240" w:lineRule="auto"/>
        <w:jc w:val="both"/>
        <w:rPr>
          <w:rFonts w:eastAsia="Calibri"/>
        </w:rPr>
      </w:pPr>
      <w:r w:rsidRPr="00CB5050">
        <w:rPr>
          <w:rFonts w:eastAsia="Calibri"/>
        </w:rPr>
        <w:t xml:space="preserve">Po mnenju Državnega odvetništva RS je tako v vsakem posameznem primeru potrebna skrbna ocena, ali in za kolikšen del terjatve, ki jo izterjuje upnik, je realno pričakovati, da ga bo mogoče poplačati v izvršbi po odštetju stroškov izvršbe, prednostnih terjatev ter prednostnem poplačilu upnikov z boljšim vrstnim redom. </w:t>
      </w:r>
    </w:p>
    <w:p w14:paraId="3FFECA6F" w14:textId="77777777" w:rsidR="00695AE2" w:rsidRPr="00CB5050" w:rsidRDefault="00695AE2" w:rsidP="00695AE2">
      <w:pPr>
        <w:spacing w:line="240" w:lineRule="auto"/>
        <w:jc w:val="both"/>
        <w:rPr>
          <w:rFonts w:eastAsia="Calibri"/>
        </w:rPr>
      </w:pPr>
    </w:p>
    <w:p w14:paraId="2CA8CDAE" w14:textId="77777777" w:rsidR="00695AE2" w:rsidRPr="00CB5050" w:rsidRDefault="00695AE2" w:rsidP="00695AE2">
      <w:pPr>
        <w:spacing w:line="240" w:lineRule="auto"/>
        <w:jc w:val="both"/>
        <w:rPr>
          <w:rFonts w:eastAsia="Calibri"/>
          <w:bCs/>
          <w:color w:val="000000"/>
          <w:szCs w:val="22"/>
        </w:rPr>
      </w:pPr>
      <w:r w:rsidRPr="00CB5050">
        <w:rPr>
          <w:rFonts w:eastAsia="Calibri"/>
        </w:rPr>
        <w:t xml:space="preserve">Ne glede na navedeno pa Državno odvetništvo RS </w:t>
      </w:r>
      <w:r w:rsidRPr="00CB5050">
        <w:rPr>
          <w:rFonts w:eastAsia="Calibri"/>
          <w:lang w:eastAsia="sl-SI"/>
        </w:rPr>
        <w:t xml:space="preserve">vendarle opaža rahlo pohitritev postopkov, k čemur so zagotovo prispevale spletne javne dražbe. Prav tako je opazen tudi trend povečane uspešnosti prodaj (predvsem stanovanj) tako na prvem kot tudi na drugem prodajnem naroku, kar je očitno odraz stanja trga nepremičnin in spremembe načina prodaje nepremičnin na spletnih javnih dražbah, kar vodi do tega, da </w:t>
      </w:r>
      <w:r w:rsidRPr="00CB5050">
        <w:rPr>
          <w:rFonts w:eastAsia="Calibri"/>
          <w:bCs/>
          <w:color w:val="000000"/>
          <w:szCs w:val="22"/>
        </w:rPr>
        <w:t>se je tudi odstotek poplačil znatno povečal.</w:t>
      </w:r>
    </w:p>
    <w:p w14:paraId="62E75F61" w14:textId="77777777" w:rsidR="00695AE2" w:rsidRPr="00CB5050" w:rsidRDefault="00695AE2" w:rsidP="00695AE2">
      <w:pPr>
        <w:spacing w:line="240" w:lineRule="auto"/>
        <w:jc w:val="both"/>
        <w:rPr>
          <w:rFonts w:eastAsia="Calibri"/>
          <w:color w:val="FF0000"/>
        </w:rPr>
      </w:pPr>
    </w:p>
    <w:p w14:paraId="6142FDE7" w14:textId="77777777" w:rsidR="00695AE2" w:rsidRPr="00CB5050" w:rsidRDefault="00695AE2" w:rsidP="00695AE2">
      <w:pPr>
        <w:pStyle w:val="Naslov4"/>
        <w:ind w:left="0" w:firstLine="0"/>
      </w:pPr>
      <w:bookmarkStart w:id="743" w:name="_Toc95149772"/>
      <w:bookmarkStart w:id="744" w:name="_Toc168844997"/>
      <w:bookmarkStart w:id="745" w:name="_Toc191561978"/>
      <w:bookmarkStart w:id="746" w:name="_Toc223093976"/>
      <w:r w:rsidRPr="00CB5050">
        <w:t>Izvršilni postopki, v katerih Državno odvetništvo RS zastopa Republiko Slovenijo kot dolžnikovega dolžnika</w:t>
      </w:r>
      <w:bookmarkEnd w:id="743"/>
      <w:bookmarkEnd w:id="744"/>
      <w:bookmarkEnd w:id="745"/>
      <w:bookmarkEnd w:id="746"/>
    </w:p>
    <w:p w14:paraId="621375CF" w14:textId="77777777" w:rsidR="00695AE2" w:rsidRPr="00CB5050" w:rsidRDefault="00695AE2" w:rsidP="00695AE2">
      <w:pPr>
        <w:spacing w:line="240" w:lineRule="auto"/>
        <w:rPr>
          <w:rFonts w:eastAsia="Calibri"/>
          <w:szCs w:val="22"/>
        </w:rPr>
      </w:pPr>
    </w:p>
    <w:p w14:paraId="1F9B7FCF" w14:textId="77777777" w:rsidR="00695AE2" w:rsidRPr="00CB5050" w:rsidRDefault="00695AE2" w:rsidP="00695AE2">
      <w:pPr>
        <w:spacing w:line="240" w:lineRule="auto"/>
        <w:jc w:val="both"/>
        <w:rPr>
          <w:rFonts w:eastAsia="Calibri"/>
        </w:rPr>
      </w:pPr>
      <w:r w:rsidRPr="00CB5050">
        <w:rPr>
          <w:rFonts w:eastAsia="Calibri"/>
        </w:rPr>
        <w:t xml:space="preserve">Kot dolžnikov dolžnik v skladu z določili ZIZ Republika Slovenija v izvršilnem postopku nima nobenega pravnega sredstva, temveč zgolj predloži izjavo dolžnikovega dolžnika v skladu s pozivom sodišča in določilom 111. člena ZIZ, odgovarja pa kot vsak dolžnik za škodo, ki je bila povzročena upniku, če takšne izjave ni poslala ali je poslala neresnično ali nepopolno izjavo. </w:t>
      </w:r>
    </w:p>
    <w:p w14:paraId="2B82FA79" w14:textId="77777777" w:rsidR="00695AE2" w:rsidRPr="00CB5050" w:rsidRDefault="00695AE2" w:rsidP="00695AE2">
      <w:pPr>
        <w:spacing w:line="240" w:lineRule="auto"/>
        <w:jc w:val="both"/>
        <w:rPr>
          <w:rFonts w:eastAsia="Calibri"/>
        </w:rPr>
      </w:pPr>
    </w:p>
    <w:p w14:paraId="5ACFB85E" w14:textId="77777777" w:rsidR="00695AE2" w:rsidRPr="00CB5050" w:rsidRDefault="00695AE2" w:rsidP="00695AE2">
      <w:pPr>
        <w:spacing w:line="240" w:lineRule="auto"/>
        <w:jc w:val="both"/>
        <w:rPr>
          <w:rFonts w:eastAsia="Calibri"/>
        </w:rPr>
      </w:pPr>
      <w:r w:rsidRPr="00CB5050">
        <w:rPr>
          <w:rFonts w:eastAsia="Calibri"/>
        </w:rPr>
        <w:t>Državno odvetništvo RS je v letu 2025 prejelo v reševanje 8 zadev, v katerih je Republika Slovenija v izvršilnem postopku udeležena kot dolžnikov dolžnik, skupaj je bilo v reševanju v letu 2025 15 takšnih zadev, rešenih pa je bilo 5 zadev.</w:t>
      </w:r>
    </w:p>
    <w:p w14:paraId="6DE0C1C4" w14:textId="77777777" w:rsidR="00695AE2" w:rsidRPr="00CB5050" w:rsidRDefault="00695AE2" w:rsidP="00695AE2">
      <w:pPr>
        <w:spacing w:line="240" w:lineRule="auto"/>
        <w:jc w:val="both"/>
        <w:rPr>
          <w:rFonts w:eastAsia="Calibri"/>
        </w:rPr>
      </w:pPr>
    </w:p>
    <w:p w14:paraId="62767150" w14:textId="77777777" w:rsidR="00695AE2" w:rsidRPr="00CB5050" w:rsidRDefault="00695AE2" w:rsidP="00695AE2">
      <w:pPr>
        <w:pStyle w:val="Naslov4"/>
        <w:ind w:left="0" w:firstLine="0"/>
      </w:pPr>
      <w:bookmarkStart w:id="747" w:name="_Toc95149773"/>
      <w:bookmarkStart w:id="748" w:name="_Toc168844998"/>
      <w:bookmarkStart w:id="749" w:name="_Toc191561979"/>
      <w:bookmarkStart w:id="750" w:name="_Toc223093977"/>
      <w:r w:rsidRPr="00CB5050">
        <w:t>Izvršilni postopki, v katerih Državno odvetništvo RS zastopa Republiko Slovenijo, kadar je na podlagi sklepa o dedovanju nanjo prešlo premoženje zapustnika, ki je bil stranka v izvršilnem postopku</w:t>
      </w:r>
      <w:bookmarkEnd w:id="747"/>
      <w:bookmarkEnd w:id="748"/>
      <w:bookmarkEnd w:id="749"/>
      <w:bookmarkEnd w:id="750"/>
      <w:r w:rsidRPr="00CB5050">
        <w:t xml:space="preserve"> </w:t>
      </w:r>
    </w:p>
    <w:p w14:paraId="74E606AA" w14:textId="77777777" w:rsidR="00695AE2" w:rsidRPr="00CB5050" w:rsidRDefault="00695AE2" w:rsidP="00695AE2">
      <w:pPr>
        <w:spacing w:line="240" w:lineRule="auto"/>
        <w:jc w:val="both"/>
        <w:rPr>
          <w:rFonts w:eastAsia="Calibri"/>
        </w:rPr>
      </w:pPr>
    </w:p>
    <w:p w14:paraId="379AAA95" w14:textId="77777777" w:rsidR="00695AE2" w:rsidRPr="00CB5050" w:rsidRDefault="00695AE2" w:rsidP="00695AE2">
      <w:pPr>
        <w:spacing w:line="240" w:lineRule="auto"/>
        <w:jc w:val="both"/>
        <w:rPr>
          <w:rFonts w:eastAsia="Calibri"/>
        </w:rPr>
      </w:pPr>
      <w:r w:rsidRPr="00CB5050">
        <w:rPr>
          <w:rFonts w:eastAsia="Calibri"/>
        </w:rPr>
        <w:t>Z uveljavitvijo Zakona o spremembah in dopolnitvah Zakona o dedovanju (ZD-C) Republika Slovenija ne odgovarja več za zapustnikove dolgove, čeprav je nanjo premoženje prešlo s sklepom zapuščinskega sodišča. Glede na navedeno Državno odvetništvo RS zaznava znatno zmanjšanje pripada zadev, povezanih z izvršilnimi postopki, v katerih Republika Slovenija nastopa kot pravni naslednik dolžnika, ki je med postopkom umrl. Državno odvetništvo RS je prejelo v letu 2025 le 3 takšne zadeve za skupno vrednost terjatev v višini 70.507,35 evra.</w:t>
      </w:r>
    </w:p>
    <w:p w14:paraId="438EF5AA" w14:textId="77777777" w:rsidR="00695AE2" w:rsidRPr="00CB5050" w:rsidRDefault="00695AE2" w:rsidP="00695AE2">
      <w:pPr>
        <w:spacing w:line="240" w:lineRule="auto"/>
        <w:jc w:val="both"/>
        <w:rPr>
          <w:rFonts w:eastAsia="Calibri"/>
          <w:highlight w:val="yellow"/>
        </w:rPr>
      </w:pPr>
    </w:p>
    <w:p w14:paraId="5E7344EF" w14:textId="77777777" w:rsidR="00695AE2" w:rsidRPr="00CB5050" w:rsidRDefault="00695AE2" w:rsidP="00695AE2">
      <w:pPr>
        <w:pStyle w:val="Naslov4"/>
      </w:pPr>
      <w:bookmarkStart w:id="751" w:name="_Toc95149774"/>
      <w:bookmarkStart w:id="752" w:name="_Toc168844999"/>
      <w:bookmarkStart w:id="753" w:name="_Toc191561980"/>
      <w:bookmarkStart w:id="754" w:name="_Toc223093978"/>
      <w:r w:rsidRPr="00CB5050">
        <w:t>Postopki zavarovanja</w:t>
      </w:r>
      <w:bookmarkEnd w:id="751"/>
      <w:bookmarkEnd w:id="752"/>
      <w:bookmarkEnd w:id="753"/>
      <w:bookmarkEnd w:id="754"/>
    </w:p>
    <w:p w14:paraId="07287E49" w14:textId="77777777" w:rsidR="00695AE2" w:rsidRPr="00CB5050" w:rsidRDefault="00695AE2" w:rsidP="00695AE2">
      <w:pPr>
        <w:spacing w:line="240" w:lineRule="auto"/>
        <w:jc w:val="both"/>
        <w:rPr>
          <w:rFonts w:eastAsia="Calibri"/>
        </w:rPr>
      </w:pPr>
    </w:p>
    <w:p w14:paraId="37817ADB"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v letu 2025 prejelo v delo 1.925 zadev s predlogom za vložitev predloga za zavarovanje, in sicer za zavarovanje terjatev v skupni vrednosti glavnice 26.144.158,48 evra. Državno odvetništvo RS je imelo v letu 2025 v delu v postopkih zavarovanja 3.809 zadev za skupni znesek zavarovanih terjatev v višini 95.332.810,68 evra. V letu 2025 je Državno odvetništvo RS zaključilo 2.808 zadev zavarovanja za znesek v skupni višini 61.207.822,58 evra, pri čemer zaključene zadeve ne pomenijo, da je bil davčni dolg, ki je bil zavarovan, tudi dejansko poplačan ali poplačan v višini, za katero je bil zavarovan, ampak, da je bil sklep o zavarovanju dolga vknjižen v zemljiško knjigo. </w:t>
      </w:r>
    </w:p>
    <w:p w14:paraId="7D52F035" w14:textId="77777777" w:rsidR="00695AE2" w:rsidRPr="00CB5050" w:rsidRDefault="00695AE2" w:rsidP="00695AE2">
      <w:pPr>
        <w:spacing w:line="240" w:lineRule="auto"/>
        <w:jc w:val="both"/>
        <w:rPr>
          <w:rFonts w:eastAsia="Calibri"/>
        </w:rPr>
      </w:pPr>
    </w:p>
    <w:p w14:paraId="71D61A7C" w14:textId="77777777" w:rsidR="00695AE2" w:rsidRPr="00CB5050" w:rsidRDefault="00695AE2" w:rsidP="00695AE2">
      <w:pPr>
        <w:spacing w:line="240" w:lineRule="auto"/>
        <w:jc w:val="both"/>
        <w:rPr>
          <w:rFonts w:eastAsia="Calibri"/>
        </w:rPr>
      </w:pPr>
      <w:r w:rsidRPr="00CB5050">
        <w:rPr>
          <w:rFonts w:eastAsia="Calibri"/>
        </w:rPr>
        <w:t xml:space="preserve">V praksi Državnega odvetništva RS se kot upnik pojavlja predvsem Ministrstvo za finance, Finančna uprava Republike Slovenije (FURS) zaradi zavarovanja davčne terjatve zoper dolžnika, ki je lastnik nepremičnine, ali pa zaradi zavarovanja davčne terjatve na deležu družbenika v gospodarski družbi. </w:t>
      </w:r>
    </w:p>
    <w:p w14:paraId="3DC3035A" w14:textId="77777777" w:rsidR="00695AE2" w:rsidRPr="00CB5050" w:rsidRDefault="00695AE2" w:rsidP="00695AE2">
      <w:pPr>
        <w:spacing w:line="240" w:lineRule="auto"/>
        <w:jc w:val="both"/>
        <w:rPr>
          <w:rFonts w:eastAsia="Calibri"/>
        </w:rPr>
      </w:pPr>
    </w:p>
    <w:p w14:paraId="7D647AB8" w14:textId="77777777" w:rsidR="00695AE2" w:rsidRPr="00CB5050" w:rsidRDefault="00695AE2" w:rsidP="00695AE2">
      <w:pPr>
        <w:spacing w:line="240" w:lineRule="auto"/>
        <w:jc w:val="both"/>
        <w:rPr>
          <w:rFonts w:eastAsia="Calibri"/>
        </w:rPr>
      </w:pPr>
      <w:r w:rsidRPr="00CB5050">
        <w:rPr>
          <w:rFonts w:eastAsia="Calibri"/>
        </w:rPr>
        <w:t xml:space="preserve">Namen zavarovanja je, da se upnik poplača iz nepremičnine, če dolžnik v določenem roku ne plača terjatve, oziroma da se iz nepremičnine ali deleža družbenika poplača pred drugimi upniki, ki svojo terjatev zavarujejo kasneje ali jim je nastala kasneje. Prednost zavarovanja davčnega dolga na nepremičnini dolžnika v primerjavi z izvršbo na nepremičnini dolžnika je po oceni Državnega odvetništva RS v tem, da se zavaruje prednostni vrstni red terjatve pred vsemi poznejšimi upniki in Republika Slovenija pride do poplačila v primeru, da izvršbo predlaga drug upnik, pred upniki, ki imajo slabši vrstni red. Kljub vsemu bi bilo treba razmisliti o vlaganju predlogov za zavarovanje v primeru, ko imajo svoje terjatve (predvsem kadar gre za visoke zneske, ki večkrat presegajo vrednost nepremičnine) pred Republiko Slovenijo zavarovane že drugi upniki, ter upoštevati tudi vrednost nepremičnine in delež, ki ga ima dolžnik na nepremičnini ali v družbi, v primerjavi z višino zavarovane terjatve, nesmiselno pa je tudi predlagati več zavarovanj na isti nepremičnini, saj vsakemu sodnemu postopku sledi stroškovna posledica. Če ni pričakovati poplačila iz nepremičnine, na kateri se zahteva ustanovitev zastavne pravice, je že zavarovanje dolga nesmiselno. Zato Državno odvetništvo RS meni, da bi bilo treba načelo ekonomičnosti postopka in načelo gospodarnega ravnanja s sredstvi proračuna upoštevati ob vsakokratni odločitvi v vsakem posamičnem primeru, ali naj se predlog za zavarovanje vloži ali ne. </w:t>
      </w:r>
    </w:p>
    <w:p w14:paraId="12C4DBAF" w14:textId="77777777" w:rsidR="00695AE2" w:rsidRPr="00CB5050" w:rsidRDefault="00695AE2" w:rsidP="00695AE2">
      <w:pPr>
        <w:spacing w:line="240" w:lineRule="auto"/>
        <w:jc w:val="both"/>
        <w:rPr>
          <w:rFonts w:eastAsia="Calibri"/>
        </w:rPr>
      </w:pPr>
    </w:p>
    <w:p w14:paraId="252C7F59" w14:textId="77777777" w:rsidR="00695AE2" w:rsidRPr="00CB5050" w:rsidRDefault="00695AE2" w:rsidP="00695AE2">
      <w:pPr>
        <w:spacing w:line="240" w:lineRule="auto"/>
        <w:jc w:val="both"/>
        <w:rPr>
          <w:rFonts w:eastAsia="Calibri"/>
        </w:rPr>
      </w:pPr>
      <w:r w:rsidRPr="00CB5050">
        <w:rPr>
          <w:rFonts w:eastAsia="Calibri"/>
          <w:lang w:eastAsia="sl-SI"/>
        </w:rPr>
        <w:t xml:space="preserve">Državno odvetništvo RS še izpostavlja problem v zvezi z izterjevanjem stroškov zastopanja, ki nastanejo Državnemu odvetništvu RS v postopku zavarovanja, saj gre v teh primerih po večini za dolžnike, ki so brez premoženja, ker je bilo to zarubljeno oziroma prodano že v postopku davčne izvršbe. V teh primerih hipoteke na nepremičninah v zemljiški knjigi ostajajo vpisane, kljub morebitnemu predlogu za umik s strani zastopanega subjekta, saj hipoteke (zaradi njene nedeljivosti)  ne moremo umakniti vse dotlej, dokler niso poplačani tudi stroški zastopanja Državnega odvetništva RS. </w:t>
      </w:r>
    </w:p>
    <w:p w14:paraId="371E4AB4" w14:textId="77777777" w:rsidR="00695AE2" w:rsidRPr="00CB5050" w:rsidRDefault="00695AE2" w:rsidP="00695AE2">
      <w:pPr>
        <w:spacing w:line="240" w:lineRule="auto"/>
        <w:jc w:val="both"/>
        <w:rPr>
          <w:rFonts w:eastAsia="Calibri"/>
        </w:rPr>
      </w:pPr>
    </w:p>
    <w:p w14:paraId="2024BF46" w14:textId="77777777" w:rsidR="00695AE2" w:rsidRPr="00CB5050" w:rsidRDefault="00695AE2" w:rsidP="00695AE2">
      <w:pPr>
        <w:pStyle w:val="Naslov4"/>
      </w:pPr>
      <w:bookmarkStart w:id="755" w:name="_Toc95149775"/>
      <w:bookmarkStart w:id="756" w:name="_Toc168845000"/>
      <w:bookmarkStart w:id="757" w:name="_Toc191561981"/>
      <w:bookmarkStart w:id="758" w:name="_Toc223093979"/>
      <w:r w:rsidRPr="00CB5050">
        <w:t>Izvršba v tujini</w:t>
      </w:r>
      <w:bookmarkEnd w:id="755"/>
      <w:bookmarkEnd w:id="756"/>
      <w:bookmarkEnd w:id="757"/>
      <w:bookmarkEnd w:id="758"/>
    </w:p>
    <w:p w14:paraId="3CCA98C7" w14:textId="77777777" w:rsidR="00695AE2" w:rsidRPr="00CB5050" w:rsidRDefault="00695AE2" w:rsidP="00695AE2">
      <w:pPr>
        <w:spacing w:line="240" w:lineRule="auto"/>
        <w:jc w:val="both"/>
        <w:rPr>
          <w:rFonts w:eastAsia="Calibri"/>
        </w:rPr>
      </w:pPr>
    </w:p>
    <w:p w14:paraId="4353D48C" w14:textId="77777777" w:rsidR="00695AE2" w:rsidRPr="00CB5050" w:rsidRDefault="00695AE2" w:rsidP="00695AE2">
      <w:pPr>
        <w:spacing w:line="240" w:lineRule="auto"/>
        <w:jc w:val="both"/>
        <w:rPr>
          <w:rFonts w:eastAsia="Calibri"/>
          <w:szCs w:val="22"/>
        </w:rPr>
      </w:pPr>
      <w:r w:rsidRPr="00CB5050">
        <w:rPr>
          <w:rFonts w:eastAsia="Calibri"/>
          <w:szCs w:val="22"/>
        </w:rPr>
        <w:lastRenderedPageBreak/>
        <w:t xml:space="preserve">19. člen ZDOdv določa, da Republiko Slovenijo pred tujimi sodišči in tujimi arbitražami zastopa Državno odvetništvo RS, kar vključuje tudi izterjavo terjatev v izvršilnih postopkih pred tujimi sodišči. </w:t>
      </w:r>
    </w:p>
    <w:p w14:paraId="020DD8ED" w14:textId="77777777" w:rsidR="00695AE2" w:rsidRPr="00CB5050" w:rsidRDefault="00695AE2" w:rsidP="00695AE2">
      <w:pPr>
        <w:spacing w:line="240" w:lineRule="auto"/>
        <w:jc w:val="both"/>
        <w:rPr>
          <w:rFonts w:eastAsia="Calibri"/>
          <w:szCs w:val="22"/>
        </w:rPr>
      </w:pPr>
    </w:p>
    <w:p w14:paraId="6847BC4F"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v obravnavo prejema več različnih vrst terjatev za izterjavo z mednarodnim elementom: </w:t>
      </w:r>
    </w:p>
    <w:p w14:paraId="23101618" w14:textId="77777777" w:rsidR="00695AE2" w:rsidRPr="00CB5050" w:rsidRDefault="00695AE2" w:rsidP="00695AE2">
      <w:pPr>
        <w:numPr>
          <w:ilvl w:val="0"/>
          <w:numId w:val="124"/>
        </w:numPr>
        <w:spacing w:after="160" w:line="240" w:lineRule="auto"/>
        <w:contextualSpacing/>
        <w:jc w:val="both"/>
        <w:rPr>
          <w:rFonts w:eastAsia="Calibri"/>
          <w:szCs w:val="22"/>
        </w:rPr>
      </w:pPr>
      <w:r w:rsidRPr="00CB5050">
        <w:rPr>
          <w:rFonts w:eastAsia="Calibri"/>
          <w:szCs w:val="22"/>
        </w:rPr>
        <w:t>terjatve, katerih nosilec je sodišče (sodne takse, denarne kazni, globe, stroški kazenskega postopka, drugi stroški, plačani iz proračuna);</w:t>
      </w:r>
    </w:p>
    <w:p w14:paraId="3B2C56B5" w14:textId="77777777" w:rsidR="00695AE2" w:rsidRPr="00CB5050" w:rsidRDefault="00695AE2" w:rsidP="00695AE2">
      <w:pPr>
        <w:numPr>
          <w:ilvl w:val="0"/>
          <w:numId w:val="124"/>
        </w:numPr>
        <w:spacing w:after="160" w:line="240" w:lineRule="auto"/>
        <w:contextualSpacing/>
        <w:jc w:val="both"/>
        <w:rPr>
          <w:rFonts w:eastAsia="Calibri"/>
          <w:szCs w:val="22"/>
        </w:rPr>
      </w:pPr>
      <w:r w:rsidRPr="00CB5050">
        <w:rPr>
          <w:rFonts w:eastAsia="Calibri"/>
          <w:szCs w:val="22"/>
        </w:rPr>
        <w:t>terjatve iz sodb in poravnav v civilnih postopkih;</w:t>
      </w:r>
    </w:p>
    <w:p w14:paraId="2F073C3D" w14:textId="77777777" w:rsidR="00695AE2" w:rsidRPr="00CB5050" w:rsidRDefault="00695AE2" w:rsidP="00695AE2">
      <w:pPr>
        <w:numPr>
          <w:ilvl w:val="0"/>
          <w:numId w:val="124"/>
        </w:numPr>
        <w:spacing w:after="160" w:line="240" w:lineRule="auto"/>
        <w:contextualSpacing/>
        <w:jc w:val="both"/>
        <w:rPr>
          <w:rFonts w:eastAsia="Calibri"/>
          <w:szCs w:val="22"/>
        </w:rPr>
      </w:pPr>
      <w:r w:rsidRPr="00CB5050">
        <w:rPr>
          <w:rFonts w:eastAsia="Calibri"/>
          <w:szCs w:val="22"/>
        </w:rPr>
        <w:t xml:space="preserve">odvzem premoženjskopravne koristi. </w:t>
      </w:r>
    </w:p>
    <w:p w14:paraId="439ECBDF" w14:textId="77777777" w:rsidR="00695AE2" w:rsidRPr="00CB5050" w:rsidRDefault="00695AE2" w:rsidP="00695AE2">
      <w:pPr>
        <w:spacing w:line="240" w:lineRule="auto"/>
        <w:jc w:val="both"/>
        <w:rPr>
          <w:rFonts w:eastAsia="Calibri"/>
          <w:szCs w:val="22"/>
        </w:rPr>
      </w:pPr>
    </w:p>
    <w:p w14:paraId="3E001070" w14:textId="77777777" w:rsidR="00695AE2" w:rsidRPr="00CB5050" w:rsidRDefault="00695AE2" w:rsidP="00695AE2">
      <w:pPr>
        <w:spacing w:line="240" w:lineRule="auto"/>
        <w:jc w:val="both"/>
        <w:rPr>
          <w:rFonts w:eastAsia="Calibri"/>
          <w:szCs w:val="22"/>
        </w:rPr>
      </w:pPr>
      <w:r w:rsidRPr="00CB5050">
        <w:rPr>
          <w:rFonts w:eastAsia="Calibri"/>
          <w:szCs w:val="22"/>
        </w:rPr>
        <w:t xml:space="preserve">Pravne podlage predmetnih terjatev so različne in se razlikujejo glede na vrsto postopka (kazenski, prekrškovni, civilni, upravni ipd.). </w:t>
      </w:r>
    </w:p>
    <w:p w14:paraId="23837E24" w14:textId="77777777" w:rsidR="00695AE2" w:rsidRPr="00CB5050" w:rsidRDefault="00695AE2" w:rsidP="00695AE2">
      <w:pPr>
        <w:spacing w:line="240" w:lineRule="auto"/>
        <w:jc w:val="both"/>
        <w:rPr>
          <w:rFonts w:eastAsia="Calibri"/>
          <w:szCs w:val="22"/>
        </w:rPr>
      </w:pPr>
    </w:p>
    <w:p w14:paraId="068B02AC" w14:textId="77777777" w:rsidR="00695AE2" w:rsidRPr="00CB5050" w:rsidRDefault="00695AE2" w:rsidP="00695AE2">
      <w:pPr>
        <w:spacing w:line="240" w:lineRule="auto"/>
        <w:jc w:val="both"/>
        <w:rPr>
          <w:rFonts w:eastAsia="Calibri"/>
          <w:szCs w:val="22"/>
        </w:rPr>
      </w:pPr>
      <w:r w:rsidRPr="00CB5050">
        <w:rPr>
          <w:rFonts w:eastAsia="Calibri"/>
          <w:szCs w:val="22"/>
        </w:rPr>
        <w:t>Ravnanje Državnega odvetništva RS je odvisno od pravne ureditve države, v kateri naj bi se vodil postopek izterjave, in okoliščine, ali je država, v kateri je treba izpeljati izvršilni postopek, podpisnica mednarodne konvencije ali drugega večstranskega ali bilateralnega sporazuma. V primeru, da pravna podlaga ni znana, Državno odvetništvo RS za vsako državo posebej pri Ministrstvu za pravosodje, Uradu za mednarodno sodelovanje in mednarodno pravno pomoč, Sektorju za mednarodno pravno pomoč, opravi poizvedbo, ali ima Republika Slovenija s to državo sklenjen bilateralni sporazum, ali je ta država podpisnica mednarodnega sporazuma, ali velja morebitna druga konvencija. Če tega ni, je treba v posamezni državi pridobiti podatek o pravnem redu te države, in sicer, ali in na kakšen način država dopušča izvrševanje denarnih kazni, izrečenih s sodbami slovenskih sodišč. Vsa vprašanja v okviru mednarodnega sodelovanja in pravne pomoči je treba prevesti. Razpolagati je treba tudi s podatkom o prebivališču dolžnika, saj brez podatka o prebivališču dolžnika Državno odvetništvo RS ne more opravljati nobenih poizvedb o pravu države, prav tako se brez podatka o prebivališču ne more uvesti v tuji državi postopek priznanja slovenske odločbe.</w:t>
      </w:r>
    </w:p>
    <w:p w14:paraId="1DF240ED" w14:textId="77777777" w:rsidR="00695AE2" w:rsidRPr="00CB5050" w:rsidRDefault="00695AE2" w:rsidP="00695AE2">
      <w:pPr>
        <w:spacing w:line="240" w:lineRule="auto"/>
        <w:jc w:val="both"/>
        <w:rPr>
          <w:rFonts w:eastAsia="Calibri"/>
          <w:szCs w:val="22"/>
        </w:rPr>
      </w:pPr>
    </w:p>
    <w:p w14:paraId="71B17FAA"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postopek učinkovitejše izterjave terjatev do Republike Slovenije v tujini presoja z več vidikov. Primarna pogoja za uvedbo izvršilnega postopka v tujini sta podatek o prebivališču dolžnika in v primeru tretjih držav podatek o pravu te države, z vidika same uvedbe postopka v tujini pa tudi okoliščina, da je treba izbrati odvetnika, ki bo zastopal Republiko Slovenijo pred tujimi sodišči. Državno odvetništvo RS namreč zaradi dejanskih in pravnih ovir ne more opravljati nalog zastopanja v tujih državah, zato mora za vsak primer postopka v tujini izvesti razpis za izbiro odvetnika oziroma odvetniške družbe, ki jo nato Vlada RS pooblasti za zastopanje v posamezni zadevi skladno z 19. členom ZDOdv. Z namenom razpisa in izbire strokovno usposobljenih oseb za zastopanje Republike Slovenije v izvršilnih zadevah v tujih državah je na Državnem odvetništvu RS imenovana komisija za izbiro strokovno usposobljenih tujih pravnih ali fizičnih oseb za pomoč pri zastopanju Republike Slovenije v zadevah v pristojnosti Državnega odvetništva RS. </w:t>
      </w:r>
    </w:p>
    <w:p w14:paraId="417B861B" w14:textId="77777777" w:rsidR="00695AE2" w:rsidRPr="00CB5050" w:rsidRDefault="00695AE2" w:rsidP="00695AE2">
      <w:pPr>
        <w:spacing w:line="240" w:lineRule="auto"/>
        <w:jc w:val="both"/>
        <w:rPr>
          <w:rFonts w:eastAsia="Calibri"/>
          <w:szCs w:val="22"/>
        </w:rPr>
      </w:pPr>
    </w:p>
    <w:p w14:paraId="3AD4A2A2" w14:textId="77777777" w:rsidR="00695AE2" w:rsidRPr="00CB5050" w:rsidRDefault="00695AE2" w:rsidP="00695AE2">
      <w:pPr>
        <w:spacing w:line="240" w:lineRule="auto"/>
        <w:jc w:val="both"/>
        <w:rPr>
          <w:rFonts w:eastAsia="Calibri"/>
          <w:szCs w:val="22"/>
        </w:rPr>
      </w:pPr>
      <w:r w:rsidRPr="00CB5050">
        <w:rPr>
          <w:rFonts w:eastAsia="Calibri"/>
          <w:szCs w:val="22"/>
        </w:rPr>
        <w:t xml:space="preserve">Skladno z odredbo generalne državne odvetnice vodi postopke izterjave terjatev Republike Slovenije v izvršilnih postopkih zoper dolžnike, ki imajo prebivališče, sedež in/ali izvršilna sredstva v tuji državi, izključno Civilnopravni in gospodarski oddelek na sedežu Državnega odvetništva RS v Ljubljani. Z namenom vzpostavitve učinkovitega sistema vodenja postopkov izvršb in zavarovanj terjatev RS zoper dolžnike s prebivališčem oziroma sedežem oziroma </w:t>
      </w:r>
      <w:r w:rsidRPr="00CB5050">
        <w:rPr>
          <w:rFonts w:eastAsia="Calibri"/>
          <w:szCs w:val="22"/>
        </w:rPr>
        <w:lastRenderedPageBreak/>
        <w:t>izvršilnimi sredstvi v tuji državi, je bil vzpostavljen pregled nad stanjem odprtih zadev za izbrane države, sprejeta so Navodila za delo na področju vodenja postopkov izvršb in zavarovanj terjatev RS zoper dolžnike s prebivališčem oziroma sedežem oziroma izvršilnimi sredstvi v tuji državi, s ciljem poenotenja dela nosilcev zadev, ki vodijo te postopke pa je bil izdan tudi priročnik »I-tujina«.</w:t>
      </w:r>
    </w:p>
    <w:p w14:paraId="0A6FFF1D" w14:textId="77777777" w:rsidR="00695AE2" w:rsidRPr="00CB5050" w:rsidRDefault="00695AE2" w:rsidP="00695AE2">
      <w:pPr>
        <w:spacing w:line="240" w:lineRule="auto"/>
        <w:ind w:left="720"/>
        <w:contextualSpacing/>
        <w:jc w:val="both"/>
        <w:rPr>
          <w:rFonts w:eastAsia="Calibri"/>
          <w:szCs w:val="22"/>
        </w:rPr>
      </w:pPr>
    </w:p>
    <w:p w14:paraId="059AC259" w14:textId="77777777" w:rsidR="00695AE2" w:rsidRPr="00CB5050" w:rsidRDefault="00695AE2" w:rsidP="00695AE2">
      <w:pPr>
        <w:spacing w:line="240" w:lineRule="auto"/>
        <w:jc w:val="both"/>
        <w:rPr>
          <w:rFonts w:eastAsia="Calibri"/>
          <w:szCs w:val="22"/>
        </w:rPr>
      </w:pPr>
      <w:r w:rsidRPr="00CB5050">
        <w:rPr>
          <w:rFonts w:eastAsia="Calibri"/>
        </w:rPr>
        <w:t>Državno odvetništvo RS je v letu 2025 prejelo v reševanje 378 zadev, v katerih se terjatve Republike Slovenije izterjujejo v tujini, za znesek terjatev v višini 23.831.814,13 evra. Skupno je Državno odvetništvo RS v letu 2025 imelo v obravnavi 1.972 zadevi za znesek terjatev v višini 31.170.622,24 evra, zaključilo pa je 406 zadev za znesek terjatev v višini 610.852,86 evra.</w:t>
      </w:r>
      <w:r w:rsidRPr="00CB5050">
        <w:rPr>
          <w:rFonts w:eastAsia="Calibri"/>
          <w:szCs w:val="22"/>
        </w:rPr>
        <w:t xml:space="preserve"> </w:t>
      </w:r>
    </w:p>
    <w:p w14:paraId="1D1E7666" w14:textId="77777777" w:rsidR="00695AE2" w:rsidRPr="00CB5050" w:rsidRDefault="00695AE2" w:rsidP="00695AE2">
      <w:pPr>
        <w:spacing w:line="240" w:lineRule="auto"/>
        <w:jc w:val="both"/>
        <w:rPr>
          <w:rFonts w:eastAsia="Calibri"/>
          <w:szCs w:val="22"/>
        </w:rPr>
      </w:pPr>
    </w:p>
    <w:p w14:paraId="34B0E505" w14:textId="77777777" w:rsidR="00695AE2" w:rsidRPr="00CB5050" w:rsidRDefault="00695AE2" w:rsidP="00695AE2">
      <w:pPr>
        <w:pStyle w:val="Naslov4"/>
      </w:pPr>
      <w:bookmarkStart w:id="759" w:name="_Toc168845001"/>
      <w:bookmarkStart w:id="760" w:name="_Toc191561982"/>
      <w:bookmarkStart w:id="761" w:name="_Toc223093980"/>
      <w:r w:rsidRPr="00CB5050">
        <w:t>Pravna problematika</w:t>
      </w:r>
      <w:bookmarkEnd w:id="759"/>
      <w:bookmarkEnd w:id="760"/>
      <w:bookmarkEnd w:id="761"/>
    </w:p>
    <w:p w14:paraId="014ED2FA" w14:textId="77777777" w:rsidR="00695AE2" w:rsidRPr="00CB5050" w:rsidRDefault="00695AE2" w:rsidP="00695AE2">
      <w:pPr>
        <w:kinsoku w:val="0"/>
        <w:overflowPunct w:val="0"/>
        <w:spacing w:line="240" w:lineRule="auto"/>
        <w:jc w:val="both"/>
        <w:rPr>
          <w:rFonts w:eastAsia="Calibri"/>
          <w:bCs/>
          <w:szCs w:val="22"/>
        </w:rPr>
      </w:pPr>
    </w:p>
    <w:p w14:paraId="48007259" w14:textId="77777777" w:rsidR="00695AE2" w:rsidRPr="00CB5050" w:rsidRDefault="00695AE2" w:rsidP="00695AE2">
      <w:pPr>
        <w:pStyle w:val="Naslov5"/>
      </w:pPr>
      <w:bookmarkStart w:id="762" w:name="_Toc168845004"/>
      <w:bookmarkStart w:id="763" w:name="_Toc191561984"/>
      <w:bookmarkStart w:id="764" w:name="_Toc223093981"/>
      <w:r w:rsidRPr="00CB5050">
        <w:t>Predlog za dopolnitev Zakona o izvršbi in zavarovanju</w:t>
      </w:r>
      <w:bookmarkEnd w:id="762"/>
      <w:bookmarkEnd w:id="763"/>
      <w:bookmarkEnd w:id="764"/>
    </w:p>
    <w:p w14:paraId="542F9CA5" w14:textId="77777777" w:rsidR="00695AE2" w:rsidRPr="00CB5050" w:rsidRDefault="00695AE2" w:rsidP="00695AE2">
      <w:pPr>
        <w:spacing w:line="240" w:lineRule="auto"/>
        <w:ind w:left="360" w:firstLine="4"/>
        <w:jc w:val="both"/>
        <w:rPr>
          <w:rFonts w:eastAsia="Times New Roman"/>
          <w:i/>
          <w:iCs/>
          <w:color w:val="000000"/>
          <w:lang w:eastAsia="sl-SI"/>
        </w:rPr>
      </w:pPr>
    </w:p>
    <w:p w14:paraId="419942DA" w14:textId="77777777" w:rsidR="00695AE2" w:rsidRPr="00CB5050" w:rsidRDefault="00695AE2" w:rsidP="00695AE2">
      <w:pPr>
        <w:spacing w:line="240" w:lineRule="auto"/>
        <w:jc w:val="both"/>
        <w:rPr>
          <w:rFonts w:eastAsia="Calibri"/>
        </w:rPr>
      </w:pPr>
      <w:r w:rsidRPr="00CB5050">
        <w:rPr>
          <w:rFonts w:eastAsia="Calibri"/>
        </w:rPr>
        <w:t>Državno odvetništvo RS skrbi za sodno izterjavo terjatev Republike Slovenije do njenih dolžnikov. Če so dolžniki zaposlene fizične osebe, je za izterjavo upnikove terjatve najprimernejša izvršba na dolžnikovo plačo in njegove druge stalne denarne prejemke, saj se rubež opravi že pri viru nastanka dolžnikove terjatve, torej pri dolžnikovem delodajalcu, delodajalec pa je dolžan zarubljeni del plače plačati upniku (129. člen ZIZ). Če dolžnikov delodajalec ne ravna skladno s sklepom o izvršbi, lahko za svojo opustitev odgovarja upniku (134. člen ZIZ). Gre torej za zelo zanesljiv način poplačila upnika, sploh če ima dolžnikov delodajalec urejen sistem poslovanja in posluje zakonito.</w:t>
      </w:r>
    </w:p>
    <w:p w14:paraId="2FA68807" w14:textId="77777777" w:rsidR="00695AE2" w:rsidRPr="00CB5050" w:rsidRDefault="00695AE2" w:rsidP="00695AE2">
      <w:pPr>
        <w:spacing w:line="240" w:lineRule="auto"/>
        <w:jc w:val="both"/>
        <w:rPr>
          <w:rFonts w:eastAsia="Times New Roman"/>
          <w:color w:val="000000"/>
          <w:lang w:eastAsia="sl-SI"/>
        </w:rPr>
      </w:pPr>
    </w:p>
    <w:p w14:paraId="22BD3E6D" w14:textId="77777777" w:rsidR="00695AE2" w:rsidRPr="00CB5050" w:rsidRDefault="00695AE2" w:rsidP="00695AE2">
      <w:pPr>
        <w:spacing w:line="240" w:lineRule="auto"/>
        <w:jc w:val="both"/>
        <w:rPr>
          <w:rFonts w:eastAsia="Times New Roman"/>
          <w:color w:val="000000"/>
          <w:lang w:eastAsia="sl-SI"/>
        </w:rPr>
      </w:pPr>
      <w:r w:rsidRPr="00CB5050">
        <w:rPr>
          <w:rFonts w:eastAsia="Times New Roman"/>
          <w:color w:val="000000"/>
          <w:lang w:eastAsia="sl-SI"/>
        </w:rPr>
        <w:t>Vendar pa Državno odvetništvo RS opozarja, da je pri obravnavi primerov zaznalo potrebo po dopolnitvi 33. člena ZIZ oziroma po dopolnitvi ZIZ v smislu umestitve dodatnega 134.a člena.</w:t>
      </w:r>
    </w:p>
    <w:p w14:paraId="511092D2" w14:textId="77777777" w:rsidR="00695AE2" w:rsidRPr="00CB5050" w:rsidRDefault="00695AE2" w:rsidP="00695AE2">
      <w:pPr>
        <w:spacing w:line="240" w:lineRule="auto"/>
        <w:jc w:val="both"/>
        <w:rPr>
          <w:rFonts w:eastAsia="Times New Roman"/>
          <w:color w:val="000000"/>
          <w:lang w:eastAsia="sl-SI"/>
        </w:rPr>
      </w:pPr>
    </w:p>
    <w:p w14:paraId="03DD571D" w14:textId="77777777" w:rsidR="00695AE2" w:rsidRPr="00CB5050" w:rsidRDefault="00695AE2" w:rsidP="00695AE2">
      <w:pPr>
        <w:spacing w:line="23" w:lineRule="atLeast"/>
        <w:jc w:val="both"/>
        <w:rPr>
          <w:rFonts w:eastAsia="Calibri"/>
        </w:rPr>
      </w:pPr>
      <w:r w:rsidRPr="00CB5050">
        <w:rPr>
          <w:rFonts w:eastAsia="Calibri"/>
        </w:rPr>
        <w:t>Ko je dovoljena izvršba na prejemke dolžnika iz naslova delovnega razmerja, se namreč kar pogosto zgodi, da je dolžnik edini družbenik svojih delodajalcev ali pa so to z njim povezane osebe in tako delodajalec ne rubi prejemkov dolžnika, ki se je za ta način zaposlitve odločil ravno z namenom izigravanja upnikov. ZIZ v 134. členu sicer določa, da lahko upnik predlaga, naj sodišče v izvršilnem postopku s sklepom naloži delodajalcu, naj mu poravna vse zneske, ki jih ni odtegnil in izplačal po sklepu o izvršbi, vendar upnikove težave tako ne rešuje niti možnost izvršbe z rubežem na denarna sredstva delodajalca kot dolžnikovega dolžnika, saj ima lahko dolžnik račun odprt v tujini (nekateri delodajalci imajo namreč na sedežu družbe zgolj poštni nabiralnik). Izvršba na denarna sredstva na računu v tujini je za upnike še zmeraj nesorazmerno breme. Tako prihaja do položajev, ko iz podatkov FURS izhaja, da dolžnik prejema rubljive prihodke iz delovnega razmerja (plače, regres in drugo), a upnik po njih ne more poseči, ker delodajalec namenoma ne rubi prihodkov dolžnika. Kljub 134. členu ZIZ pa zaradi zgoraj navedenih okoliščin upnik ne more priti do poplačila s poseganjem po sredstvih delodajalca.</w:t>
      </w:r>
    </w:p>
    <w:p w14:paraId="5D639853" w14:textId="77777777" w:rsidR="00695AE2" w:rsidRPr="00CB5050" w:rsidRDefault="00695AE2" w:rsidP="00695AE2">
      <w:pPr>
        <w:spacing w:line="240" w:lineRule="auto"/>
        <w:ind w:firstLine="4"/>
        <w:jc w:val="both"/>
        <w:rPr>
          <w:rFonts w:eastAsia="Times New Roman"/>
          <w:color w:val="000000"/>
          <w:lang w:eastAsia="sl-SI"/>
        </w:rPr>
      </w:pPr>
    </w:p>
    <w:p w14:paraId="50D7891C" w14:textId="77777777" w:rsidR="00695AE2" w:rsidRPr="00CB5050" w:rsidRDefault="00695AE2" w:rsidP="00695AE2">
      <w:pPr>
        <w:spacing w:line="240" w:lineRule="auto"/>
        <w:jc w:val="both"/>
        <w:rPr>
          <w:rFonts w:eastAsia="Times New Roman"/>
          <w:color w:val="000000"/>
          <w:lang w:eastAsia="sl-SI"/>
        </w:rPr>
      </w:pPr>
      <w:r w:rsidRPr="00CB5050">
        <w:rPr>
          <w:rFonts w:eastAsia="Times New Roman"/>
          <w:color w:val="000000"/>
          <w:lang w:eastAsia="sl-SI"/>
        </w:rPr>
        <w:t xml:space="preserve">V skladu s 134. členom ZIZ je delodajalec odgovoren za škodo, ki jo utrpi upnik, ker delodajalec ni ravnal v skladu s sklepom o izvršbi. Gre za drag, dolgotrajen postopek, v katerem je treba dokazati škodo in njeno višino. Zaradi težav z izvedbo izvršbe, kot je že pojasnjeno zgoraj, pa upnik ne pride do poplačila. Posledično je Državno odvetništvo RS predlagalo, da se ZIZ spremeni tako, da </w:t>
      </w:r>
      <w:r w:rsidRPr="00CB5050">
        <w:rPr>
          <w:rFonts w:eastAsia="Times New Roman"/>
          <w:color w:val="007466"/>
          <w:lang w:eastAsia="sl-SI"/>
        </w:rPr>
        <w:t xml:space="preserve">lahko sodišče dolžnikovemu dolžniku, ki ni odtegnil in izplačal zneskov po </w:t>
      </w:r>
      <w:r w:rsidRPr="00CB5050">
        <w:rPr>
          <w:rFonts w:eastAsia="Times New Roman"/>
          <w:color w:val="007466"/>
          <w:lang w:eastAsia="sl-SI"/>
        </w:rPr>
        <w:lastRenderedPageBreak/>
        <w:t>sklepu o izvršbi, izreče denarno kazen</w:t>
      </w:r>
      <w:r w:rsidRPr="00CB5050">
        <w:rPr>
          <w:rFonts w:eastAsia="Times New Roman"/>
          <w:color w:val="000000"/>
          <w:lang w:eastAsia="sl-SI"/>
        </w:rPr>
        <w:t>. ZIZ v 33. členu določa možnost izreka denarne kazni, vendar jo sodišče lahko izreče zgolj dolžniku (v določenih primerih tudi upniku), ne pa tudi dolžnikovemu dolžniku, ki ne ravna v skladu s sklepom o izvršbi. Državno odvetništvo RS ocenjuje, da bi predlagana sprememba ZIZ pripomogla k večji učinkovitosti postopka izvršbe v smeri poplačila upnikove terjatve.</w:t>
      </w:r>
    </w:p>
    <w:p w14:paraId="77B3D2A8" w14:textId="77777777" w:rsidR="00695AE2" w:rsidRPr="00CB5050" w:rsidRDefault="00695AE2" w:rsidP="00695AE2">
      <w:pPr>
        <w:spacing w:line="240" w:lineRule="auto"/>
        <w:jc w:val="both"/>
        <w:rPr>
          <w:rFonts w:eastAsia="Calibri"/>
          <w:sz w:val="32"/>
          <w:szCs w:val="32"/>
          <w:u w:val="single"/>
        </w:rPr>
      </w:pPr>
    </w:p>
    <w:p w14:paraId="48A56EEB" w14:textId="77777777" w:rsidR="00695AE2" w:rsidRPr="00CB5050" w:rsidRDefault="00695AE2" w:rsidP="00695AE2">
      <w:pPr>
        <w:pStyle w:val="Naslov5"/>
        <w:rPr>
          <w:szCs w:val="22"/>
        </w:rPr>
      </w:pPr>
      <w:bookmarkStart w:id="765" w:name="_Toc223093982"/>
      <w:r w:rsidRPr="00CB5050">
        <w:t>Izvršba / davčna izvršba na nepremičnine / zastaranje davčnega dolga / hipoteka</w:t>
      </w:r>
      <w:bookmarkEnd w:id="765"/>
      <w:r w:rsidRPr="00CB5050">
        <w:t xml:space="preserve"> </w:t>
      </w:r>
    </w:p>
    <w:p w14:paraId="0D9CF8D4" w14:textId="77777777" w:rsidR="00695AE2" w:rsidRPr="00CB5050" w:rsidRDefault="00695AE2" w:rsidP="00695AE2">
      <w:pPr>
        <w:spacing w:line="240" w:lineRule="auto"/>
        <w:jc w:val="both"/>
        <w:rPr>
          <w:rFonts w:eastAsia="Calibri"/>
          <w:bCs/>
        </w:rPr>
      </w:pPr>
    </w:p>
    <w:p w14:paraId="5A028D1E" w14:textId="77777777" w:rsidR="00695AE2" w:rsidRPr="00CB5050" w:rsidRDefault="00695AE2" w:rsidP="00695AE2">
      <w:pPr>
        <w:spacing w:line="240" w:lineRule="auto"/>
        <w:jc w:val="both"/>
        <w:rPr>
          <w:rFonts w:eastAsia="Calibri"/>
          <w:bCs/>
        </w:rPr>
      </w:pPr>
      <w:r w:rsidRPr="00CB5050">
        <w:rPr>
          <w:rFonts w:eastAsia="Calibri"/>
          <w:bCs/>
        </w:rPr>
        <w:t>Republika Slovenija je imela na več dolžnikovih nepremičninah na podlagi sklepa o zavarovanju vknjiženo hipoteko za zavarovanje davčnega dolga. Po predlogu Finančne uprave Republike Slovenije (v nadaljevanju: FURS) je Državno odvetništvo RS vložilo predlog za izvršbo le na nekatere izmed teh nepremičnin, vendar je tekom izvršilnega postopka med dolžnikom in njegovo ženo prišlo do delitve premoženja, kar je povzročilo, da se je dolžnikov lastniški delež, s tem pa predmet izvršbe (nedopustnost izvršbe), znižal na ½ celote. To je povzročilo, da upnik tudi ob prodaji ne bi bil v celoti poplačan. Zato je Državno odvetništvo RS vložilo še en predlog za izvršbo, in sicer na vse preostale nepremičnine, na katerih je bil dolg predhodno sicer zavarovan s hipoteko, vpisano na podlagi sklepa o zavarovanju, ni pa bil na te nepremičnine še vložen predlog za izvršbo. Sodišče je izvršbo sprva dovolilo, na dolžnikov ugovor pa je sklep o izvršbi v obrestnem delu in v večjem delu glavnice ustavilo, saj je bil davčni dolg ob vložitvi predloga za izvršbo starejši od 10 let. Sklicevalo se je na zaupanje v pravni red in gotovost davčnih dolžnikov. Po pritožbi Republike Slovenije je sodišče druge stopnje pritrdilo prvostopnemu sodišču. Dodalo je, da bi moral upnik pred potekom absolutnega zastaralnega roka vložiti predlog za izvršbo na vse dolžnikove nepremičnine.</w:t>
      </w:r>
    </w:p>
    <w:p w14:paraId="2EECA944" w14:textId="77777777" w:rsidR="00695AE2" w:rsidRPr="00CB5050" w:rsidRDefault="00695AE2" w:rsidP="00695AE2">
      <w:pPr>
        <w:spacing w:line="240" w:lineRule="auto"/>
        <w:jc w:val="both"/>
        <w:rPr>
          <w:rFonts w:eastAsia="Calibri"/>
          <w:bCs/>
        </w:rPr>
      </w:pPr>
    </w:p>
    <w:p w14:paraId="482668B9" w14:textId="77777777" w:rsidR="00695AE2" w:rsidRPr="00CB5050" w:rsidRDefault="00695AE2" w:rsidP="00695AE2">
      <w:pPr>
        <w:spacing w:line="240" w:lineRule="auto"/>
        <w:jc w:val="both"/>
        <w:rPr>
          <w:rFonts w:eastAsia="Calibri"/>
          <w:bCs/>
        </w:rPr>
      </w:pPr>
      <w:r w:rsidRPr="00CB5050">
        <w:rPr>
          <w:rFonts w:eastAsia="Calibri"/>
          <w:bCs/>
        </w:rPr>
        <w:t xml:space="preserve">Sodišči prve in druge stopnje sta po mnenju Državnega odvetništva RS zmotno uporabili materialno pravo, in sicer določbe sedmega odstavka 126. člena Zakona o davčnem postopku (v nadaljevanju: ZDavP-2) in določbe prvega in drugega odstavka 126.a člena ZDavP-2. Sedmi odstavek 126. člena ZDavP-2 določa, da ne glede na določbe o zastaranju pravice do izterjave, davčna obveznost preneha, ko poteče deset let od dneva, ko je prvič začelo teči (razen, če je bilo zastaranje pravice do izterjave zadržano). Prvi odstavek 126.a člena ZDavP-2 določa, da ne glede na določbo 126. člena tega zakona davčna obveznost, razen zamudnih obresti, ne preneha, če je davčni dolg zavarovan s hipoteko in če je pred potekom pravice do izterjave vložen predlog za izvršbo na nepremičnino. Drugi odstavek tega člena določa, da davčna obveznost iz prejšnjega odstavka preneha s poplačilom iz prodaje nepremičnine v izvršilnem postopku. V izogib kršitvi materialnega prava bi morali sodišči odločiti, da davčna obveznost ne preneha, če je zavarovana s hipoteko na dolžnikovih nepremičninah, in če je znotraj 10-letnega roka, odkar je zastaranje pravice do izterjave prvič začelo teči (upoštevaje zadržanje), na katerokoli od teh nepremičnin vložen predlog za izvršbo. </w:t>
      </w:r>
    </w:p>
    <w:p w14:paraId="048C64F1" w14:textId="77777777" w:rsidR="00695AE2" w:rsidRPr="00CB5050" w:rsidRDefault="00695AE2" w:rsidP="00695AE2">
      <w:pPr>
        <w:spacing w:line="240" w:lineRule="auto"/>
        <w:jc w:val="both"/>
        <w:rPr>
          <w:rFonts w:eastAsia="Calibri"/>
          <w:bCs/>
        </w:rPr>
      </w:pPr>
    </w:p>
    <w:p w14:paraId="19091BF7"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bCs/>
        </w:rPr>
      </w:pPr>
      <w:r w:rsidRPr="00CB5050">
        <w:rPr>
          <w:rFonts w:eastAsia="Calibri"/>
          <w:bCs/>
        </w:rPr>
        <w:t>V posledici prekršenega materialnega prava je Državno odvetništvo RS zoper sklep sodišča druge stopnje vložilo predlog za dopustitev revizije z revizijskim vprašanjem: »</w:t>
      </w:r>
      <w:r w:rsidRPr="00CB5050">
        <w:rPr>
          <w:rFonts w:eastAsia="Calibri"/>
          <w:bCs/>
          <w:i/>
          <w:iCs/>
        </w:rPr>
        <w:t xml:space="preserve">Ali sta sodišči prve in druge stopnje prekršili materialno pravo, ko sta odločili, da je glavnična davčna obveznost v skladu s sedmim odstavkom 126. člena ZDavP-2 prenehala, čeprav je davčni dolg zavarovan s hipoteko na dolžnikovih nepremičninah, upnik pa je pred potekom pravice do izterjave vložil predlog za izvršbo na nekatere izmed njih.« </w:t>
      </w:r>
      <w:r w:rsidRPr="00CB5050">
        <w:rPr>
          <w:rFonts w:eastAsia="Calibri"/>
          <w:bCs/>
        </w:rPr>
        <w:t>Vrhovno sodišče RS je revizijo dopustilo s sklepom, opr. št. II DoR 190/2024 z dne 15. 1. 2025.</w:t>
      </w:r>
    </w:p>
    <w:p w14:paraId="0D827EDE"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bCs/>
        </w:rPr>
      </w:pPr>
    </w:p>
    <w:p w14:paraId="6249BD99"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bCs/>
        </w:rPr>
      </w:pPr>
      <w:r w:rsidRPr="00CB5050">
        <w:rPr>
          <w:rFonts w:eastAsia="Calibri"/>
          <w:bCs/>
        </w:rPr>
        <w:lastRenderedPageBreak/>
        <w:t>V reviziji je Državno odvetništvo RS izpostavilo, da zastaranje pravice do izterjave davka ne pomeni zastaranja davčne terjatve, torej zgolj izgube pravovarstvenega zahtevka, pač pa prenehanje davčne terjatve. V spornem izvršilnem postopku sta sodišči prve in druge stopnje odločili, da je upnikova terjatev prenehala, medtem ko v drugi izvršbi »živi« še dalje. Ista davčna obveznost tako hkrati obstaja in ne obstaja, kar za pravni red ni sprejemljivo, saj obstoj terjatve ne bi smel biti odvisen od števila izvršb, ki so v teku. Državno odvetništvo RS se je prav tako sklicevalo na spoštovanje pravnomočnih sodnih odločb, konkretno sklepa o izvršbi, in na dejstvo, da terjatev ne bo prenehala, dokler nepremičnine v tem postopku ne bodo prodane, upnik pa poplačan. V reviziji smo predstavili še spornost stališča nižjih sodišč, ki sta zahtevali, da upnik, zato da bi se poplačal, poleg hipoteke na podlagi sklepa o zavarovanju pridobi še hipoteko na podlagi sklepa o izvršbi. Po mnenju Državnega odvetništva RS ima vložitev predloga za izvršbo na nepremičnino v skladu s 126.a členom ZDavP-2 zgolj en bistven učinek – gre za pravno dejanje davčnega organa, ki prepreči zastaranje pravice do izterjave davka in posledično prenehanje davčnega dolga, pri čemer pa zadostuje, da se predlog za izvršbo vloži le na eno izmed nepremičnin, pri katerih je vpisana hipoteka na podlagi sklepa o zavarovanju. Zagovarjali smo tudi stališče, da je izvršba primarno namenjena poplačilu upnika, zaradi česar je dolžnikovo pravno varstvo omejeno.</w:t>
      </w:r>
    </w:p>
    <w:p w14:paraId="41FB8434"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bCs/>
        </w:rPr>
      </w:pPr>
    </w:p>
    <w:p w14:paraId="690B8EC3"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bCs/>
        </w:rPr>
      </w:pPr>
      <w:r w:rsidRPr="00CB5050">
        <w:rPr>
          <w:rFonts w:eastAsia="Calibri"/>
          <w:bCs/>
        </w:rPr>
        <w:t>Vrhovno sodišče RS je reviziji ugodilo s sklepom, opr. št. II Ips 22/2025 z dne 24. 9. 2025. Naziranju Državnega  odvetništva RS je v glavnem pritrdilo in dodalo, da je srž problema v tem, kako daleč je s samoomejevanjem država želela. Med drugim se je oprlo na 107. člen ZDavP-2, ki določa, da  za odpis davka zahteva poplačilo in ustavitev izvršbe na vse nepremičnine. Pojasnilo je še, da gre v resnici le za predlog za izvršbo z istim izvršilnim sredstvom, le na drugih predmetih, pri čemer je izhajalo iz koncepta ene izvršbe z vsemi dovoljenimi izvršilnimi sredstvi. Po mnenju Vrhovnega sodišča RS tudi v pravno varnost dolžnika ni poseženo, saj se ta nedvomno zaveda, da je davčni dolžnik in koliko njegova obveznost znaša, kljub temu pa država ne more poseči na nepremičnine, ki niso obremenjene s hipoteko.</w:t>
      </w:r>
    </w:p>
    <w:p w14:paraId="7B70C0CD"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bCs/>
        </w:rPr>
      </w:pPr>
    </w:p>
    <w:p w14:paraId="2FA1833E" w14:textId="77777777" w:rsidR="00695AE2" w:rsidRDefault="00695AE2" w:rsidP="00695AE2">
      <w:pPr>
        <w:widowControl w:val="0"/>
        <w:tabs>
          <w:tab w:val="left" w:pos="5040"/>
        </w:tabs>
        <w:autoSpaceDE w:val="0"/>
        <w:autoSpaceDN w:val="0"/>
        <w:adjustRightInd w:val="0"/>
        <w:spacing w:line="240" w:lineRule="auto"/>
        <w:jc w:val="both"/>
        <w:rPr>
          <w:rFonts w:eastAsia="Calibri"/>
          <w:bCs/>
        </w:rPr>
      </w:pPr>
      <w:r w:rsidRPr="00CB5050">
        <w:rPr>
          <w:rFonts w:eastAsia="Calibri"/>
          <w:bCs/>
        </w:rPr>
        <w:t xml:space="preserve">Državno odvetništvo RS meni, da ima lahko odločitev o reviziji daljnosežne posledice. Davčni uradi so doslej skoraj brez izjeme predlagali izvršbo na vse dolžnikove nepremičnine. Nova sodna praksa najvišjega sodišča jim po novem omogoča, da izberejo tiste, ki bodo omogočile najboljše poplačilo; po drugi strani to predstavlja zahtevo po doslednejšem spoštovanju načela sorazmernosti iz 6. oziroma 142. člena ZDavP-2. </w:t>
      </w:r>
    </w:p>
    <w:p w14:paraId="6234A448" w14:textId="77777777" w:rsidR="00695AE2" w:rsidRDefault="00695AE2" w:rsidP="00695AE2">
      <w:pPr>
        <w:widowControl w:val="0"/>
        <w:tabs>
          <w:tab w:val="left" w:pos="5040"/>
        </w:tabs>
        <w:autoSpaceDE w:val="0"/>
        <w:autoSpaceDN w:val="0"/>
        <w:adjustRightInd w:val="0"/>
        <w:spacing w:line="240" w:lineRule="auto"/>
        <w:jc w:val="both"/>
        <w:rPr>
          <w:rFonts w:eastAsia="Calibri"/>
          <w:bCs/>
        </w:rPr>
      </w:pPr>
    </w:p>
    <w:p w14:paraId="188F584B" w14:textId="77777777" w:rsidR="00695AE2" w:rsidRPr="008A1E31" w:rsidRDefault="00695AE2" w:rsidP="00695AE2">
      <w:pPr>
        <w:pStyle w:val="Naslov5"/>
        <w:ind w:left="0" w:hanging="15"/>
        <w:rPr>
          <w:szCs w:val="22"/>
        </w:rPr>
      </w:pPr>
      <w:bookmarkStart w:id="766" w:name="_Toc223093983"/>
      <w:r w:rsidRPr="008A1E31">
        <w:t>Sp</w:t>
      </w:r>
      <w:r w:rsidRPr="00CC6E30">
        <w:rPr>
          <w:rFonts w:eastAsia="Calibri"/>
        </w:rPr>
        <w:t>rememb</w:t>
      </w:r>
      <w:r w:rsidRPr="008A1E31">
        <w:rPr>
          <w:rFonts w:eastAsia="Calibri"/>
        </w:rPr>
        <w:t>a</w:t>
      </w:r>
      <w:r w:rsidRPr="00CC6E30">
        <w:rPr>
          <w:rFonts w:eastAsia="Calibri"/>
        </w:rPr>
        <w:t xml:space="preserve"> lastništva v izvršilnem postopku prodanega poslovnega deleža družbenika v družbi v sodnem registru</w:t>
      </w:r>
      <w:r w:rsidRPr="008A1E31">
        <w:t xml:space="preserve"> hipoteka</w:t>
      </w:r>
      <w:bookmarkEnd w:id="766"/>
      <w:r w:rsidRPr="008A1E31">
        <w:t xml:space="preserve"> </w:t>
      </w:r>
    </w:p>
    <w:p w14:paraId="4E3AEB92"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p>
    <w:p w14:paraId="456C0DF7"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r w:rsidRPr="00CC6E30">
        <w:rPr>
          <w:rFonts w:eastAsia="Calibri"/>
          <w:bCs/>
        </w:rPr>
        <w:t xml:space="preserve">Zadeva je zanimiva predvsem zaradi dileme, ki se je izpostavila tekom postopka, in sicer, ali lahko spremembo lastništva v izvršilnem postopku prodanega poslovnega deleža družbenika v družbi v sodnem registru predlaga zgolj kupec oziroma novi lastnik poslovnega deleža sam ali morda še kdo drug. Vpis lastninske pravice na kupca in izbris bremen se namreč ne izvede po uradni dolžnosti, saj za kaj takega v ZIZ in Zakonu o sodnem registru (v nadaljevanju: ZSReg) ni podlage. </w:t>
      </w:r>
    </w:p>
    <w:p w14:paraId="5D6092F9"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p>
    <w:p w14:paraId="5CF336EB"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r w:rsidRPr="00CC6E30">
        <w:rPr>
          <w:rFonts w:eastAsia="Calibri"/>
          <w:bCs/>
        </w:rPr>
        <w:t xml:space="preserve">V predmetni zadevi je tekla izvršba na delež dolžnika v družbi. Delež je bil na javni dražbi prodan in s sklepom o izročitvi izročen novemu lastniku. V predmetnem sklepu je bil dan pouk, da lahko kupec, na podlagi pravnomočnega sklepa o izročitvi (in ob izpolnjevanju drugih </w:t>
      </w:r>
      <w:r w:rsidRPr="00CC6E30">
        <w:rPr>
          <w:rFonts w:eastAsia="Calibri"/>
          <w:bCs/>
        </w:rPr>
        <w:lastRenderedPageBreak/>
        <w:t>zakonsko prepisanih pogojev) predlaga vpis lastninske pravice pri poslovnem deležu v sodnem registru, pri čemer se pri poslovnem deležu v sodnem registru izbrišejo tiste pravice in bremena, za katere je to določeno v sklepu o domiku. Sodišče je kupca izrecno opozorilo, da se v primeru izdaje (in pravnomočnosti) sklepa o izročitvi poslovnega deleža vpis lastninske pravice na kupca in izbris bremen ne izvedejo po uradni dolžnosti, saj za kaj takega v ZIZ in ZSReg ni podlage (sodišče po določbi tretjega odstavka 165. člena ZIZ po uradni dolžnosti zaznamuje (le) prepoved odtujitve in obremenitve na poslovnem deležu), temveč mora za vse vpise poskrbeti kupec sam. Registrski postopek je v primerih vpisa novega družbenika (pridobitelja poslovnega deleža) na podlagi sodbe sodišča predlagalni postopek (prvi odstavek 9. člen ZSReg, primerjaj tudi VSL sklep IV Cpg 692/2015).</w:t>
      </w:r>
    </w:p>
    <w:p w14:paraId="798EB4C0"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p>
    <w:p w14:paraId="72B932B7"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r w:rsidRPr="00CC6E30">
        <w:rPr>
          <w:rFonts w:eastAsia="Calibri"/>
          <w:bCs/>
        </w:rPr>
        <w:t xml:space="preserve">Glede na to, da je bil v obravnavani zadevi kupec poslovnega deleža v družbi dolžnikov brat, obstaja velika verjetnost, da do uradne spremembe lastništva v sodnem registru nikoli ne bo prišlo. Navedeno pa je problematično predvsem iz razloga, ker dolžniku, kot še vedno vpisanemu lastniku poslovnega deleža v sodnem registru, mesečno nastajajo novi stroški zaradi zavarovanja, ki ga ima kot družbenik, kar mesečno povečuje dolg pri davčnemu organu, kljub temu, da uradno ni več lastnik poslovnega deleža. </w:t>
      </w:r>
    </w:p>
    <w:p w14:paraId="45DB982E" w14:textId="77777777" w:rsidR="00695AE2" w:rsidRPr="00CC6E30" w:rsidRDefault="00695AE2" w:rsidP="00695AE2">
      <w:pPr>
        <w:widowControl w:val="0"/>
        <w:tabs>
          <w:tab w:val="left" w:pos="5040"/>
        </w:tabs>
        <w:autoSpaceDE w:val="0"/>
        <w:autoSpaceDN w:val="0"/>
        <w:adjustRightInd w:val="0"/>
        <w:spacing w:line="240" w:lineRule="auto"/>
        <w:jc w:val="both"/>
        <w:rPr>
          <w:rFonts w:eastAsia="Calibri"/>
          <w:bCs/>
        </w:rPr>
      </w:pPr>
    </w:p>
    <w:p w14:paraId="146A06BD" w14:textId="77777777" w:rsidR="00695AE2" w:rsidRPr="00CB5050" w:rsidRDefault="00695AE2" w:rsidP="00695AE2">
      <w:pPr>
        <w:widowControl w:val="0"/>
        <w:tabs>
          <w:tab w:val="left" w:pos="5040"/>
        </w:tabs>
        <w:autoSpaceDE w:val="0"/>
        <w:autoSpaceDN w:val="0"/>
        <w:adjustRightInd w:val="0"/>
        <w:spacing w:line="240" w:lineRule="auto"/>
        <w:jc w:val="both"/>
        <w:rPr>
          <w:rFonts w:eastAsia="Calibri" w:cs="Times New Roman"/>
          <w:bCs/>
          <w:szCs w:val="22"/>
        </w:rPr>
      </w:pPr>
      <w:r w:rsidRPr="00CC6E30">
        <w:rPr>
          <w:rFonts w:eastAsia="Calibri"/>
          <w:bCs/>
        </w:rPr>
        <w:t xml:space="preserve">Zadevo izpostavljam iz razloga, ker bi bilo smiselno zakonsko urediti tudi možnost, da se sprememba lastništva poslovnega deleža v sodnem registru izvede tudi po uradni dolžnosti (tako kot na primer pri izvršbi na nepremičnine) oziroma na predlog upravičene osebe, na primer upnika, s čimer bi vsaj zmanjšali, če ne preprečili, obstoj neurejenega oziroma deloma urejenega lastniškega stanja v izvršbi prodanih poslovnih deležev. </w:t>
      </w:r>
    </w:p>
    <w:p w14:paraId="429134F6" w14:textId="77777777" w:rsidR="00695AE2" w:rsidRPr="00CB5050" w:rsidRDefault="00695AE2" w:rsidP="00695AE2">
      <w:pPr>
        <w:spacing w:line="240" w:lineRule="auto"/>
        <w:jc w:val="both"/>
        <w:rPr>
          <w:rFonts w:eastAsia="Calibri"/>
        </w:rPr>
      </w:pPr>
    </w:p>
    <w:p w14:paraId="57A992F7" w14:textId="77777777" w:rsidR="00695AE2" w:rsidRPr="00CB5050" w:rsidRDefault="00695AE2" w:rsidP="00695AE2">
      <w:pPr>
        <w:pStyle w:val="Naslov5"/>
        <w:ind w:left="0" w:firstLine="0"/>
      </w:pPr>
      <w:bookmarkStart w:id="767" w:name="_Toc223093984"/>
      <w:r w:rsidRPr="00CB5050">
        <w:t>Delovna skupina za sodelovanje s Finančno upravo Republike Slovenije – aktivnosti skupine glede postopkov izvršbe in zavarovanja</w:t>
      </w:r>
      <w:bookmarkEnd w:id="767"/>
      <w:r w:rsidRPr="00CB5050">
        <w:t xml:space="preserve"> </w:t>
      </w:r>
    </w:p>
    <w:p w14:paraId="1F77E027" w14:textId="77777777" w:rsidR="00695AE2" w:rsidRPr="00CB5050" w:rsidRDefault="00695AE2" w:rsidP="00695AE2">
      <w:pPr>
        <w:spacing w:line="240" w:lineRule="auto"/>
        <w:jc w:val="both"/>
        <w:rPr>
          <w:rFonts w:eastAsia="Calibri"/>
        </w:rPr>
      </w:pPr>
    </w:p>
    <w:p w14:paraId="54DF0A83" w14:textId="77777777" w:rsidR="00695AE2" w:rsidRPr="00CB5050" w:rsidRDefault="00695AE2" w:rsidP="00695AE2">
      <w:pPr>
        <w:spacing w:line="240" w:lineRule="auto"/>
        <w:jc w:val="both"/>
        <w:rPr>
          <w:rFonts w:eastAsia="Calibri" w:cs="Times New Roman"/>
          <w:szCs w:val="22"/>
        </w:rPr>
      </w:pPr>
      <w:r w:rsidRPr="00CB5050">
        <w:rPr>
          <w:rFonts w:eastAsia="Calibri" w:cs="Times New Roman"/>
          <w:szCs w:val="22"/>
        </w:rPr>
        <w:t xml:space="preserve">V februarju 2025 je bila z odredbo generalne državne odvetnice ustanovljena Delovna skupina za sodelovanje s Finančno upravo Republike Slovenije (v nadaljevanju: FURS). Naloga delovne skupine je spremljati prakso Državnega odvetništva RS pri zastopanju FURS in pri tem, če so te različne, prepoznati najboljšo in jo predlagati nosilcem zadev, skrbeti za čimbolj poenoteno poslovanje Državnega odvetništva RS v zadevah, kjer kot stranka nastopa FURS, in za usklajeno reševanje vprašanj sodelovanja Državnega odvetništva RS s FURS. </w:t>
      </w:r>
    </w:p>
    <w:p w14:paraId="0BA33556" w14:textId="77777777" w:rsidR="00695AE2" w:rsidRPr="00CB5050" w:rsidRDefault="00695AE2" w:rsidP="00695AE2">
      <w:pPr>
        <w:spacing w:line="240" w:lineRule="auto"/>
        <w:rPr>
          <w:rFonts w:eastAsia="Calibri" w:cs="Times New Roman"/>
          <w:szCs w:val="22"/>
        </w:rPr>
      </w:pPr>
    </w:p>
    <w:p w14:paraId="0F41CD62" w14:textId="77777777" w:rsidR="00695AE2" w:rsidRPr="00CB5050" w:rsidRDefault="00695AE2" w:rsidP="00695AE2">
      <w:pPr>
        <w:spacing w:line="240" w:lineRule="auto"/>
        <w:jc w:val="both"/>
        <w:rPr>
          <w:rFonts w:eastAsia="Calibri"/>
          <w:color w:val="000000"/>
          <w:szCs w:val="22"/>
        </w:rPr>
      </w:pPr>
      <w:r w:rsidRPr="00CB5050">
        <w:rPr>
          <w:rFonts w:eastAsia="Calibri"/>
          <w:szCs w:val="22"/>
        </w:rPr>
        <w:t>Delovna skupina se je v obdobju poročanja med drugim ukvarjala tudi s temo v zvezi z opravljanjem poizvedb pri FURS o morebitnem dolgu in obveščanju FURS o obveznostih do davčnih dolžnikov iz sodnih/izvensodnih poravnav, sodb in upravnih odločb. Povod tega je bil</w:t>
      </w:r>
      <w:r w:rsidRPr="00CB5050">
        <w:rPr>
          <w:rFonts w:eastAsia="Calibri"/>
          <w:b/>
          <w:bCs/>
          <w:szCs w:val="22"/>
        </w:rPr>
        <w:t xml:space="preserve"> </w:t>
      </w:r>
      <w:r w:rsidRPr="00CB5050">
        <w:rPr>
          <w:rFonts w:eastAsia="Calibri"/>
          <w:color w:val="000000"/>
          <w:szCs w:val="22"/>
        </w:rPr>
        <w:t>takratni predlog spremembe Zakona o javnih financah (v nadaljevanju: ZJF), ki je v tedaj predvidenem novem 52.a členu</w:t>
      </w:r>
      <w:r w:rsidRPr="00CB5050">
        <w:rPr>
          <w:rFonts w:eastAsia="Calibri"/>
          <w:color w:val="000000"/>
          <w:szCs w:val="22"/>
          <w:vertAlign w:val="superscript"/>
        </w:rPr>
        <w:footnoteReference w:id="26"/>
      </w:r>
      <w:r w:rsidRPr="00CB5050">
        <w:rPr>
          <w:rFonts w:eastAsia="Calibri"/>
          <w:color w:val="000000"/>
          <w:szCs w:val="22"/>
        </w:rPr>
        <w:t xml:space="preserve"> uvajal novost, s katero je bila za Državno odvetništvo RS določena nova obveznost, in sicer da FURS obvesti o vsaki obveznosti Republike Slovenije, ki jo ima do davčnih dolžnikov iz naslova pravnomočnih sodnih odločb, dokončnih upravnih odločb ali poravnav, ki presega znesek 200,00 evrov (nanašala se je na vse primere, ko Državno odvetništvo RS zastopa stranko v sodnem in upravnem postopku ter postopku poravnavanja, </w:t>
      </w:r>
      <w:r w:rsidRPr="00CB5050">
        <w:rPr>
          <w:rFonts w:eastAsia="Calibri"/>
          <w:color w:val="000000"/>
          <w:szCs w:val="22"/>
        </w:rPr>
        <w:lastRenderedPageBreak/>
        <w:t>razen če bi obstajala ovira, zaradi katere izterjava obveznih dajatev in drugih denarnih nedavčnih obveznosti iz tega izplačila ni mogoča). Takšno sodelovanje s FURS sicer v primerih, ko je zavezanec za izplačilo odškodnine Državno odvetništvo RS po sodni/izvensodni poravnavi ali po pravnomočni sodbi in tudi v primerih, ko gre za plačilo odškodnine za nastalo škodo zaradi slabih razmer bivanja ob odvzemu prostosti, poteka že od leta 2007. V začetku leta 2026 delovna skupina na to temo načrtuje sestanek s predstavniki FURS.</w:t>
      </w:r>
    </w:p>
    <w:p w14:paraId="051CAF6F" w14:textId="77777777" w:rsidR="00695AE2" w:rsidRPr="00CB5050" w:rsidRDefault="00695AE2" w:rsidP="00695AE2">
      <w:pPr>
        <w:pStyle w:val="Naslov2"/>
      </w:pPr>
      <w:bookmarkStart w:id="768" w:name="_Toc95149776"/>
      <w:bookmarkStart w:id="769" w:name="_Toc168845006"/>
      <w:bookmarkStart w:id="770" w:name="_Toc191561989"/>
      <w:bookmarkStart w:id="771" w:name="_Toc223093985"/>
      <w:r w:rsidRPr="00CB5050">
        <w:t>Postopki zaradi insolventnosti in postopki prisilnega prenehanja</w:t>
      </w:r>
      <w:bookmarkEnd w:id="768"/>
      <w:bookmarkEnd w:id="769"/>
      <w:bookmarkEnd w:id="770"/>
      <w:bookmarkEnd w:id="771"/>
    </w:p>
    <w:p w14:paraId="3882F637" w14:textId="77777777" w:rsidR="00695AE2" w:rsidRPr="00EB3AED" w:rsidRDefault="00695AE2" w:rsidP="00695AE2">
      <w:pPr>
        <w:pStyle w:val="Jasna"/>
        <w:rPr>
          <w:sz w:val="32"/>
          <w:szCs w:val="32"/>
        </w:rPr>
      </w:pPr>
    </w:p>
    <w:p w14:paraId="132C5B00" w14:textId="77777777" w:rsidR="00695AE2" w:rsidRPr="00CB5050" w:rsidRDefault="00695AE2" w:rsidP="00695AE2">
      <w:pPr>
        <w:pStyle w:val="Naslov3"/>
      </w:pPr>
      <w:bookmarkStart w:id="772" w:name="_Toc95149777"/>
      <w:bookmarkStart w:id="773" w:name="_Toc168845007"/>
      <w:bookmarkStart w:id="774" w:name="_Toc191561990"/>
      <w:bookmarkStart w:id="775" w:name="_Toc223093986"/>
      <w:r w:rsidRPr="00CB5050">
        <w:t>Uvod</w:t>
      </w:r>
      <w:bookmarkEnd w:id="772"/>
      <w:bookmarkEnd w:id="773"/>
      <w:bookmarkEnd w:id="774"/>
      <w:bookmarkEnd w:id="775"/>
      <w:r w:rsidRPr="00CB5050">
        <w:t xml:space="preserve"> </w:t>
      </w:r>
    </w:p>
    <w:p w14:paraId="27ABB943" w14:textId="77777777" w:rsidR="00695AE2" w:rsidRPr="00CB5050" w:rsidRDefault="00695AE2" w:rsidP="00695AE2">
      <w:pPr>
        <w:spacing w:line="240" w:lineRule="auto"/>
        <w:jc w:val="both"/>
        <w:rPr>
          <w:rFonts w:eastAsia="Calibri"/>
          <w:color w:val="7030A0"/>
          <w:sz w:val="28"/>
          <w:szCs w:val="28"/>
        </w:rPr>
      </w:pPr>
    </w:p>
    <w:p w14:paraId="01EF03E7" w14:textId="77777777" w:rsidR="00695AE2" w:rsidRPr="00CB5050" w:rsidRDefault="00695AE2" w:rsidP="00695AE2">
      <w:pPr>
        <w:spacing w:line="240" w:lineRule="auto"/>
        <w:jc w:val="both"/>
        <w:rPr>
          <w:rFonts w:eastAsia="Calibri"/>
        </w:rPr>
      </w:pPr>
      <w:r w:rsidRPr="00CB5050">
        <w:rPr>
          <w:rFonts w:eastAsia="Calibri"/>
        </w:rPr>
        <w:t xml:space="preserve">Državno odvetništvo RS se kot zastopnik Republike Slovenije vključuje v postopke zaradi insolventnosti in prisilnega prenehanja v skladu z določbami Zakona o finančnem poslovanju, postopkih zaradi insolventnosti in prisilnem prenehanju (v nadaljevanju: ZFPPIPP). Republika Slovenija v njih nastopa kot </w:t>
      </w:r>
      <w:r w:rsidRPr="00CB5050">
        <w:rPr>
          <w:rFonts w:eastAsia="Calibri"/>
          <w:bCs/>
        </w:rPr>
        <w:t>upnica</w:t>
      </w:r>
      <w:r w:rsidRPr="00CB5050">
        <w:rPr>
          <w:rFonts w:eastAsia="Calibri"/>
        </w:rPr>
        <w:t xml:space="preserve">, kot </w:t>
      </w:r>
      <w:r w:rsidRPr="00CB5050">
        <w:rPr>
          <w:rFonts w:eastAsia="Calibri"/>
          <w:bCs/>
        </w:rPr>
        <w:t>predlagateljica</w:t>
      </w:r>
      <w:r w:rsidRPr="00CB5050">
        <w:rPr>
          <w:rFonts w:eastAsia="Calibri"/>
        </w:rPr>
        <w:t xml:space="preserve"> ali kot </w:t>
      </w:r>
      <w:r w:rsidRPr="00CB5050">
        <w:rPr>
          <w:rFonts w:eastAsia="Calibri"/>
          <w:bCs/>
        </w:rPr>
        <w:t>prevzemnica premoženja.</w:t>
      </w:r>
      <w:r w:rsidRPr="00CB5050">
        <w:rPr>
          <w:rFonts w:eastAsia="Calibri"/>
        </w:rPr>
        <w:t xml:space="preserve"> </w:t>
      </w:r>
    </w:p>
    <w:p w14:paraId="4975701C" w14:textId="77777777" w:rsidR="00695AE2" w:rsidRPr="00CB5050" w:rsidRDefault="00695AE2" w:rsidP="00695AE2">
      <w:pPr>
        <w:spacing w:line="240" w:lineRule="auto"/>
        <w:jc w:val="both"/>
        <w:rPr>
          <w:rFonts w:eastAsia="Calibri"/>
          <w:color w:val="FF0000"/>
        </w:rPr>
      </w:pPr>
    </w:p>
    <w:p w14:paraId="395ACF0C" w14:textId="77777777" w:rsidR="00695AE2" w:rsidRPr="00CB5050" w:rsidRDefault="00695AE2" w:rsidP="00695AE2">
      <w:pPr>
        <w:spacing w:line="240" w:lineRule="auto"/>
        <w:jc w:val="both"/>
        <w:rPr>
          <w:rFonts w:eastAsia="Calibri"/>
          <w:bCs/>
        </w:rPr>
      </w:pPr>
      <w:r w:rsidRPr="00CB5050">
        <w:rPr>
          <w:rFonts w:eastAsia="Calibri"/>
        </w:rPr>
        <w:t xml:space="preserve">V insolventnih postopkih so glavne naloge Državnega odvetništva RS prijava terjatev, prijava ločitvenih pravic (če so terjatve zavarovane) in prijava izločitvenih pravic </w:t>
      </w:r>
      <w:r w:rsidRPr="00CB5050">
        <w:rPr>
          <w:rFonts w:eastAsia="Calibri"/>
          <w:bCs/>
        </w:rPr>
        <w:t xml:space="preserve">v postopke </w:t>
      </w:r>
      <w:r w:rsidRPr="00CB5050">
        <w:rPr>
          <w:rFonts w:eastAsia="Calibri"/>
        </w:rPr>
        <w:t>zaradi insolventnosti nad pravnimi in fizičnimi osebami v Republiki Sloveniji in v tujini</w:t>
      </w:r>
      <w:r w:rsidRPr="00CB5050">
        <w:rPr>
          <w:rFonts w:eastAsia="Calibri"/>
          <w:bCs/>
        </w:rPr>
        <w:t xml:space="preserve">. </w:t>
      </w:r>
    </w:p>
    <w:p w14:paraId="6BC5C6EA" w14:textId="77777777" w:rsidR="00695AE2" w:rsidRPr="00CB5050" w:rsidRDefault="00695AE2" w:rsidP="00695AE2">
      <w:pPr>
        <w:spacing w:line="240" w:lineRule="auto"/>
        <w:jc w:val="both"/>
        <w:rPr>
          <w:rFonts w:eastAsia="Calibri"/>
          <w:bCs/>
          <w:color w:val="FF0000"/>
          <w:sz w:val="28"/>
          <w:szCs w:val="28"/>
        </w:rPr>
      </w:pPr>
    </w:p>
    <w:p w14:paraId="1D6CEAC2" w14:textId="77777777" w:rsidR="00695AE2" w:rsidRPr="00CB5050" w:rsidRDefault="00695AE2" w:rsidP="00695AE2">
      <w:pPr>
        <w:pStyle w:val="Naslov3"/>
      </w:pPr>
      <w:bookmarkStart w:id="776" w:name="_Toc95149778"/>
      <w:bookmarkStart w:id="777" w:name="_Toc168845008"/>
      <w:bookmarkStart w:id="778" w:name="_Toc191561991"/>
      <w:bookmarkStart w:id="779" w:name="_Toc223093987"/>
      <w:r w:rsidRPr="00CB5050">
        <w:t>Statistični podatki</w:t>
      </w:r>
      <w:bookmarkEnd w:id="776"/>
      <w:bookmarkEnd w:id="777"/>
      <w:bookmarkEnd w:id="778"/>
      <w:bookmarkEnd w:id="779"/>
    </w:p>
    <w:p w14:paraId="7676CFBE" w14:textId="77777777" w:rsidR="00695AE2" w:rsidRPr="00CB5050" w:rsidRDefault="00695AE2" w:rsidP="00695AE2">
      <w:pPr>
        <w:spacing w:line="240" w:lineRule="auto"/>
        <w:rPr>
          <w:rFonts w:eastAsia="Calibri"/>
          <w:sz w:val="28"/>
          <w:szCs w:val="28"/>
        </w:rPr>
      </w:pPr>
    </w:p>
    <w:p w14:paraId="470C9FDD"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na področju postopkov zaradi insolventnosti in prisilnega prenehanja prejelo 4.705 zadev. </w:t>
      </w:r>
    </w:p>
    <w:p w14:paraId="4A5DB43B" w14:textId="77777777" w:rsidR="00695AE2" w:rsidRPr="00CB5050" w:rsidRDefault="00695AE2" w:rsidP="00695AE2">
      <w:pPr>
        <w:spacing w:line="240" w:lineRule="auto"/>
        <w:jc w:val="both"/>
        <w:rPr>
          <w:rFonts w:eastAsia="Calibri"/>
          <w:szCs w:val="22"/>
        </w:rPr>
      </w:pPr>
    </w:p>
    <w:p w14:paraId="07D81833"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okviru prijav terjatev v postopke zaradi insolventnosti in prisilnega prenehanja so največji delež prijav sestavljale prijave terjatev v stečajni postopek nad pravno osebo, in sicer je Državno odvetništvo RS prijavilo terjatve v 2.401 zadevi. Druga največja skupina zadev so bile v letu 2025 prijave terjatev v postopek osebnega stečaja, ki jih je bilo 1.391. Polega tega je v letu 2025 Državno odvetništvo RS terjatve prijavilo tudi v postopke prisilne poravnave, ki jih je bilo 31, pa tudi v postopek stečaja zapuščine, in sicer je bilo teh postopkov 32. Državno odvetništvo RS je prijavilo izločitveno pravico v 4 zadevah. </w:t>
      </w:r>
    </w:p>
    <w:p w14:paraId="08250B10" w14:textId="77777777" w:rsidR="00695AE2" w:rsidRPr="00CB5050" w:rsidRDefault="00695AE2" w:rsidP="00695AE2">
      <w:pPr>
        <w:spacing w:line="240" w:lineRule="auto"/>
        <w:jc w:val="both"/>
        <w:rPr>
          <w:rFonts w:eastAsia="Calibri"/>
          <w:szCs w:val="22"/>
        </w:rPr>
      </w:pPr>
    </w:p>
    <w:p w14:paraId="10261093"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vložilo tudi predloge za začetek stečajnih postopkov oziroma postopkov prisilnega prenehanja. Največkrat je predlagalo začetek stečajnega postopka nad pravno osebo, in sicer v 494 zadevah, v 59 zadevah je vložilo predlog za začetek postopka osebnega stečaja in v 56 zadevah predlog za začetek postopka prisilne likvidacije. </w:t>
      </w:r>
    </w:p>
    <w:p w14:paraId="1F568DE1" w14:textId="77777777" w:rsidR="00695AE2" w:rsidRPr="00CB5050" w:rsidRDefault="00695AE2" w:rsidP="00695AE2">
      <w:pPr>
        <w:tabs>
          <w:tab w:val="left" w:pos="1440"/>
        </w:tabs>
        <w:spacing w:line="240" w:lineRule="auto"/>
        <w:jc w:val="both"/>
        <w:rPr>
          <w:rFonts w:eastAsia="Calibri"/>
        </w:rPr>
      </w:pPr>
    </w:p>
    <w:p w14:paraId="568DA63C" w14:textId="77777777" w:rsidR="00695AE2" w:rsidRPr="00CB5050" w:rsidRDefault="00695AE2" w:rsidP="00695AE2">
      <w:pPr>
        <w:spacing w:after="160" w:line="259" w:lineRule="auto"/>
        <w:jc w:val="both"/>
        <w:rPr>
          <w:rFonts w:eastAsia="Calibri"/>
          <w:bCs/>
        </w:rPr>
      </w:pPr>
      <w:r w:rsidRPr="00CB5050">
        <w:rPr>
          <w:rFonts w:eastAsia="Calibri"/>
          <w:bCs/>
        </w:rPr>
        <w:t xml:space="preserve">V postopkih izbrisa pravnih oseb iz sodnega registra brez likvidacije je </w:t>
      </w:r>
      <w:r w:rsidRPr="00CB5050">
        <w:rPr>
          <w:rFonts w:eastAsia="Calibri"/>
          <w:szCs w:val="22"/>
        </w:rPr>
        <w:t xml:space="preserve">Državno odvetništvo RS v 186 zadevah </w:t>
      </w:r>
      <w:r w:rsidRPr="00CB5050">
        <w:rPr>
          <w:rFonts w:eastAsia="Calibri"/>
          <w:bCs/>
        </w:rPr>
        <w:t xml:space="preserve">vložilo ugovor proti sklepu o začetku postopka izbrisa </w:t>
      </w:r>
      <w:r w:rsidRPr="00CB5050">
        <w:rPr>
          <w:rFonts w:eastAsia="Calibri"/>
          <w:szCs w:val="22"/>
        </w:rPr>
        <w:t>iz sodnega registra brez likvidacije</w:t>
      </w:r>
      <w:r w:rsidRPr="00CB5050">
        <w:rPr>
          <w:rFonts w:eastAsia="Calibri"/>
          <w:bCs/>
        </w:rPr>
        <w:t xml:space="preserve">. Velja opozoriti, da je bilo Državno odvetništvo RS v vseh teh primerih z ugovorom uspešno in je zato sodišče s sklepom postopek izbrisa ustavilo. </w:t>
      </w:r>
    </w:p>
    <w:p w14:paraId="132F402A" w14:textId="77777777" w:rsidR="00695AE2" w:rsidRPr="00CB5050" w:rsidRDefault="00695AE2" w:rsidP="00695AE2">
      <w:pPr>
        <w:spacing w:line="240" w:lineRule="auto"/>
        <w:jc w:val="both"/>
        <w:rPr>
          <w:rFonts w:eastAsia="Calibri"/>
          <w:szCs w:val="22"/>
        </w:rPr>
      </w:pPr>
      <w:r w:rsidRPr="00CB5050">
        <w:rPr>
          <w:rFonts w:eastAsia="Calibri"/>
          <w:szCs w:val="22"/>
        </w:rPr>
        <w:t>Skupno je imelo Državno odvetništvo RS leta 2025 v delu 13.463 zadev, zaključilo pa je 4.907 zadev. Na dan 31. 12. 2025 je bilo na področju postopkov zaradi insolventnosti in prisilnega prenehanja nerešenih še 8.565 zadev.</w:t>
      </w:r>
    </w:p>
    <w:p w14:paraId="16BD421C" w14:textId="77777777" w:rsidR="00695AE2" w:rsidRPr="00CB5050" w:rsidRDefault="00695AE2" w:rsidP="00695AE2">
      <w:pPr>
        <w:spacing w:line="240" w:lineRule="auto"/>
        <w:jc w:val="both"/>
        <w:rPr>
          <w:rFonts w:eastAsia="Calibri"/>
          <w:szCs w:val="22"/>
        </w:rPr>
      </w:pPr>
    </w:p>
    <w:p w14:paraId="759DDE25"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bCs/>
          <w:color w:val="007466"/>
          <w:spacing w:val="1"/>
          <w:sz w:val="20"/>
          <w:szCs w:val="20"/>
        </w:rPr>
      </w:pPr>
      <w:r w:rsidRPr="00CB5050">
        <w:rPr>
          <w:rFonts w:eastAsia="Calibri"/>
          <w:b/>
          <w:bCs/>
          <w:color w:val="007466"/>
          <w:spacing w:val="1"/>
          <w:sz w:val="20"/>
          <w:szCs w:val="20"/>
        </w:rPr>
        <w:lastRenderedPageBreak/>
        <w:t xml:space="preserve">Preglednica: Število prejetih in vloženih zadev v letu 2025 zbirno in po posameznih organizacijskih enotah </w:t>
      </w:r>
    </w:p>
    <w:p w14:paraId="44603790"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color w:val="007466"/>
          <w:spacing w:val="1"/>
          <w:sz w:val="20"/>
          <w:szCs w:val="20"/>
        </w:rPr>
      </w:pPr>
    </w:p>
    <w:tbl>
      <w:tblPr>
        <w:tblStyle w:val="Tabelamrea4"/>
        <w:tblW w:w="9283" w:type="dxa"/>
        <w:tblInd w:w="-5" w:type="dxa"/>
        <w:tblLook w:val="04A0" w:firstRow="1" w:lastRow="0" w:firstColumn="1" w:lastColumn="0" w:noHBand="0" w:noVBand="1"/>
      </w:tblPr>
      <w:tblGrid>
        <w:gridCol w:w="2828"/>
        <w:gridCol w:w="914"/>
        <w:gridCol w:w="528"/>
        <w:gridCol w:w="586"/>
        <w:gridCol w:w="552"/>
        <w:gridCol w:w="553"/>
        <w:gridCol w:w="553"/>
        <w:gridCol w:w="555"/>
        <w:gridCol w:w="554"/>
        <w:gridCol w:w="553"/>
        <w:gridCol w:w="556"/>
        <w:gridCol w:w="551"/>
      </w:tblGrid>
      <w:tr w:rsidR="00695AE2" w:rsidRPr="00CB5050" w14:paraId="055815A2" w14:textId="77777777" w:rsidTr="00980493">
        <w:tc>
          <w:tcPr>
            <w:tcW w:w="2831" w:type="dxa"/>
          </w:tcPr>
          <w:p w14:paraId="3A406E8C"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915" w:type="dxa"/>
          </w:tcPr>
          <w:p w14:paraId="54DDC587"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ZBIRNO 2025</w:t>
            </w:r>
          </w:p>
        </w:tc>
        <w:tc>
          <w:tcPr>
            <w:tcW w:w="528" w:type="dxa"/>
          </w:tcPr>
          <w:p w14:paraId="5AEFAF9F"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82" w:type="dxa"/>
          </w:tcPr>
          <w:p w14:paraId="38314FF6"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2025</w:t>
            </w:r>
          </w:p>
          <w:p w14:paraId="56D56B1B"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2" w:type="dxa"/>
          </w:tcPr>
          <w:p w14:paraId="547AC35F"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3" w:type="dxa"/>
          </w:tcPr>
          <w:p w14:paraId="04A6082E"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3" w:type="dxa"/>
          </w:tcPr>
          <w:p w14:paraId="70947911"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5" w:type="dxa"/>
          </w:tcPr>
          <w:p w14:paraId="0AF56F66"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4" w:type="dxa"/>
          </w:tcPr>
          <w:p w14:paraId="04BF5707"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3" w:type="dxa"/>
          </w:tcPr>
          <w:p w14:paraId="3B7A5925"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6" w:type="dxa"/>
          </w:tcPr>
          <w:p w14:paraId="5FBAC3B8"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51" w:type="dxa"/>
          </w:tcPr>
          <w:p w14:paraId="1AF35D89"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r>
      <w:tr w:rsidR="00695AE2" w:rsidRPr="00CB5050" w14:paraId="04CE6DE5" w14:textId="77777777" w:rsidTr="00980493">
        <w:tc>
          <w:tcPr>
            <w:tcW w:w="2831" w:type="dxa"/>
          </w:tcPr>
          <w:p w14:paraId="1F42988F"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915" w:type="dxa"/>
          </w:tcPr>
          <w:p w14:paraId="58E35BF9"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28" w:type="dxa"/>
          </w:tcPr>
          <w:p w14:paraId="254C37E0"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582" w:type="dxa"/>
          </w:tcPr>
          <w:p w14:paraId="78084CB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LJ</w:t>
            </w:r>
          </w:p>
        </w:tc>
        <w:tc>
          <w:tcPr>
            <w:tcW w:w="552" w:type="dxa"/>
          </w:tcPr>
          <w:p w14:paraId="7174C99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CE</w:t>
            </w:r>
          </w:p>
        </w:tc>
        <w:tc>
          <w:tcPr>
            <w:tcW w:w="553" w:type="dxa"/>
          </w:tcPr>
          <w:p w14:paraId="2867C66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KP</w:t>
            </w:r>
          </w:p>
        </w:tc>
        <w:tc>
          <w:tcPr>
            <w:tcW w:w="553" w:type="dxa"/>
          </w:tcPr>
          <w:p w14:paraId="30326D8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KR</w:t>
            </w:r>
          </w:p>
        </w:tc>
        <w:tc>
          <w:tcPr>
            <w:tcW w:w="555" w:type="dxa"/>
          </w:tcPr>
          <w:p w14:paraId="19A18CC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MB</w:t>
            </w:r>
          </w:p>
        </w:tc>
        <w:tc>
          <w:tcPr>
            <w:tcW w:w="554" w:type="dxa"/>
          </w:tcPr>
          <w:p w14:paraId="65A3280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MS</w:t>
            </w:r>
          </w:p>
        </w:tc>
        <w:tc>
          <w:tcPr>
            <w:tcW w:w="553" w:type="dxa"/>
          </w:tcPr>
          <w:p w14:paraId="3F437E0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NG</w:t>
            </w:r>
          </w:p>
        </w:tc>
        <w:tc>
          <w:tcPr>
            <w:tcW w:w="556" w:type="dxa"/>
          </w:tcPr>
          <w:p w14:paraId="1B473C3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NM</w:t>
            </w:r>
          </w:p>
        </w:tc>
        <w:tc>
          <w:tcPr>
            <w:tcW w:w="551" w:type="dxa"/>
          </w:tcPr>
          <w:p w14:paraId="16DF04F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PT</w:t>
            </w:r>
          </w:p>
        </w:tc>
      </w:tr>
      <w:tr w:rsidR="00695AE2" w:rsidRPr="00CB5050" w14:paraId="79F09886" w14:textId="77777777" w:rsidTr="00980493">
        <w:tc>
          <w:tcPr>
            <w:tcW w:w="2831" w:type="dxa"/>
          </w:tcPr>
          <w:p w14:paraId="7E5AAED2"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Predlog za uvedbo:</w:t>
            </w:r>
          </w:p>
        </w:tc>
        <w:tc>
          <w:tcPr>
            <w:tcW w:w="915" w:type="dxa"/>
          </w:tcPr>
          <w:p w14:paraId="77F1BD2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28" w:type="dxa"/>
          </w:tcPr>
          <w:p w14:paraId="0FF3502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0457865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2" w:type="dxa"/>
          </w:tcPr>
          <w:p w14:paraId="2CC8C59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2D5013F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741B68E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5" w:type="dxa"/>
          </w:tcPr>
          <w:p w14:paraId="5A93AB19"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4" w:type="dxa"/>
          </w:tcPr>
          <w:p w14:paraId="6E17C7CE"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21590EFE"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6" w:type="dxa"/>
          </w:tcPr>
          <w:p w14:paraId="70A0E22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1" w:type="dxa"/>
          </w:tcPr>
          <w:p w14:paraId="67105DE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r>
      <w:tr w:rsidR="00695AE2" w:rsidRPr="00CB5050" w14:paraId="40AFD120" w14:textId="77777777" w:rsidTr="00980493">
        <w:tc>
          <w:tcPr>
            <w:tcW w:w="2831" w:type="dxa"/>
          </w:tcPr>
          <w:p w14:paraId="1E1852CE"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a) postopka osebnega stečaja</w:t>
            </w:r>
          </w:p>
        </w:tc>
        <w:tc>
          <w:tcPr>
            <w:tcW w:w="915" w:type="dxa"/>
          </w:tcPr>
          <w:p w14:paraId="262D61B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59</w:t>
            </w:r>
          </w:p>
        </w:tc>
        <w:tc>
          <w:tcPr>
            <w:tcW w:w="528" w:type="dxa"/>
          </w:tcPr>
          <w:p w14:paraId="360A316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4016DFD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13</w:t>
            </w:r>
          </w:p>
        </w:tc>
        <w:tc>
          <w:tcPr>
            <w:tcW w:w="552" w:type="dxa"/>
          </w:tcPr>
          <w:p w14:paraId="489517C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6</w:t>
            </w:r>
          </w:p>
        </w:tc>
        <w:tc>
          <w:tcPr>
            <w:tcW w:w="553" w:type="dxa"/>
          </w:tcPr>
          <w:p w14:paraId="1ABD6E9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w:t>
            </w:r>
          </w:p>
        </w:tc>
        <w:tc>
          <w:tcPr>
            <w:tcW w:w="553" w:type="dxa"/>
          </w:tcPr>
          <w:p w14:paraId="7047FC5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w:t>
            </w:r>
          </w:p>
        </w:tc>
        <w:tc>
          <w:tcPr>
            <w:tcW w:w="555" w:type="dxa"/>
          </w:tcPr>
          <w:p w14:paraId="14A8172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w:t>
            </w:r>
          </w:p>
        </w:tc>
        <w:tc>
          <w:tcPr>
            <w:tcW w:w="554" w:type="dxa"/>
          </w:tcPr>
          <w:p w14:paraId="0F8E128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22</w:t>
            </w:r>
          </w:p>
        </w:tc>
        <w:tc>
          <w:tcPr>
            <w:tcW w:w="553" w:type="dxa"/>
          </w:tcPr>
          <w:p w14:paraId="5868D40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6" w:type="dxa"/>
          </w:tcPr>
          <w:p w14:paraId="489BD3D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w:t>
            </w:r>
          </w:p>
        </w:tc>
        <w:tc>
          <w:tcPr>
            <w:tcW w:w="551" w:type="dxa"/>
          </w:tcPr>
          <w:p w14:paraId="1D1B704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6</w:t>
            </w:r>
          </w:p>
        </w:tc>
      </w:tr>
      <w:tr w:rsidR="00695AE2" w:rsidRPr="00CB5050" w14:paraId="2364FB65" w14:textId="77777777" w:rsidTr="00980493">
        <w:tc>
          <w:tcPr>
            <w:tcW w:w="2831" w:type="dxa"/>
          </w:tcPr>
          <w:p w14:paraId="33F69756"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b) stečajnega postopka nad pravno osebo</w:t>
            </w:r>
          </w:p>
        </w:tc>
        <w:tc>
          <w:tcPr>
            <w:tcW w:w="915" w:type="dxa"/>
          </w:tcPr>
          <w:p w14:paraId="1618888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494</w:t>
            </w:r>
          </w:p>
        </w:tc>
        <w:tc>
          <w:tcPr>
            <w:tcW w:w="528" w:type="dxa"/>
          </w:tcPr>
          <w:p w14:paraId="46394A3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1EE06D1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257</w:t>
            </w:r>
          </w:p>
        </w:tc>
        <w:tc>
          <w:tcPr>
            <w:tcW w:w="552" w:type="dxa"/>
          </w:tcPr>
          <w:p w14:paraId="22C671D6"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48</w:t>
            </w:r>
          </w:p>
        </w:tc>
        <w:tc>
          <w:tcPr>
            <w:tcW w:w="553" w:type="dxa"/>
          </w:tcPr>
          <w:p w14:paraId="3209EE1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34</w:t>
            </w:r>
          </w:p>
        </w:tc>
        <w:tc>
          <w:tcPr>
            <w:tcW w:w="553" w:type="dxa"/>
          </w:tcPr>
          <w:p w14:paraId="41FFCFE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14</w:t>
            </w:r>
          </w:p>
        </w:tc>
        <w:tc>
          <w:tcPr>
            <w:tcW w:w="555" w:type="dxa"/>
          </w:tcPr>
          <w:p w14:paraId="0DD7D22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57</w:t>
            </w:r>
          </w:p>
        </w:tc>
        <w:tc>
          <w:tcPr>
            <w:tcW w:w="554" w:type="dxa"/>
          </w:tcPr>
          <w:p w14:paraId="2BA6A22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25</w:t>
            </w:r>
          </w:p>
        </w:tc>
        <w:tc>
          <w:tcPr>
            <w:tcW w:w="553" w:type="dxa"/>
          </w:tcPr>
          <w:p w14:paraId="32A66BA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9</w:t>
            </w:r>
          </w:p>
        </w:tc>
        <w:tc>
          <w:tcPr>
            <w:tcW w:w="556" w:type="dxa"/>
          </w:tcPr>
          <w:p w14:paraId="357DEC0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22</w:t>
            </w:r>
          </w:p>
        </w:tc>
        <w:tc>
          <w:tcPr>
            <w:tcW w:w="551" w:type="dxa"/>
          </w:tcPr>
          <w:p w14:paraId="3AD5492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28</w:t>
            </w:r>
          </w:p>
        </w:tc>
      </w:tr>
      <w:tr w:rsidR="00695AE2" w:rsidRPr="00CB5050" w14:paraId="1FA85130" w14:textId="77777777" w:rsidTr="00980493">
        <w:tc>
          <w:tcPr>
            <w:tcW w:w="2831" w:type="dxa"/>
          </w:tcPr>
          <w:p w14:paraId="740D266F"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Prijava:</w:t>
            </w:r>
          </w:p>
        </w:tc>
        <w:tc>
          <w:tcPr>
            <w:tcW w:w="915" w:type="dxa"/>
          </w:tcPr>
          <w:p w14:paraId="37885AE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28" w:type="dxa"/>
          </w:tcPr>
          <w:p w14:paraId="0513023E"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4549C736"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2" w:type="dxa"/>
          </w:tcPr>
          <w:p w14:paraId="3A6C2F6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6363FCA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0DE16CC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5" w:type="dxa"/>
          </w:tcPr>
          <w:p w14:paraId="1C164E9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4" w:type="dxa"/>
          </w:tcPr>
          <w:p w14:paraId="1ED25B0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06FA5F9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6" w:type="dxa"/>
          </w:tcPr>
          <w:p w14:paraId="4E3264C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1" w:type="dxa"/>
          </w:tcPr>
          <w:p w14:paraId="7E51B56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r>
      <w:tr w:rsidR="00695AE2" w:rsidRPr="00CB5050" w14:paraId="32194C2C" w14:textId="77777777" w:rsidTr="00980493">
        <w:tc>
          <w:tcPr>
            <w:tcW w:w="2831" w:type="dxa"/>
          </w:tcPr>
          <w:p w14:paraId="173F5729"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a) terjatve v postopek osebnega stečaja</w:t>
            </w:r>
          </w:p>
        </w:tc>
        <w:tc>
          <w:tcPr>
            <w:tcW w:w="915" w:type="dxa"/>
          </w:tcPr>
          <w:p w14:paraId="73FF86A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1.391</w:t>
            </w:r>
          </w:p>
        </w:tc>
        <w:tc>
          <w:tcPr>
            <w:tcW w:w="528" w:type="dxa"/>
          </w:tcPr>
          <w:p w14:paraId="2CDC93F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2524937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340</w:t>
            </w:r>
          </w:p>
        </w:tc>
        <w:tc>
          <w:tcPr>
            <w:tcW w:w="552" w:type="dxa"/>
          </w:tcPr>
          <w:p w14:paraId="0739187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160</w:t>
            </w:r>
          </w:p>
        </w:tc>
        <w:tc>
          <w:tcPr>
            <w:tcW w:w="553" w:type="dxa"/>
          </w:tcPr>
          <w:p w14:paraId="346B57F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73</w:t>
            </w:r>
          </w:p>
        </w:tc>
        <w:tc>
          <w:tcPr>
            <w:tcW w:w="553" w:type="dxa"/>
          </w:tcPr>
          <w:p w14:paraId="151B031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90</w:t>
            </w:r>
          </w:p>
        </w:tc>
        <w:tc>
          <w:tcPr>
            <w:tcW w:w="555" w:type="dxa"/>
          </w:tcPr>
          <w:p w14:paraId="48533B96"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326</w:t>
            </w:r>
          </w:p>
        </w:tc>
        <w:tc>
          <w:tcPr>
            <w:tcW w:w="554" w:type="dxa"/>
          </w:tcPr>
          <w:p w14:paraId="3C21D15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202</w:t>
            </w:r>
          </w:p>
        </w:tc>
        <w:tc>
          <w:tcPr>
            <w:tcW w:w="553" w:type="dxa"/>
          </w:tcPr>
          <w:p w14:paraId="7868ED5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33</w:t>
            </w:r>
          </w:p>
        </w:tc>
        <w:tc>
          <w:tcPr>
            <w:tcW w:w="556" w:type="dxa"/>
          </w:tcPr>
          <w:p w14:paraId="6C67052A"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92</w:t>
            </w:r>
          </w:p>
        </w:tc>
        <w:tc>
          <w:tcPr>
            <w:tcW w:w="551" w:type="dxa"/>
          </w:tcPr>
          <w:p w14:paraId="473E0A2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75</w:t>
            </w:r>
          </w:p>
        </w:tc>
      </w:tr>
      <w:tr w:rsidR="00695AE2" w:rsidRPr="00CB5050" w14:paraId="67030200" w14:textId="77777777" w:rsidTr="00980493">
        <w:tc>
          <w:tcPr>
            <w:tcW w:w="2831" w:type="dxa"/>
          </w:tcPr>
          <w:p w14:paraId="0F8BF613"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b) terjatve v stečajni postopek nad pravno osebo</w:t>
            </w:r>
          </w:p>
        </w:tc>
        <w:tc>
          <w:tcPr>
            <w:tcW w:w="915" w:type="dxa"/>
          </w:tcPr>
          <w:p w14:paraId="076BF25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2.401</w:t>
            </w:r>
          </w:p>
        </w:tc>
        <w:tc>
          <w:tcPr>
            <w:tcW w:w="528" w:type="dxa"/>
          </w:tcPr>
          <w:p w14:paraId="533C0F3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4220087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1.076</w:t>
            </w:r>
          </w:p>
        </w:tc>
        <w:tc>
          <w:tcPr>
            <w:tcW w:w="552" w:type="dxa"/>
          </w:tcPr>
          <w:p w14:paraId="61F0CCF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249</w:t>
            </w:r>
          </w:p>
        </w:tc>
        <w:tc>
          <w:tcPr>
            <w:tcW w:w="553" w:type="dxa"/>
          </w:tcPr>
          <w:p w14:paraId="6DF4DC0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149</w:t>
            </w:r>
          </w:p>
        </w:tc>
        <w:tc>
          <w:tcPr>
            <w:tcW w:w="553" w:type="dxa"/>
          </w:tcPr>
          <w:p w14:paraId="65A8E0E3"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136</w:t>
            </w:r>
          </w:p>
        </w:tc>
        <w:tc>
          <w:tcPr>
            <w:tcW w:w="555" w:type="dxa"/>
          </w:tcPr>
          <w:p w14:paraId="1AC84C1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405</w:t>
            </w:r>
          </w:p>
        </w:tc>
        <w:tc>
          <w:tcPr>
            <w:tcW w:w="554" w:type="dxa"/>
          </w:tcPr>
          <w:p w14:paraId="111BF03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87</w:t>
            </w:r>
          </w:p>
        </w:tc>
        <w:tc>
          <w:tcPr>
            <w:tcW w:w="553" w:type="dxa"/>
          </w:tcPr>
          <w:p w14:paraId="77DB29F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63</w:t>
            </w:r>
          </w:p>
        </w:tc>
        <w:tc>
          <w:tcPr>
            <w:tcW w:w="556" w:type="dxa"/>
          </w:tcPr>
          <w:p w14:paraId="2DE7086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108</w:t>
            </w:r>
          </w:p>
        </w:tc>
        <w:tc>
          <w:tcPr>
            <w:tcW w:w="551" w:type="dxa"/>
          </w:tcPr>
          <w:p w14:paraId="133B5A4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128</w:t>
            </w:r>
          </w:p>
        </w:tc>
      </w:tr>
      <w:tr w:rsidR="00695AE2" w:rsidRPr="00CB5050" w14:paraId="1DAAA53C" w14:textId="77777777" w:rsidTr="00980493">
        <w:tc>
          <w:tcPr>
            <w:tcW w:w="2831" w:type="dxa"/>
          </w:tcPr>
          <w:p w14:paraId="79709A48"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c) izločitvene pravice</w:t>
            </w:r>
          </w:p>
        </w:tc>
        <w:tc>
          <w:tcPr>
            <w:tcW w:w="915" w:type="dxa"/>
          </w:tcPr>
          <w:p w14:paraId="6FDBA5A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w:t>
            </w:r>
          </w:p>
        </w:tc>
        <w:tc>
          <w:tcPr>
            <w:tcW w:w="528" w:type="dxa"/>
          </w:tcPr>
          <w:p w14:paraId="586EEE4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32B8085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2" w:type="dxa"/>
          </w:tcPr>
          <w:p w14:paraId="5923BBD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3" w:type="dxa"/>
          </w:tcPr>
          <w:p w14:paraId="4AE99AE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3" w:type="dxa"/>
          </w:tcPr>
          <w:p w14:paraId="7EE805B9"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w:t>
            </w:r>
          </w:p>
        </w:tc>
        <w:tc>
          <w:tcPr>
            <w:tcW w:w="555" w:type="dxa"/>
          </w:tcPr>
          <w:p w14:paraId="263095C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4" w:type="dxa"/>
          </w:tcPr>
          <w:p w14:paraId="30EF9C3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3" w:type="dxa"/>
          </w:tcPr>
          <w:p w14:paraId="73497D9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w:t>
            </w:r>
          </w:p>
        </w:tc>
        <w:tc>
          <w:tcPr>
            <w:tcW w:w="556" w:type="dxa"/>
          </w:tcPr>
          <w:p w14:paraId="6563005C"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1" w:type="dxa"/>
          </w:tcPr>
          <w:p w14:paraId="2211BDCA"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r>
      <w:tr w:rsidR="00695AE2" w:rsidRPr="00CB5050" w14:paraId="5E229CCF" w14:textId="77777777" w:rsidTr="00980493">
        <w:tc>
          <w:tcPr>
            <w:tcW w:w="2831" w:type="dxa"/>
          </w:tcPr>
          <w:p w14:paraId="3691A0C6"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č) terjatve v postopek prisilne poravnave</w:t>
            </w:r>
          </w:p>
        </w:tc>
        <w:tc>
          <w:tcPr>
            <w:tcW w:w="915" w:type="dxa"/>
          </w:tcPr>
          <w:p w14:paraId="0BD1ABB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31</w:t>
            </w:r>
          </w:p>
        </w:tc>
        <w:tc>
          <w:tcPr>
            <w:tcW w:w="528" w:type="dxa"/>
          </w:tcPr>
          <w:p w14:paraId="05B45E06"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7387D2E9"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27</w:t>
            </w:r>
          </w:p>
        </w:tc>
        <w:tc>
          <w:tcPr>
            <w:tcW w:w="552" w:type="dxa"/>
          </w:tcPr>
          <w:p w14:paraId="3CB3207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w:t>
            </w:r>
          </w:p>
        </w:tc>
        <w:tc>
          <w:tcPr>
            <w:tcW w:w="553" w:type="dxa"/>
          </w:tcPr>
          <w:p w14:paraId="3EF15DC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3" w:type="dxa"/>
          </w:tcPr>
          <w:p w14:paraId="4CA69DD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5" w:type="dxa"/>
          </w:tcPr>
          <w:p w14:paraId="2F02FE9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4" w:type="dxa"/>
          </w:tcPr>
          <w:p w14:paraId="20ED3EB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w:t>
            </w:r>
          </w:p>
        </w:tc>
        <w:tc>
          <w:tcPr>
            <w:tcW w:w="553" w:type="dxa"/>
          </w:tcPr>
          <w:p w14:paraId="488AFEB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6" w:type="dxa"/>
          </w:tcPr>
          <w:p w14:paraId="175A9A5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1" w:type="dxa"/>
          </w:tcPr>
          <w:p w14:paraId="09DF7F48"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r>
      <w:tr w:rsidR="00695AE2" w:rsidRPr="00CB5050" w14:paraId="041C69A9" w14:textId="77777777" w:rsidTr="00980493">
        <w:tc>
          <w:tcPr>
            <w:tcW w:w="2831" w:type="dxa"/>
          </w:tcPr>
          <w:p w14:paraId="70E69F1E"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d) terjatve v stečaj zapuščine</w:t>
            </w:r>
          </w:p>
        </w:tc>
        <w:tc>
          <w:tcPr>
            <w:tcW w:w="915" w:type="dxa"/>
          </w:tcPr>
          <w:p w14:paraId="5A732DA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32</w:t>
            </w:r>
          </w:p>
        </w:tc>
        <w:tc>
          <w:tcPr>
            <w:tcW w:w="528" w:type="dxa"/>
          </w:tcPr>
          <w:p w14:paraId="0FAAF49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2C7578E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15</w:t>
            </w:r>
          </w:p>
        </w:tc>
        <w:tc>
          <w:tcPr>
            <w:tcW w:w="552" w:type="dxa"/>
          </w:tcPr>
          <w:p w14:paraId="31AB2289"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w:t>
            </w:r>
          </w:p>
        </w:tc>
        <w:tc>
          <w:tcPr>
            <w:tcW w:w="553" w:type="dxa"/>
          </w:tcPr>
          <w:p w14:paraId="0D58B099"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3" w:type="dxa"/>
          </w:tcPr>
          <w:p w14:paraId="1E7B945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8</w:t>
            </w:r>
          </w:p>
        </w:tc>
        <w:tc>
          <w:tcPr>
            <w:tcW w:w="555" w:type="dxa"/>
          </w:tcPr>
          <w:p w14:paraId="05F7386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w:t>
            </w:r>
          </w:p>
        </w:tc>
        <w:tc>
          <w:tcPr>
            <w:tcW w:w="554" w:type="dxa"/>
          </w:tcPr>
          <w:p w14:paraId="783CB7D6"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3" w:type="dxa"/>
          </w:tcPr>
          <w:p w14:paraId="4C6591D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0</w:t>
            </w:r>
          </w:p>
        </w:tc>
        <w:tc>
          <w:tcPr>
            <w:tcW w:w="556" w:type="dxa"/>
          </w:tcPr>
          <w:p w14:paraId="6F97C92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w:t>
            </w:r>
          </w:p>
        </w:tc>
        <w:tc>
          <w:tcPr>
            <w:tcW w:w="551" w:type="dxa"/>
          </w:tcPr>
          <w:p w14:paraId="2D0DC3C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w:t>
            </w:r>
          </w:p>
        </w:tc>
      </w:tr>
      <w:tr w:rsidR="00695AE2" w:rsidRPr="00CB5050" w14:paraId="5F640E1C" w14:textId="77777777" w:rsidTr="00980493">
        <w:tc>
          <w:tcPr>
            <w:tcW w:w="2831" w:type="dxa"/>
          </w:tcPr>
          <w:p w14:paraId="510E2CFE"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p>
        </w:tc>
        <w:tc>
          <w:tcPr>
            <w:tcW w:w="915" w:type="dxa"/>
          </w:tcPr>
          <w:p w14:paraId="27E0F9B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28" w:type="dxa"/>
          </w:tcPr>
          <w:p w14:paraId="7CD9D65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4C0001F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2" w:type="dxa"/>
          </w:tcPr>
          <w:p w14:paraId="3759775E"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7E4521E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3D332D3B"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5" w:type="dxa"/>
          </w:tcPr>
          <w:p w14:paraId="6F5B09D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4" w:type="dxa"/>
          </w:tcPr>
          <w:p w14:paraId="1294B1E1"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3" w:type="dxa"/>
          </w:tcPr>
          <w:p w14:paraId="6D78D07D"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6" w:type="dxa"/>
          </w:tcPr>
          <w:p w14:paraId="4EE33DC0"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51" w:type="dxa"/>
          </w:tcPr>
          <w:p w14:paraId="7EC4CFC7"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r>
      <w:tr w:rsidR="00695AE2" w:rsidRPr="00CB5050" w14:paraId="562EB4D1" w14:textId="77777777" w:rsidTr="00980493">
        <w:tc>
          <w:tcPr>
            <w:tcW w:w="2831" w:type="dxa"/>
          </w:tcPr>
          <w:p w14:paraId="1C7E3C17" w14:textId="77777777" w:rsidR="00695AE2" w:rsidRPr="00CB5050" w:rsidRDefault="00695AE2" w:rsidP="00980493">
            <w:pPr>
              <w:tabs>
                <w:tab w:val="left" w:pos="283"/>
              </w:tabs>
              <w:autoSpaceDE w:val="0"/>
              <w:autoSpaceDN w:val="0"/>
              <w:adjustRightInd w:val="0"/>
              <w:spacing w:line="20" w:lineRule="atLeast"/>
              <w:textAlignment w:val="center"/>
              <w:rPr>
                <w:rFonts w:eastAsia="Calibri" w:cs="Calibri"/>
                <w:bCs/>
                <w:spacing w:val="1"/>
                <w:sz w:val="16"/>
                <w:szCs w:val="16"/>
              </w:rPr>
            </w:pPr>
            <w:r w:rsidRPr="00CB5050">
              <w:rPr>
                <w:rFonts w:eastAsia="Calibri" w:cs="Calibri"/>
                <w:bCs/>
                <w:spacing w:val="1"/>
                <w:sz w:val="16"/>
                <w:szCs w:val="16"/>
              </w:rPr>
              <w:t>Ugovor zoper izbris iz sodnega registra</w:t>
            </w:r>
          </w:p>
        </w:tc>
        <w:tc>
          <w:tcPr>
            <w:tcW w:w="915" w:type="dxa"/>
          </w:tcPr>
          <w:p w14:paraId="31D3F1C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186</w:t>
            </w:r>
          </w:p>
        </w:tc>
        <w:tc>
          <w:tcPr>
            <w:tcW w:w="528" w:type="dxa"/>
          </w:tcPr>
          <w:p w14:paraId="2AEE6A2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p>
        </w:tc>
        <w:tc>
          <w:tcPr>
            <w:tcW w:w="582" w:type="dxa"/>
          </w:tcPr>
          <w:p w14:paraId="176C4439"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111</w:t>
            </w:r>
          </w:p>
        </w:tc>
        <w:tc>
          <w:tcPr>
            <w:tcW w:w="552" w:type="dxa"/>
          </w:tcPr>
          <w:p w14:paraId="2F820C8F"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11</w:t>
            </w:r>
          </w:p>
        </w:tc>
        <w:tc>
          <w:tcPr>
            <w:tcW w:w="553" w:type="dxa"/>
          </w:tcPr>
          <w:p w14:paraId="2B28993A"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3</w:t>
            </w:r>
          </w:p>
        </w:tc>
        <w:tc>
          <w:tcPr>
            <w:tcW w:w="553" w:type="dxa"/>
          </w:tcPr>
          <w:p w14:paraId="4F8B004A"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15</w:t>
            </w:r>
          </w:p>
        </w:tc>
        <w:tc>
          <w:tcPr>
            <w:tcW w:w="555" w:type="dxa"/>
          </w:tcPr>
          <w:p w14:paraId="2296F5E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27</w:t>
            </w:r>
          </w:p>
        </w:tc>
        <w:tc>
          <w:tcPr>
            <w:tcW w:w="554" w:type="dxa"/>
          </w:tcPr>
          <w:p w14:paraId="146411F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5</w:t>
            </w:r>
          </w:p>
        </w:tc>
        <w:tc>
          <w:tcPr>
            <w:tcW w:w="553" w:type="dxa"/>
          </w:tcPr>
          <w:p w14:paraId="5E11AD95"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2</w:t>
            </w:r>
          </w:p>
        </w:tc>
        <w:tc>
          <w:tcPr>
            <w:tcW w:w="556" w:type="dxa"/>
          </w:tcPr>
          <w:p w14:paraId="673D1534"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8</w:t>
            </w:r>
          </w:p>
        </w:tc>
        <w:tc>
          <w:tcPr>
            <w:tcW w:w="551" w:type="dxa"/>
          </w:tcPr>
          <w:p w14:paraId="2D635132" w14:textId="77777777" w:rsidR="00695AE2" w:rsidRPr="00CB5050" w:rsidRDefault="00695AE2" w:rsidP="00980493">
            <w:pPr>
              <w:tabs>
                <w:tab w:val="left" w:pos="283"/>
              </w:tabs>
              <w:autoSpaceDE w:val="0"/>
              <w:autoSpaceDN w:val="0"/>
              <w:adjustRightInd w:val="0"/>
              <w:spacing w:line="20" w:lineRule="atLeast"/>
              <w:jc w:val="center"/>
              <w:textAlignment w:val="center"/>
              <w:rPr>
                <w:rFonts w:eastAsia="Calibri" w:cs="Calibri"/>
                <w:bCs/>
                <w:spacing w:val="1"/>
                <w:sz w:val="16"/>
                <w:szCs w:val="16"/>
              </w:rPr>
            </w:pPr>
            <w:r w:rsidRPr="00CB5050">
              <w:rPr>
                <w:rFonts w:eastAsia="Calibri" w:cs="Calibri"/>
                <w:bCs/>
                <w:spacing w:val="1"/>
                <w:sz w:val="16"/>
                <w:szCs w:val="16"/>
              </w:rPr>
              <w:t>4</w:t>
            </w:r>
          </w:p>
        </w:tc>
      </w:tr>
    </w:tbl>
    <w:p w14:paraId="58DBA4F8"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8"/>
          <w:szCs w:val="28"/>
        </w:rPr>
      </w:pPr>
    </w:p>
    <w:p w14:paraId="7D549F46" w14:textId="77777777" w:rsidR="00695AE2" w:rsidRPr="00CB5050" w:rsidRDefault="00695AE2" w:rsidP="00695AE2">
      <w:pPr>
        <w:pStyle w:val="Naslov3"/>
      </w:pPr>
      <w:bookmarkStart w:id="780" w:name="_Toc95149779"/>
      <w:bookmarkStart w:id="781" w:name="_Toc168845009"/>
      <w:bookmarkStart w:id="782" w:name="_Toc191561992"/>
      <w:bookmarkStart w:id="783" w:name="_Toc223093988"/>
      <w:r w:rsidRPr="00CB5050">
        <w:t>Analiza primerjalnih vrednosti</w:t>
      </w:r>
      <w:bookmarkEnd w:id="780"/>
      <w:bookmarkEnd w:id="781"/>
      <w:bookmarkEnd w:id="782"/>
      <w:bookmarkEnd w:id="783"/>
    </w:p>
    <w:p w14:paraId="326F30D3" w14:textId="77777777" w:rsidR="00695AE2" w:rsidRPr="00CB5050" w:rsidRDefault="00695AE2" w:rsidP="00695AE2">
      <w:pPr>
        <w:spacing w:line="240" w:lineRule="auto"/>
        <w:rPr>
          <w:rFonts w:eastAsia="Calibri"/>
          <w:sz w:val="28"/>
          <w:szCs w:val="28"/>
        </w:rPr>
      </w:pPr>
    </w:p>
    <w:p w14:paraId="6EB0D3CF"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na področju postopkov zaradi insolventnosti in prisilnega prenehanja prejelo 4.705 zadev, kar je 10,01 odstotka več kot leta 2024, ko je Državno odvetništvo RS na področju postopkov zaradi insolventnosti in prisilnega prenehanja prejelo 4.277 zadev. </w:t>
      </w:r>
    </w:p>
    <w:p w14:paraId="10BA9F24" w14:textId="77777777" w:rsidR="00695AE2" w:rsidRPr="00CB5050" w:rsidRDefault="00695AE2" w:rsidP="00695AE2">
      <w:pPr>
        <w:spacing w:line="240" w:lineRule="auto"/>
        <w:jc w:val="both"/>
        <w:rPr>
          <w:rFonts w:eastAsia="Calibri"/>
        </w:rPr>
      </w:pPr>
    </w:p>
    <w:p w14:paraId="6277F421" w14:textId="77777777" w:rsidR="00695AE2" w:rsidRPr="00CB5050" w:rsidRDefault="00695AE2" w:rsidP="00695AE2">
      <w:pPr>
        <w:spacing w:line="240" w:lineRule="auto"/>
        <w:jc w:val="both"/>
        <w:rPr>
          <w:rFonts w:eastAsia="Calibri"/>
          <w:szCs w:val="22"/>
        </w:rPr>
      </w:pPr>
      <w:r w:rsidRPr="00CB5050">
        <w:rPr>
          <w:rFonts w:eastAsia="Calibri"/>
          <w:szCs w:val="22"/>
        </w:rPr>
        <w:t>Skupno je imelo Državno odvetništvo RS leta 2025 v delu 13.463 zadev, kar je 1,07 odstotka več kot leta 2024, ko je imelo v delu 13.320 zadev.</w:t>
      </w:r>
    </w:p>
    <w:p w14:paraId="2EDD7DD7" w14:textId="77777777" w:rsidR="00695AE2" w:rsidRPr="00CB5050" w:rsidRDefault="00695AE2" w:rsidP="00695AE2">
      <w:pPr>
        <w:spacing w:line="240" w:lineRule="auto"/>
        <w:jc w:val="both"/>
        <w:rPr>
          <w:rFonts w:eastAsia="Calibri"/>
        </w:rPr>
      </w:pPr>
    </w:p>
    <w:p w14:paraId="02317182"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zaključilo 4.907 zadev, kar je 5,62 odstotka več kot v letu 2024, ko je bilo zaključenih 4.646 zadev. </w:t>
      </w:r>
    </w:p>
    <w:p w14:paraId="3DDC37E2" w14:textId="77777777" w:rsidR="00695AE2" w:rsidRPr="00CB5050" w:rsidRDefault="00695AE2" w:rsidP="00695AE2">
      <w:pPr>
        <w:spacing w:line="240" w:lineRule="auto"/>
        <w:jc w:val="both"/>
        <w:rPr>
          <w:rFonts w:eastAsia="Calibri"/>
        </w:rPr>
      </w:pPr>
    </w:p>
    <w:p w14:paraId="4458A0A9"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dan 31. 12. 2025 je bilo nerešenih še 8.565 zadev, kar je v primerjavi z 31. 12. 2024, ko je bilo nerešenih 8.674 zadev, 1,26 odstotka manj. </w:t>
      </w:r>
    </w:p>
    <w:p w14:paraId="6E0EB387" w14:textId="77777777" w:rsidR="00C70D20" w:rsidRDefault="00C70D20" w:rsidP="00695AE2">
      <w:pPr>
        <w:tabs>
          <w:tab w:val="left" w:pos="283"/>
        </w:tabs>
        <w:autoSpaceDE w:val="0"/>
        <w:autoSpaceDN w:val="0"/>
        <w:adjustRightInd w:val="0"/>
        <w:spacing w:line="240" w:lineRule="auto"/>
        <w:jc w:val="both"/>
        <w:textAlignment w:val="center"/>
        <w:rPr>
          <w:rFonts w:eastAsia="Calibri"/>
          <w:color w:val="00574C"/>
        </w:rPr>
      </w:pPr>
    </w:p>
    <w:p w14:paraId="2EE61CF9"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bCs/>
          <w:color w:val="007466"/>
          <w:sz w:val="20"/>
          <w:szCs w:val="20"/>
        </w:rPr>
      </w:pPr>
      <w:r w:rsidRPr="00CB5050">
        <w:rPr>
          <w:rFonts w:eastAsia="Calibri"/>
          <w:b/>
          <w:bCs/>
          <w:color w:val="007466"/>
          <w:spacing w:val="1"/>
          <w:sz w:val="20"/>
          <w:szCs w:val="20"/>
        </w:rPr>
        <w:t xml:space="preserve">Grafikon: </w:t>
      </w:r>
      <w:r w:rsidRPr="00CB5050">
        <w:rPr>
          <w:rFonts w:eastAsia="Calibri"/>
          <w:b/>
          <w:bCs/>
          <w:color w:val="007466"/>
          <w:sz w:val="20"/>
          <w:szCs w:val="20"/>
        </w:rPr>
        <w:t xml:space="preserve">Število prejetih zadev v postopkih zaradi insolventnosti in prisilnega prenehanja v obdobju 2021 – 2025 </w:t>
      </w:r>
    </w:p>
    <w:p w14:paraId="4CF2589E"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color w:val="007466"/>
          <w:sz w:val="20"/>
          <w:szCs w:val="20"/>
        </w:rPr>
      </w:pPr>
    </w:p>
    <w:p w14:paraId="083E8F47" w14:textId="77777777" w:rsidR="00695AE2" w:rsidRPr="00CB5050" w:rsidRDefault="00695AE2" w:rsidP="00695AE2">
      <w:pPr>
        <w:tabs>
          <w:tab w:val="left" w:pos="283"/>
        </w:tabs>
        <w:autoSpaceDE w:val="0"/>
        <w:autoSpaceDN w:val="0"/>
        <w:adjustRightInd w:val="0"/>
        <w:spacing w:line="20" w:lineRule="atLeast"/>
        <w:jc w:val="center"/>
        <w:textAlignment w:val="center"/>
        <w:rPr>
          <w:rFonts w:eastAsia="Calibri"/>
          <w:color w:val="005600"/>
          <w:spacing w:val="1"/>
          <w:sz w:val="14"/>
          <w:szCs w:val="14"/>
        </w:rPr>
      </w:pPr>
      <w:r w:rsidRPr="00CB5050">
        <w:rPr>
          <w:rFonts w:eastAsia="Calibri"/>
          <w:noProof/>
          <w:color w:val="005600"/>
          <w:spacing w:val="1"/>
          <w:sz w:val="14"/>
          <w:szCs w:val="14"/>
        </w:rPr>
        <w:lastRenderedPageBreak/>
        <w:drawing>
          <wp:inline distT="0" distB="0" distL="0" distR="0" wp14:anchorId="065694D0" wp14:editId="4297940E">
            <wp:extent cx="4584700" cy="2755900"/>
            <wp:effectExtent l="0" t="0" r="6350" b="6350"/>
            <wp:docPr id="1857688785" name="Slika 5"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8785" name="Slika 5" descr="Slika, ki vsebuje besede besedilo, posnetek zaslona, pravokotnik, številka&#10;&#10;Vsebina, ustvarjena z UI, morda ni praviln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0B3D28" w14:textId="77777777" w:rsidR="00695AE2" w:rsidRPr="00CB5050" w:rsidRDefault="00695AE2" w:rsidP="00695AE2">
      <w:pPr>
        <w:tabs>
          <w:tab w:val="left" w:pos="1440"/>
        </w:tabs>
        <w:spacing w:line="240" w:lineRule="auto"/>
        <w:jc w:val="both"/>
        <w:rPr>
          <w:rFonts w:eastAsia="Calibri"/>
        </w:rPr>
      </w:pPr>
    </w:p>
    <w:p w14:paraId="4136015F" w14:textId="77777777" w:rsidR="00695AE2" w:rsidRPr="00CB5050" w:rsidRDefault="00695AE2" w:rsidP="00695AE2">
      <w:pPr>
        <w:tabs>
          <w:tab w:val="left" w:pos="1440"/>
        </w:tabs>
        <w:spacing w:line="240" w:lineRule="auto"/>
        <w:jc w:val="both"/>
        <w:rPr>
          <w:rFonts w:eastAsia="Calibri"/>
          <w:szCs w:val="22"/>
        </w:rPr>
      </w:pPr>
      <w:r w:rsidRPr="00CB5050">
        <w:rPr>
          <w:rFonts w:eastAsia="Calibri"/>
        </w:rPr>
        <w:t xml:space="preserve">Državno odvetništvo RS poudarja, da na število prejetih zadev, število zadev v delu in število zaključenih zadev v posameznem letu dejansko nima vpliva, saj postopke zaradi insolventnosti in prisilnega prenehanja vodi na podlagi obvestil zastopanih subjektov, ki bodisi zahtevajo uvedbo posameznega postopka ali pa prijavo terjatev v tovrstne postopke. Sicer je iz grafikona mogoče razbrati, da število novih zadev v postopkih insolventnosti in prisilnega prenehanja kaže na stabilen trend teh postopkov, saj je število novih zadev iz tega delovnega področja v zadnjih petih letih precej enakomerno in v povprečju dosega 4.414 novih zadev na leto.  </w:t>
      </w:r>
      <w:r w:rsidRPr="00CB5050">
        <w:rPr>
          <w:rFonts w:eastAsia="Calibri"/>
          <w:szCs w:val="22"/>
        </w:rPr>
        <w:t>Sicer je bilo število prejetih zadev na področju postopkov zaradi insolventnosti in prisilnega prenehanja v letih 2021, 2022 ter 2024 na približno enaki ravni, v letu 2021 ter v letu 2025 je bilo primerjalno nekoliko višje, v letu 2023 pa nekoliko nižje kot v večini let analiziranega obdobja. Število novih zadev iz tega področja sicer za leto 2025 odstopa nekoliko navzgor od dolgoletnega povprečja, vendar po oceni Državnega odvetništva RS ne utemeljuje nobenih posebnih zaključkov; g</w:t>
      </w:r>
      <w:r w:rsidRPr="00CB5050">
        <w:rPr>
          <w:rFonts w:eastAsia="Calibri"/>
        </w:rPr>
        <w:t>ledano v širšem družbenem kontekstu gre na splošno pravzaprav za spodbudne podatke, saj je iz njih mogoče sklepati na stabilno poslovanje gospodarskih subjektov.</w:t>
      </w:r>
      <w:r w:rsidRPr="00CB5050">
        <w:rPr>
          <w:rFonts w:eastAsia="Calibri"/>
          <w:szCs w:val="22"/>
        </w:rPr>
        <w:t xml:space="preserve"> </w:t>
      </w:r>
    </w:p>
    <w:p w14:paraId="4FDF6B2F" w14:textId="77777777" w:rsidR="00695AE2" w:rsidRPr="00CB5050" w:rsidRDefault="00695AE2" w:rsidP="00695AE2">
      <w:pPr>
        <w:keepNext/>
        <w:keepLines/>
        <w:spacing w:line="240" w:lineRule="auto"/>
        <w:jc w:val="both"/>
        <w:outlineLvl w:val="4"/>
        <w:rPr>
          <w:rFonts w:eastAsia="Times New Roman"/>
          <w:b/>
          <w:color w:val="007466"/>
          <w:sz w:val="28"/>
          <w:szCs w:val="22"/>
        </w:rPr>
      </w:pPr>
    </w:p>
    <w:p w14:paraId="491FC377" w14:textId="77777777" w:rsidR="00695AE2" w:rsidRPr="00CB5050" w:rsidRDefault="00695AE2" w:rsidP="00695AE2">
      <w:pPr>
        <w:pStyle w:val="Naslov3"/>
      </w:pPr>
      <w:bookmarkStart w:id="784" w:name="_Toc95149780"/>
      <w:bookmarkStart w:id="785" w:name="_Toc168845010"/>
      <w:bookmarkStart w:id="786" w:name="_Toc191561993"/>
      <w:bookmarkStart w:id="787" w:name="_Toc223093989"/>
      <w:r w:rsidRPr="00CB5050">
        <w:t>Ukrepi za obvladovanje zadev in priporočila Državnega odvetništva RS</w:t>
      </w:r>
      <w:bookmarkEnd w:id="784"/>
      <w:bookmarkEnd w:id="785"/>
      <w:bookmarkEnd w:id="786"/>
      <w:bookmarkEnd w:id="787"/>
    </w:p>
    <w:p w14:paraId="629A7A74" w14:textId="77777777" w:rsidR="00695AE2" w:rsidRPr="00CB5050" w:rsidRDefault="00695AE2" w:rsidP="00695AE2">
      <w:pPr>
        <w:spacing w:line="240" w:lineRule="auto"/>
        <w:rPr>
          <w:rFonts w:eastAsia="Calibri"/>
          <w:sz w:val="28"/>
          <w:szCs w:val="28"/>
        </w:rPr>
      </w:pPr>
    </w:p>
    <w:p w14:paraId="5B58A641" w14:textId="77777777" w:rsidR="00695AE2" w:rsidRPr="00CB5050" w:rsidRDefault="00695AE2" w:rsidP="00695AE2">
      <w:pPr>
        <w:pStyle w:val="Naslov4"/>
      </w:pPr>
      <w:bookmarkStart w:id="788" w:name="_Toc168845011"/>
      <w:bookmarkStart w:id="789" w:name="_Toc191561994"/>
      <w:bookmarkStart w:id="790" w:name="_Toc223093990"/>
      <w:r w:rsidRPr="00CB5050">
        <w:t>Splošno</w:t>
      </w:r>
      <w:bookmarkEnd w:id="788"/>
      <w:bookmarkEnd w:id="789"/>
      <w:bookmarkEnd w:id="790"/>
    </w:p>
    <w:p w14:paraId="72EEFDF3" w14:textId="77777777" w:rsidR="00695AE2" w:rsidRPr="00CB5050" w:rsidRDefault="00695AE2" w:rsidP="00695AE2">
      <w:pPr>
        <w:spacing w:line="240" w:lineRule="auto"/>
        <w:jc w:val="both"/>
        <w:rPr>
          <w:rFonts w:eastAsia="Calibri"/>
          <w:bCs/>
        </w:rPr>
      </w:pPr>
    </w:p>
    <w:p w14:paraId="55915A86" w14:textId="77777777" w:rsidR="00695AE2" w:rsidRPr="00CB5050" w:rsidRDefault="00695AE2" w:rsidP="00695AE2">
      <w:pPr>
        <w:spacing w:line="240" w:lineRule="auto"/>
        <w:jc w:val="both"/>
        <w:rPr>
          <w:rFonts w:eastAsia="Calibri"/>
          <w:bCs/>
          <w:szCs w:val="22"/>
        </w:rPr>
      </w:pPr>
      <w:r w:rsidRPr="00CB5050">
        <w:rPr>
          <w:rFonts w:eastAsia="Calibri"/>
          <w:bCs/>
        </w:rPr>
        <w:t xml:space="preserve">Državno odvetništvo RS ves čas spremlja </w:t>
      </w:r>
      <w:r w:rsidRPr="00CB5050">
        <w:rPr>
          <w:rFonts w:eastAsia="Calibri"/>
        </w:rPr>
        <w:t xml:space="preserve">celotni potek </w:t>
      </w:r>
      <w:r w:rsidRPr="00CB5050">
        <w:rPr>
          <w:rFonts w:eastAsia="Calibri"/>
          <w:bCs/>
        </w:rPr>
        <w:t>insolventnega postopka</w:t>
      </w:r>
      <w:r w:rsidRPr="00CB5050">
        <w:rPr>
          <w:rFonts w:eastAsia="Calibri"/>
          <w:bCs/>
          <w:szCs w:val="22"/>
        </w:rPr>
        <w:t xml:space="preserve"> ter iz vidika upnika skrbi, da je insolventni postopek izveden v skladu z zakonodajo. Tako Državno odvetništvo RS dnevno spremlja objave sklepov in pisanj sodišč, izdanih v postopkih zaradi insolventnosti na spletnem portalu Ajpes in portalu e-Sodstvo, </w:t>
      </w:r>
      <w:r w:rsidRPr="00CB5050">
        <w:rPr>
          <w:rFonts w:eastAsia="Calibri"/>
        </w:rPr>
        <w:t>nosilce terjatev obvešča o opravljenih procesnih dejanjih</w:t>
      </w:r>
      <w:r w:rsidRPr="00CB5050">
        <w:rPr>
          <w:rFonts w:eastAsia="Calibri"/>
          <w:bCs/>
        </w:rPr>
        <w:t xml:space="preserve"> in skrbi, da se zagotovijo najugodnejši pogoji glede višine plačila ter rokov za plačilo terjatev Republike Slovenije in državnih organov, ki jih zastopa, na način, da vlaga ugovore, pritožbe in druge vloge na sodišče, </w:t>
      </w:r>
      <w:r w:rsidRPr="00CB5050">
        <w:rPr>
          <w:rFonts w:eastAsia="Calibri"/>
        </w:rPr>
        <w:t>se udeležuje narokov in upniških odborov</w:t>
      </w:r>
      <w:r w:rsidRPr="00CB5050">
        <w:rPr>
          <w:rFonts w:eastAsia="Calibri"/>
          <w:bCs/>
          <w:szCs w:val="22"/>
        </w:rPr>
        <w:t xml:space="preserve">, skrbi za pravično razdelitev stečajne mase, </w:t>
      </w:r>
      <w:r w:rsidRPr="00CB5050">
        <w:rPr>
          <w:rFonts w:eastAsia="Calibri"/>
          <w:bCs/>
        </w:rPr>
        <w:t xml:space="preserve">sodeluje s stečajnimi upravitelji, </w:t>
      </w:r>
      <w:r w:rsidRPr="00CB5050">
        <w:rPr>
          <w:rFonts w:eastAsia="Calibri"/>
          <w:bCs/>
          <w:szCs w:val="22"/>
        </w:rPr>
        <w:t xml:space="preserve">preverja izplačila nagrad stečajnega upravitelja (ob tem Državno odvetništvo RS opozarja na visoke stroške stečajnih upraviteljev) in podobno. Državno odvetništvo RS tudi ugotavlja, da  stečajni </w:t>
      </w:r>
      <w:r w:rsidRPr="00CB5050">
        <w:rPr>
          <w:rFonts w:eastAsia="Calibri"/>
          <w:bCs/>
          <w:szCs w:val="22"/>
        </w:rPr>
        <w:lastRenderedPageBreak/>
        <w:t>sodniki pogosto sledijo predlogom stečajnih upraviteljev nekritično, kar ima za posledico potrebo po večji aktivnosti upnikov in posledično več pritožb.</w:t>
      </w:r>
    </w:p>
    <w:p w14:paraId="444A9B46" w14:textId="77777777" w:rsidR="00695AE2" w:rsidRPr="00CB5050" w:rsidRDefault="00695AE2" w:rsidP="00695AE2">
      <w:pPr>
        <w:spacing w:line="240" w:lineRule="auto"/>
        <w:jc w:val="both"/>
        <w:rPr>
          <w:rFonts w:eastAsia="Calibri"/>
          <w:bCs/>
          <w:szCs w:val="22"/>
        </w:rPr>
      </w:pPr>
    </w:p>
    <w:p w14:paraId="7D33A90A" w14:textId="77777777" w:rsidR="00695AE2" w:rsidRPr="00CB5050" w:rsidRDefault="00695AE2" w:rsidP="00695AE2">
      <w:pPr>
        <w:spacing w:line="240" w:lineRule="auto"/>
        <w:jc w:val="both"/>
        <w:rPr>
          <w:rFonts w:eastAsia="Times New Roman"/>
          <w:lang w:eastAsia="sl-SI"/>
        </w:rPr>
      </w:pPr>
      <w:r w:rsidRPr="00CB5050">
        <w:rPr>
          <w:rFonts w:eastAsia="Calibri"/>
          <w:bCs/>
          <w:szCs w:val="22"/>
        </w:rPr>
        <w:t xml:space="preserve">Državno odvetništvo RS sicer v postopkih </w:t>
      </w:r>
      <w:r w:rsidRPr="00CB5050">
        <w:rPr>
          <w:rFonts w:eastAsia="Calibri"/>
          <w:bCs/>
        </w:rPr>
        <w:t xml:space="preserve">zaradi insolventnosti in prisilnega prenehanja </w:t>
      </w:r>
      <w:r w:rsidRPr="00CB5050">
        <w:rPr>
          <w:rFonts w:eastAsia="Calibri"/>
          <w:bCs/>
          <w:szCs w:val="22"/>
        </w:rPr>
        <w:t xml:space="preserve">opaža večjo dejavnost stečajnih upraviteljev glede unovčevanja premoženja stečajnega dolžnika in se upniki tako lahko vsaj delno poplačajo. Državno odvetništvo RS sicer v nekaterih stečajnih postopkih opaža, da so dejavnosti stečajnih upraviteljev v zvezi z morebitnim nadaljevanjem proizvodnje stečajnega dolžnika minimalne in da tudi pri prodaji premoženja stečajnega dolžnika ne upoštevajo interesov upnikov v največji možni meri. </w:t>
      </w:r>
      <w:r w:rsidRPr="00CB5050">
        <w:rPr>
          <w:rFonts w:eastAsia="Times New Roman"/>
          <w:lang w:eastAsia="sl-SI"/>
        </w:rPr>
        <w:t>Še vedno je precej stečajev pravnih oseb, ki so »prazni stečaji«, torej stečaji brez vrednosti stečajne mase ali z zelo nizko vrednostjo stečajne mase, kar se pozna tudi v hitrosti teka samega postopka in njihovem hitrejšem zaključevanju.</w:t>
      </w:r>
    </w:p>
    <w:p w14:paraId="41E8D1F4" w14:textId="77777777" w:rsidR="00695AE2" w:rsidRPr="00CB5050" w:rsidRDefault="00695AE2" w:rsidP="00695AE2">
      <w:pPr>
        <w:spacing w:line="240" w:lineRule="auto"/>
        <w:jc w:val="both"/>
        <w:rPr>
          <w:rFonts w:eastAsia="Calibri"/>
          <w:bCs/>
          <w:szCs w:val="22"/>
        </w:rPr>
      </w:pPr>
    </w:p>
    <w:p w14:paraId="1BCB5815" w14:textId="77777777" w:rsidR="00695AE2" w:rsidRPr="00CB5050" w:rsidRDefault="00695AE2" w:rsidP="00695AE2">
      <w:pPr>
        <w:spacing w:line="240" w:lineRule="auto"/>
        <w:jc w:val="both"/>
        <w:rPr>
          <w:rFonts w:eastAsia="Calibri"/>
          <w:bCs/>
          <w:szCs w:val="22"/>
        </w:rPr>
      </w:pPr>
      <w:r w:rsidRPr="00CB5050">
        <w:rPr>
          <w:rFonts w:eastAsia="Calibri"/>
          <w:bCs/>
          <w:szCs w:val="22"/>
        </w:rPr>
        <w:t>Izziv, s katerim se Državno odvetništvo RS srečuje v postopkih zaradi insolventnosti, so tudi primeri, v katerih stečajni upravitelj prizna ločitveno pravico na podlagi 298. člena ZFPPIPP. Navedeni člen zajema primere, ko je po stanju ob začetku stečajnega postopka na nepremičnini vknjižena lastninska pravica v korist stečajnega dolžnika in je ta lastninska pravica omejena z vknjiženo hipoteko ali maksimalno hipoteko, katere vknjižba je začela učinkovati pred začetkom stečajnega postopka. To pomeni, da za navedeno terjatev velja, da je ta  v stečajnem postopku pravočasno prijavljena in zavarovana z njo ter da stečajni upravitelj v osnovni seznam preizkušenih terjatev to hipoteko ali maksimalno hipoteko in terjatev, zavarovano z njo mora vključiti, in sicer tudi v primeru, če ju upnik ni prijavil v roku za prijavo iz drugega odstavka 59. člena ZFPPIPP. Težava nastane, kadar je takšna pravica priznana na podlagi pravnega posla, sklenjenega izpred dvajset ali več let, saj iz vpisa v zemljiški knjigi ne izhaja, kdo je upnik takšne terjatve, in ali terjatev sploh še obstaja. Ugotovitev dejanskega stanja tako zahteva s strani Državnega odvetništva RS veliko dodatnega časa in napora.</w:t>
      </w:r>
    </w:p>
    <w:p w14:paraId="62FEDA52" w14:textId="77777777" w:rsidR="00695AE2" w:rsidRPr="00CB5050" w:rsidRDefault="00695AE2" w:rsidP="00695AE2">
      <w:pPr>
        <w:spacing w:line="240" w:lineRule="auto"/>
        <w:jc w:val="both"/>
        <w:rPr>
          <w:rFonts w:eastAsia="Calibri"/>
          <w:bCs/>
          <w:szCs w:val="22"/>
        </w:rPr>
      </w:pPr>
    </w:p>
    <w:p w14:paraId="660A5A92" w14:textId="77777777" w:rsidR="00695AE2" w:rsidRPr="00CB5050" w:rsidRDefault="00695AE2" w:rsidP="00695AE2">
      <w:pPr>
        <w:pStyle w:val="Naslov4"/>
        <w:ind w:left="0" w:firstLine="0"/>
      </w:pPr>
      <w:bookmarkStart w:id="791" w:name="_Toc223093991"/>
      <w:r w:rsidRPr="00CB5050">
        <w:t>Delovna skupina za sodelovanje s Finančno upravo Republike Slovenije – aktivnosti skupine glede postopkov zaradi insolventnosti in prisilnega prenehanja</w:t>
      </w:r>
      <w:bookmarkEnd w:id="791"/>
    </w:p>
    <w:p w14:paraId="36418AA0" w14:textId="77777777" w:rsidR="00695AE2" w:rsidRPr="00CB5050" w:rsidRDefault="00695AE2" w:rsidP="00695AE2">
      <w:pPr>
        <w:widowControl w:val="0"/>
        <w:tabs>
          <w:tab w:val="left" w:pos="1440"/>
        </w:tabs>
        <w:spacing w:line="240" w:lineRule="auto"/>
        <w:jc w:val="both"/>
        <w:rPr>
          <w:rFonts w:eastAsia="Calibri"/>
          <w:color w:val="000000"/>
          <w:szCs w:val="22"/>
        </w:rPr>
      </w:pPr>
    </w:p>
    <w:p w14:paraId="0B6FF212" w14:textId="77777777" w:rsidR="00695AE2" w:rsidRPr="00CB5050" w:rsidRDefault="00695AE2" w:rsidP="00695AE2">
      <w:pPr>
        <w:widowControl w:val="0"/>
        <w:tabs>
          <w:tab w:val="left" w:pos="1440"/>
        </w:tabs>
        <w:spacing w:line="240" w:lineRule="auto"/>
        <w:jc w:val="both"/>
        <w:rPr>
          <w:rFonts w:eastAsia="Calibri"/>
          <w:color w:val="000000"/>
          <w:szCs w:val="22"/>
        </w:rPr>
      </w:pPr>
      <w:r w:rsidRPr="00CB5050">
        <w:rPr>
          <w:rFonts w:eastAsia="Calibri"/>
          <w:color w:val="000000"/>
          <w:szCs w:val="22"/>
        </w:rPr>
        <w:t xml:space="preserve">Delovna skupina za sodelovanje s FURS (glej tudi tč. </w:t>
      </w:r>
      <w:r w:rsidRPr="00CB5050">
        <w:rPr>
          <w:rFonts w:eastAsia="Calibri"/>
          <w:szCs w:val="22"/>
        </w:rPr>
        <w:t xml:space="preserve">1.5.4.7.3) </w:t>
      </w:r>
      <w:r w:rsidRPr="00CB5050">
        <w:rPr>
          <w:rFonts w:eastAsia="Calibri"/>
          <w:color w:val="000000"/>
          <w:szCs w:val="22"/>
        </w:rPr>
        <w:t xml:space="preserve">je že pripravila stališča za poenoteno postopanje v izvršilnih spisih s temeljem 1073 – terjatev po pogodbi o odstopu po 11. členu 233. člena ZFPPIPP. Do uveljavitve Zakona o spremembah in dopolnitvah Zakona o finančnem poslovanju, postopkih zaradi insolventnosti in prisilnem prenehanju – ZFPPIPP-I (v nadaljevanju ZFPPIPP-I) je podpisnik pogodbe o odstopu terjatve, v primerih, ko je predujem založil FURS in če ta privoli v prevzem terjatve, Državno odvetništvo RS; pred prenosom terjatve je stečajni upravitelj dolžan izvesti aktivnosti za povračilo založenega predujma (kar pomeni, da mora izkazati, da je osebam, ki jim je bilo naloženo plačilo stroškov postopka, poslal poziv k plačilu). Sprememba ZFPPIPP-I je začela veljati v juniju 2025 in se je nanašala tudi na določilo 233. člena ZFPPIPP, pri katerem je bilo dodano, da  upravitelj v končnem poročilu navede osebo in terjatev, ki je bila prenesena, in osebo, na katero je bila terjatev prenesena, in se tako izkaže prehod terjatve v skladu z določbami zakona, ki ureja izvršbo in zavarovanje. Končno poročilo upravitelja v delu, ki se nanaša na to terjatev in njen prenos, torej predstavlja javno listino v smislu 24. člena Zakona o izvršbi in zavarovanju, zato sklepanje pogodb o odstopu terjatev ni več potrebno. </w:t>
      </w:r>
    </w:p>
    <w:p w14:paraId="60A65D20" w14:textId="77777777" w:rsidR="00695AE2" w:rsidRPr="00CB5050" w:rsidRDefault="00695AE2" w:rsidP="00695AE2">
      <w:pPr>
        <w:widowControl w:val="0"/>
        <w:tabs>
          <w:tab w:val="left" w:pos="1440"/>
        </w:tabs>
        <w:spacing w:line="240" w:lineRule="auto"/>
        <w:jc w:val="both"/>
        <w:rPr>
          <w:rFonts w:eastAsia="Calibri"/>
          <w:color w:val="000000"/>
          <w:szCs w:val="22"/>
        </w:rPr>
      </w:pPr>
    </w:p>
    <w:p w14:paraId="694F847E" w14:textId="77777777" w:rsidR="00695AE2" w:rsidRPr="00CB5050" w:rsidRDefault="00695AE2" w:rsidP="00695AE2">
      <w:pPr>
        <w:widowControl w:val="0"/>
        <w:tabs>
          <w:tab w:val="left" w:pos="1440"/>
        </w:tabs>
        <w:spacing w:line="240" w:lineRule="auto"/>
        <w:jc w:val="both"/>
        <w:rPr>
          <w:rFonts w:eastAsia="Calibri"/>
          <w:color w:val="000000"/>
          <w:szCs w:val="22"/>
        </w:rPr>
      </w:pPr>
      <w:r w:rsidRPr="00CB5050">
        <w:rPr>
          <w:rFonts w:eastAsia="Calibri"/>
          <w:color w:val="000000"/>
          <w:szCs w:val="22"/>
        </w:rPr>
        <w:t xml:space="preserve">Delovna skupina se je seznanila tudi z obveščanjem FURS o posameznih objavah iz Ajpesa po </w:t>
      </w:r>
      <w:r w:rsidRPr="00CB5050">
        <w:rPr>
          <w:rFonts w:eastAsia="Calibri"/>
          <w:color w:val="000000"/>
          <w:szCs w:val="22"/>
        </w:rPr>
        <w:lastRenderedPageBreak/>
        <w:t xml:space="preserve">posameznih oddelkih. Ugotovljeno je bilo, da je praksa posameznih oddelkov Državnega odvetništva RS sicer različna, vendar na posameznih oddelkih usklajena tudi s pristojnim finančnim uradom ter da že več let poteka na enak način. Določene finančne urade se tako o določenih objavah na Ajpesu le obvešča (brez prilog), določenim finančnim uradom pa se skupaj z obvestilom pošiljajo tudi priložene listine iz Ajpesa (tudi na njihovo zaprosilo). Kljub temu, da je naloga delovne skupine tudi zagotavljanje čim bolj poenotenega ravnanja pri obravnavi zadev iz naslova postopkov zaradi insolventnosti in prisilnega prenehanja, je delovna skupina zavzela stališče, da poenotenje ne bi bilo smiselno, saj bi lahko povzročilo dodatne nejasnosti pri že ustaljenem delu na oddelkih in tudi na posameznih finančnih uradih. Pomembno pa je, da Državno odvetništvo RS pri obveščanju glede objav iz Ajpesa ravna v skladu s 6. členom Pravilnika o postopku uveljavljanja terjatev Republike Slovenije v postopkih zaradi insolventnosti in obvešča skrbnika terjatve, torej tudi FURS, o zadevah in poteku postopkov, ki se nanašajo na obstoj in višino terjatve. </w:t>
      </w:r>
    </w:p>
    <w:p w14:paraId="2A9AB6E2" w14:textId="77777777" w:rsidR="00695AE2" w:rsidRPr="00CB5050" w:rsidRDefault="00695AE2" w:rsidP="00695AE2">
      <w:pPr>
        <w:pStyle w:val="Jasna"/>
      </w:pPr>
      <w:bookmarkStart w:id="792" w:name="_Toc95149787"/>
      <w:bookmarkStart w:id="793" w:name="_Toc168845012"/>
      <w:bookmarkStart w:id="794" w:name="_Toc191561995"/>
      <w:bookmarkStart w:id="795" w:name="_Toc95149785"/>
      <w:bookmarkStart w:id="796" w:name="_Hlk95985322"/>
    </w:p>
    <w:p w14:paraId="0C66BF2A" w14:textId="77777777" w:rsidR="00695AE2" w:rsidRPr="00CB5050" w:rsidRDefault="00695AE2" w:rsidP="00695AE2">
      <w:pPr>
        <w:pStyle w:val="Naslov4"/>
        <w:ind w:left="0" w:firstLine="0"/>
      </w:pPr>
      <w:bookmarkStart w:id="797" w:name="_Toc223093992"/>
      <w:r w:rsidRPr="00CB5050">
        <w:t>Uveljavljanje terjatev Republike Slovenije v insolventnih postopkih z mednarodnim elementom</w:t>
      </w:r>
      <w:bookmarkEnd w:id="792"/>
      <w:bookmarkEnd w:id="793"/>
      <w:bookmarkEnd w:id="794"/>
      <w:bookmarkEnd w:id="797"/>
    </w:p>
    <w:p w14:paraId="5CC07789" w14:textId="77777777" w:rsidR="00695AE2" w:rsidRPr="00CB5050" w:rsidRDefault="00695AE2" w:rsidP="00695AE2">
      <w:pPr>
        <w:spacing w:line="240" w:lineRule="auto"/>
        <w:jc w:val="both"/>
        <w:rPr>
          <w:rFonts w:eastAsia="Calibri"/>
        </w:rPr>
      </w:pPr>
      <w:r w:rsidRPr="00CB5050">
        <w:rPr>
          <w:rFonts w:eastAsia="Calibri"/>
        </w:rPr>
        <w:t xml:space="preserve"> </w:t>
      </w:r>
    </w:p>
    <w:p w14:paraId="5EB6B555" w14:textId="77777777" w:rsidR="00695AE2" w:rsidRPr="00CB5050" w:rsidRDefault="00695AE2" w:rsidP="00695AE2">
      <w:pPr>
        <w:spacing w:line="240" w:lineRule="auto"/>
        <w:jc w:val="both"/>
        <w:rPr>
          <w:rFonts w:eastAsia="Calibri"/>
          <w:shd w:val="clear" w:color="auto" w:fill="FFFFFF"/>
        </w:rPr>
      </w:pPr>
      <w:r w:rsidRPr="00CB5050">
        <w:rPr>
          <w:rFonts w:eastAsia="Calibri"/>
          <w:shd w:val="clear" w:color="auto" w:fill="FFFFFF"/>
        </w:rPr>
        <w:t>Uredba o postopkih v primeru insolventnosti</w:t>
      </w:r>
      <w:r w:rsidRPr="00CB5050">
        <w:rPr>
          <w:rFonts w:eastAsia="Calibri"/>
          <w:shd w:val="clear" w:color="auto" w:fill="FFFFFF"/>
          <w:vertAlign w:val="superscript"/>
        </w:rPr>
        <w:footnoteReference w:id="27"/>
      </w:r>
      <w:r w:rsidRPr="00CB5050">
        <w:rPr>
          <w:rFonts w:eastAsia="Calibri"/>
          <w:shd w:val="clear" w:color="auto" w:fill="FFFFFF"/>
        </w:rPr>
        <w:t xml:space="preserve"> ureja postopek v primeru insolventnosti posameznika ali podjetja, ki redno posluje v drugi državi članici Evropske unije. Skladno z uredbo se domneva, da je za uvedbo postopka v primeru insolventnosti pristojno sodišče države članice, v kateri ima dolžnik, ki je pravna oseba, registriran sedež; v kateri posameznik, ki opravlja poslovno ali poklicno dejavnost, posluje; v primeru potrošnika, kjer ima potrošnik običajno prebivališče.</w:t>
      </w:r>
    </w:p>
    <w:p w14:paraId="225773AB" w14:textId="77777777" w:rsidR="00695AE2" w:rsidRPr="00CB5050" w:rsidRDefault="00695AE2" w:rsidP="00695AE2">
      <w:pPr>
        <w:spacing w:line="240" w:lineRule="auto"/>
        <w:jc w:val="both"/>
        <w:rPr>
          <w:rFonts w:eastAsia="Calibri"/>
          <w:shd w:val="clear" w:color="auto" w:fill="FFFFFF"/>
        </w:rPr>
      </w:pPr>
    </w:p>
    <w:p w14:paraId="0FFD2F48" w14:textId="77777777" w:rsidR="00695AE2" w:rsidRPr="00CB5050" w:rsidRDefault="00695AE2" w:rsidP="00695AE2">
      <w:pPr>
        <w:spacing w:line="240" w:lineRule="auto"/>
        <w:jc w:val="both"/>
        <w:rPr>
          <w:rFonts w:eastAsia="Calibri"/>
          <w:shd w:val="clear" w:color="auto" w:fill="FFFFFF"/>
        </w:rPr>
      </w:pPr>
      <w:r w:rsidRPr="00CB5050">
        <w:rPr>
          <w:rFonts w:eastAsia="Calibri"/>
          <w:shd w:val="clear" w:color="auto" w:fill="FFFFFF"/>
        </w:rPr>
        <w:t xml:space="preserve">Za države, za katere ne velja navedena uredba (zunaj EU), Državno odvetništvo RS opravi ustrezne poizvedbe in prijavi terjatve skladno z njihovim pravom. </w:t>
      </w:r>
    </w:p>
    <w:p w14:paraId="7F0B8D8E" w14:textId="77777777" w:rsidR="00695AE2" w:rsidRPr="00CB5050" w:rsidRDefault="00695AE2" w:rsidP="00695AE2">
      <w:pPr>
        <w:spacing w:line="240" w:lineRule="auto"/>
        <w:jc w:val="both"/>
        <w:rPr>
          <w:rFonts w:eastAsia="Calibri"/>
          <w:shd w:val="clear" w:color="auto" w:fill="FFFFFF"/>
        </w:rPr>
      </w:pPr>
    </w:p>
    <w:p w14:paraId="79428DD3"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Državnem odvetništvu RS na sedežu v Ljubljani je bilo v letu 2025 na podlagi </w:t>
      </w:r>
      <w:r w:rsidRPr="00CB5050">
        <w:rPr>
          <w:rFonts w:eastAsia="Calibri"/>
          <w:color w:val="000000"/>
          <w:szCs w:val="22"/>
        </w:rPr>
        <w:t>Uredbe o postopkih v primeru insolventnosti</w:t>
      </w:r>
      <w:r w:rsidRPr="00CB5050">
        <w:rPr>
          <w:rFonts w:eastAsia="Calibri"/>
          <w:szCs w:val="22"/>
        </w:rPr>
        <w:t xml:space="preserve"> prijavljenih 22 prijav terjatev v insolventne postopke nad pravnimi in fizičnimi osebami, ki so se vodili pred sodišči v Nemčiji, Hrvaški, Nizozemskem, Italiji, Češki, Slovaški, Romuniji, Avstriji, Srbiji, Švedski in Veliki Britaniji. </w:t>
      </w:r>
    </w:p>
    <w:p w14:paraId="0947C0A1" w14:textId="77777777" w:rsidR="00695AE2" w:rsidRPr="00CB5050" w:rsidRDefault="00695AE2" w:rsidP="00695AE2">
      <w:pPr>
        <w:spacing w:line="240" w:lineRule="auto"/>
        <w:jc w:val="both"/>
        <w:rPr>
          <w:rFonts w:eastAsia="Calibri"/>
          <w:szCs w:val="22"/>
        </w:rPr>
      </w:pPr>
    </w:p>
    <w:p w14:paraId="20B5A666" w14:textId="77777777" w:rsidR="00695AE2" w:rsidRPr="00CB5050" w:rsidRDefault="00695AE2" w:rsidP="00695AE2">
      <w:pPr>
        <w:spacing w:line="240" w:lineRule="auto"/>
        <w:jc w:val="both"/>
        <w:rPr>
          <w:rFonts w:eastAsia="Calibri"/>
          <w:bCs/>
        </w:rPr>
      </w:pPr>
      <w:r w:rsidRPr="00CB5050">
        <w:rPr>
          <w:rFonts w:eastAsia="Calibri"/>
          <w:szCs w:val="22"/>
        </w:rPr>
        <w:t xml:space="preserve">Državno odvetništvo RS v navedenih zadevah spremlja stečajni postopek, </w:t>
      </w:r>
      <w:r w:rsidRPr="00CB5050">
        <w:rPr>
          <w:rFonts w:eastAsia="Calibri"/>
          <w:bCs/>
        </w:rPr>
        <w:t xml:space="preserve">po potrebi periodično opravlja poizvedbe </w:t>
      </w:r>
      <w:r w:rsidRPr="00CB5050">
        <w:rPr>
          <w:rFonts w:eastAsia="Calibri"/>
          <w:szCs w:val="22"/>
        </w:rPr>
        <w:t>pri stečajnih upraviteljih oziroma stečajnem sodišču o samem poteku postopka</w:t>
      </w:r>
      <w:r w:rsidRPr="00CB5050">
        <w:rPr>
          <w:rFonts w:eastAsia="Calibri"/>
          <w:bCs/>
        </w:rPr>
        <w:t xml:space="preserve"> ter spremlja objave na spletnih straneh, namenjene insolvenčnim postopkom, če so v posameznih državah vzpostavljene. </w:t>
      </w:r>
      <w:bookmarkEnd w:id="795"/>
      <w:bookmarkEnd w:id="796"/>
    </w:p>
    <w:p w14:paraId="73BD5C96" w14:textId="77777777" w:rsidR="00695AE2" w:rsidRPr="00CB5050" w:rsidRDefault="00695AE2" w:rsidP="00695AE2">
      <w:pPr>
        <w:spacing w:line="240" w:lineRule="auto"/>
        <w:jc w:val="both"/>
        <w:rPr>
          <w:rFonts w:eastAsia="Calibri"/>
          <w:bCs/>
        </w:rPr>
      </w:pPr>
    </w:p>
    <w:p w14:paraId="4295D5E9" w14:textId="77777777" w:rsidR="00695AE2" w:rsidRPr="00CB5050" w:rsidRDefault="00695AE2" w:rsidP="00695AE2">
      <w:pPr>
        <w:spacing w:line="240" w:lineRule="auto"/>
        <w:jc w:val="both"/>
        <w:rPr>
          <w:rFonts w:eastAsia="Calibri"/>
          <w:bCs/>
        </w:rPr>
      </w:pPr>
      <w:r w:rsidRPr="00CB5050">
        <w:rPr>
          <w:rFonts w:eastAsia="Calibri"/>
          <w:bCs/>
        </w:rPr>
        <w:t xml:space="preserve">Sicer je za vlaganje prijav v postopke zaradi insolventnosti, ki se vodijo v tujini, skladno z odredbo generalne državne odvetnice izključno pristojen Civilnopravni in gospodarski oddelek na sedežu Državnega odvetništva RS v Ljubljani. </w:t>
      </w:r>
    </w:p>
    <w:p w14:paraId="093C2962" w14:textId="77777777" w:rsidR="00695AE2" w:rsidRPr="00CB5050" w:rsidRDefault="00695AE2" w:rsidP="00695AE2">
      <w:pPr>
        <w:spacing w:line="240" w:lineRule="auto"/>
        <w:jc w:val="both"/>
        <w:rPr>
          <w:rFonts w:eastAsia="Calibri"/>
          <w:bCs/>
        </w:rPr>
      </w:pPr>
    </w:p>
    <w:p w14:paraId="640C50FE" w14:textId="77777777" w:rsidR="00695AE2" w:rsidRPr="00CB5050" w:rsidRDefault="00695AE2" w:rsidP="00695AE2">
      <w:pPr>
        <w:pStyle w:val="Naslov4"/>
        <w:ind w:left="0" w:firstLine="0"/>
      </w:pPr>
      <w:bookmarkStart w:id="798" w:name="_Toc223093993"/>
      <w:r w:rsidRPr="00CB5050">
        <w:rPr>
          <w:szCs w:val="22"/>
        </w:rPr>
        <w:t>P</w:t>
      </w:r>
      <w:r w:rsidRPr="00CB5050">
        <w:rPr>
          <w:lang w:eastAsia="sl-SI"/>
        </w:rPr>
        <w:t>redlog za dopolnitev Zakona o finančnem poslovanju, postopkih zaradi insolventnosti in prisilnem prenehanju</w:t>
      </w:r>
      <w:r w:rsidRPr="00CB5050">
        <w:rPr>
          <w:szCs w:val="22"/>
        </w:rPr>
        <w:t xml:space="preserve"> (ZFPPIPP)</w:t>
      </w:r>
      <w:bookmarkEnd w:id="798"/>
    </w:p>
    <w:p w14:paraId="478C098C" w14:textId="77777777" w:rsidR="00695AE2" w:rsidRPr="00CB5050" w:rsidRDefault="00695AE2" w:rsidP="00695AE2">
      <w:pPr>
        <w:spacing w:line="240" w:lineRule="auto"/>
        <w:jc w:val="both"/>
        <w:rPr>
          <w:rFonts w:eastAsia="Calibri"/>
          <w:bCs/>
        </w:rPr>
      </w:pPr>
    </w:p>
    <w:p w14:paraId="62572190"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lastRenderedPageBreak/>
        <w:t>V eni od zadev je upnica Republika</w:t>
      </w:r>
      <w:r w:rsidRPr="00CB5050">
        <w:rPr>
          <w:rFonts w:eastAsia="Calibri"/>
          <w:kern w:val="2"/>
          <w14:ligatures w14:val="standardContextual"/>
        </w:rPr>
        <w:t xml:space="preserve"> </w:t>
      </w:r>
      <w:r w:rsidRPr="00CB5050">
        <w:rPr>
          <w:rFonts w:eastAsia="Times New Roman"/>
          <w:lang w:eastAsia="sl-SI"/>
        </w:rPr>
        <w:t>Slovenija, Ministrstvo za finance, Finančna uprava Republike Slovenije, Finančni urad Nova Gorica predlagala uvedbo stečajnega postopka nad dolžnikom. Predlogu je bilo ugodeno in nad dolžnikom je bil začet stečajni postopek. Republika Slovenija je plačala tudi predujem za začetek stečajnega postopka.</w:t>
      </w:r>
    </w:p>
    <w:p w14:paraId="43AF8C1F" w14:textId="77777777" w:rsidR="00695AE2" w:rsidRPr="00CB5050" w:rsidRDefault="00695AE2" w:rsidP="00695AE2">
      <w:pPr>
        <w:spacing w:line="240" w:lineRule="auto"/>
        <w:jc w:val="both"/>
        <w:rPr>
          <w:rFonts w:eastAsia="Times New Roman"/>
          <w:lang w:eastAsia="sl-SI"/>
        </w:rPr>
      </w:pPr>
    </w:p>
    <w:p w14:paraId="409F4FF0"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Po uveljavitvi novele ZFPPIPP-H je začela veljati nova določba devetega odstavka 233. člena ZFPPIPP, ki določa, da morajo v primeru iz drugega odstavka 233. člena ZFPPIPP (ko predujem za začetne stroške stečajnega postopka založi upnik) in sedmega odstavka tega člena (ko začetne stroške stečajnega postopka plača sodišče), če vrednost unovčene stečajne mase ne zadošča za vrnitev založenega zneska predujma ali plačil iz sedmega odstavka tega člena, te stroške plačati osebe, ki so bile člani poslovodstva v zadnjih dveh letih pred začetkom stečajnega postopka. V predmetnem stečajnem postopku je bil izdan sklep o soglasju k plačilu stroškov stečajnega postopka, s katerim se je  bivšemu poslovodji stečajnega dolžnika v plačilo naložilo znesek založenega predujma za začetne stroške stečajnega postopka v višini 2.416,11 evrov.</w:t>
      </w:r>
    </w:p>
    <w:p w14:paraId="3ACA7963" w14:textId="77777777" w:rsidR="00695AE2" w:rsidRPr="00CB5050" w:rsidRDefault="00695AE2" w:rsidP="00695AE2">
      <w:pPr>
        <w:autoSpaceDE w:val="0"/>
        <w:autoSpaceDN w:val="0"/>
        <w:adjustRightInd w:val="0"/>
        <w:spacing w:line="240" w:lineRule="auto"/>
        <w:jc w:val="both"/>
        <w:rPr>
          <w:rFonts w:eastAsia="Times New Roman"/>
          <w:i/>
          <w:lang w:eastAsia="sl-SI"/>
        </w:rPr>
      </w:pPr>
    </w:p>
    <w:p w14:paraId="049FA495" w14:textId="77777777" w:rsidR="00695AE2" w:rsidRPr="00CB5050" w:rsidRDefault="00695AE2" w:rsidP="00695AE2">
      <w:pPr>
        <w:autoSpaceDE w:val="0"/>
        <w:autoSpaceDN w:val="0"/>
        <w:adjustRightInd w:val="0"/>
        <w:spacing w:line="240" w:lineRule="auto"/>
        <w:jc w:val="both"/>
        <w:rPr>
          <w:rFonts w:eastAsia="Times New Roman"/>
          <w:lang w:eastAsia="sl-SI"/>
        </w:rPr>
      </w:pPr>
      <w:r w:rsidRPr="00CB5050">
        <w:rPr>
          <w:rFonts w:eastAsia="Times New Roman"/>
          <w:lang w:eastAsia="sl-SI"/>
        </w:rPr>
        <w:t xml:space="preserve">Glede na to, da je bil v izreku sklepa naveden znesek predujma brez zakonskih zamudnih obresti, je Državno odvetništvo RS opozorilo zastopani subjekt, da bo v primeru, da se odločijo za prevzem terjatve, mogoče od dolžnika terjati le znesek glavnice, brez zakonskih zamudnih obresti. Za vložitev pritožbe zoper sklep se zastopani subjekt ni odločil, saj je obstajala velika verjetnost, da se kot upnik za prevzem take terjatve sploh ne bi odločili. Možnosti za izterjavo take terjatve so namreč v večini primerov zelo majhne, zato tudi ni bilo posebnega interesa, da bi se pritožba zoper sklep, kot je bil prej omenjeni, vložila. </w:t>
      </w:r>
    </w:p>
    <w:p w14:paraId="7B79A4E4" w14:textId="77777777" w:rsidR="00695AE2" w:rsidRPr="00CB5050" w:rsidRDefault="00695AE2" w:rsidP="00695AE2">
      <w:pPr>
        <w:autoSpaceDE w:val="0"/>
        <w:autoSpaceDN w:val="0"/>
        <w:adjustRightInd w:val="0"/>
        <w:spacing w:line="240" w:lineRule="auto"/>
        <w:jc w:val="both"/>
        <w:rPr>
          <w:rFonts w:eastAsia="Times New Roman"/>
          <w:lang w:eastAsia="sl-SI"/>
        </w:rPr>
      </w:pPr>
    </w:p>
    <w:p w14:paraId="04B7CAF3" w14:textId="77777777" w:rsidR="00695AE2" w:rsidRPr="00CB5050" w:rsidRDefault="00695AE2" w:rsidP="00695AE2">
      <w:pPr>
        <w:autoSpaceDE w:val="0"/>
        <w:autoSpaceDN w:val="0"/>
        <w:adjustRightInd w:val="0"/>
        <w:spacing w:line="240" w:lineRule="auto"/>
        <w:jc w:val="both"/>
        <w:rPr>
          <w:rFonts w:eastAsia="Calibri"/>
        </w:rPr>
      </w:pPr>
      <w:r w:rsidRPr="00CB5050">
        <w:rPr>
          <w:rFonts w:eastAsia="Times New Roman"/>
          <w:lang w:eastAsia="sl-SI"/>
        </w:rPr>
        <w:t xml:space="preserve">Ne glede na navedeno pa bi bil po mnenju Državnega odvetništva RS morda smiseln predlog za dopolnitev ZFPPIPP v smislu določitve obveznosti vračila predujma s strani bivšega poslovodje, skupaj z zakonskimi zamudnimi obrestmi, saj se v praksi lahko zgodi, da izterjava zoper bivšega poslovodjo več let ne bi bila uspešna, kar bi pomenilo, da bi terjatev upnika izgubljala na vrednosti, poleg tega pa bivši poslovodja kot dolžnik ne bi imel interesa plačati dolga, ker obresti, ki imajo tako prisilno, kot kaznovalno ter valorizacijsko funkcijo, niso določene. </w:t>
      </w:r>
    </w:p>
    <w:p w14:paraId="19F1732B" w14:textId="77777777" w:rsidR="00695AE2" w:rsidRPr="00CB5050" w:rsidRDefault="00695AE2" w:rsidP="00695AE2">
      <w:pPr>
        <w:spacing w:line="240" w:lineRule="auto"/>
        <w:jc w:val="both"/>
        <w:rPr>
          <w:rFonts w:eastAsia="Calibri"/>
          <w:sz w:val="32"/>
          <w:szCs w:val="32"/>
        </w:rPr>
      </w:pPr>
    </w:p>
    <w:p w14:paraId="5EDBF683" w14:textId="77777777" w:rsidR="00695AE2" w:rsidRPr="00CB5050" w:rsidRDefault="00695AE2" w:rsidP="00695AE2">
      <w:pPr>
        <w:pStyle w:val="Naslov2"/>
      </w:pPr>
      <w:bookmarkStart w:id="799" w:name="_Toc95149789"/>
      <w:bookmarkStart w:id="800" w:name="_Toc168845014"/>
      <w:bookmarkStart w:id="801" w:name="_Toc191561996"/>
      <w:bookmarkStart w:id="802" w:name="_Toc223093994"/>
      <w:r w:rsidRPr="00CB5050">
        <w:t>Nepravdni postopki</w:t>
      </w:r>
      <w:bookmarkEnd w:id="799"/>
      <w:bookmarkEnd w:id="800"/>
      <w:bookmarkEnd w:id="801"/>
      <w:bookmarkEnd w:id="802"/>
    </w:p>
    <w:p w14:paraId="378CDAC7" w14:textId="77777777" w:rsidR="00695AE2" w:rsidRPr="00CB5050" w:rsidRDefault="00695AE2" w:rsidP="00695AE2">
      <w:pPr>
        <w:spacing w:line="240" w:lineRule="auto"/>
        <w:rPr>
          <w:rFonts w:eastAsia="Calibri"/>
          <w:sz w:val="32"/>
          <w:szCs w:val="32"/>
        </w:rPr>
      </w:pPr>
    </w:p>
    <w:p w14:paraId="31B1E04E" w14:textId="77777777" w:rsidR="00695AE2" w:rsidRPr="00CB5050" w:rsidRDefault="00695AE2" w:rsidP="00695AE2">
      <w:pPr>
        <w:pStyle w:val="Naslov3"/>
      </w:pPr>
      <w:bookmarkStart w:id="803" w:name="_Toc95149790"/>
      <w:bookmarkStart w:id="804" w:name="_Toc168845015"/>
      <w:bookmarkStart w:id="805" w:name="_Toc191561997"/>
      <w:bookmarkStart w:id="806" w:name="_Toc223093995"/>
      <w:r w:rsidRPr="00CB5050">
        <w:t>Uvod</w:t>
      </w:r>
      <w:bookmarkEnd w:id="803"/>
      <w:bookmarkEnd w:id="804"/>
      <w:bookmarkEnd w:id="805"/>
      <w:bookmarkEnd w:id="806"/>
    </w:p>
    <w:p w14:paraId="0FF6EC47" w14:textId="77777777" w:rsidR="00695AE2" w:rsidRPr="00CB5050" w:rsidRDefault="00695AE2" w:rsidP="00695AE2">
      <w:pPr>
        <w:spacing w:line="240" w:lineRule="auto"/>
        <w:rPr>
          <w:rFonts w:eastAsia="Calibri"/>
          <w:sz w:val="28"/>
          <w:szCs w:val="28"/>
        </w:rPr>
      </w:pPr>
    </w:p>
    <w:p w14:paraId="0ED30E67" w14:textId="77777777" w:rsidR="00695AE2" w:rsidRPr="00CB5050" w:rsidRDefault="00695AE2" w:rsidP="00695AE2">
      <w:pPr>
        <w:pStyle w:val="Naslov4"/>
      </w:pPr>
      <w:bookmarkStart w:id="807" w:name="_Toc191561998"/>
      <w:bookmarkStart w:id="808" w:name="_Toc223093996"/>
      <w:r w:rsidRPr="00CB5050">
        <w:t>Splošno</w:t>
      </w:r>
      <w:bookmarkEnd w:id="807"/>
      <w:bookmarkEnd w:id="808"/>
    </w:p>
    <w:p w14:paraId="51DC3825" w14:textId="77777777" w:rsidR="00695AE2" w:rsidRPr="00CB5050" w:rsidRDefault="00695AE2" w:rsidP="00695AE2">
      <w:pPr>
        <w:spacing w:line="240" w:lineRule="auto"/>
        <w:jc w:val="both"/>
        <w:rPr>
          <w:rFonts w:eastAsia="Calibri"/>
          <w:lang w:eastAsia="sl-SI"/>
        </w:rPr>
      </w:pPr>
    </w:p>
    <w:p w14:paraId="0862BC29" w14:textId="77777777" w:rsidR="00695AE2" w:rsidRPr="00CB5050" w:rsidRDefault="00695AE2" w:rsidP="00695AE2">
      <w:pPr>
        <w:spacing w:line="240" w:lineRule="auto"/>
        <w:jc w:val="both"/>
        <w:rPr>
          <w:rFonts w:eastAsia="Calibri"/>
          <w:szCs w:val="22"/>
        </w:rPr>
      </w:pPr>
      <w:r w:rsidRPr="00CB5050">
        <w:rPr>
          <w:rFonts w:eastAsia="Calibri"/>
          <w:lang w:eastAsia="sl-SI"/>
        </w:rPr>
        <w:t xml:space="preserve">Državno odvetništvo RS se tudi v </w:t>
      </w:r>
      <w:r w:rsidRPr="00CB5050">
        <w:rPr>
          <w:rFonts w:eastAsia="Calibri"/>
          <w:szCs w:val="22"/>
        </w:rPr>
        <w:t>nepravdne postopke vključuje</w:t>
      </w:r>
      <w:r w:rsidRPr="00CB5050">
        <w:rPr>
          <w:rFonts w:eastAsia="Calibri"/>
          <w:lang w:eastAsia="sl-SI"/>
        </w:rPr>
        <w:t xml:space="preserve"> kot zakoniti zastopnik Republike Slovenije. </w:t>
      </w:r>
      <w:r w:rsidRPr="00CB5050">
        <w:rPr>
          <w:rFonts w:eastAsia="Calibri"/>
          <w:szCs w:val="22"/>
        </w:rPr>
        <w:t xml:space="preserve">Gre za postopke, ki </w:t>
      </w:r>
      <w:r w:rsidRPr="00CB5050">
        <w:rPr>
          <w:rFonts w:eastAsia="Calibri"/>
          <w:color w:val="484848"/>
          <w:szCs w:val="22"/>
        </w:rPr>
        <w:t xml:space="preserve">so urejeni v </w:t>
      </w:r>
      <w:r w:rsidRPr="00CB5050">
        <w:rPr>
          <w:rFonts w:eastAsia="Calibri"/>
          <w:lang w:eastAsia="sl-SI"/>
        </w:rPr>
        <w:t xml:space="preserve">Zakonu o nepravdnem postopku </w:t>
      </w:r>
      <w:r w:rsidRPr="00CB5050">
        <w:rPr>
          <w:rFonts w:eastAsia="Calibri"/>
          <w:szCs w:val="22"/>
        </w:rPr>
        <w:t>(</w:t>
      </w:r>
      <w:hyperlink r:id="rId72" w:history="1">
        <w:r w:rsidRPr="00CB5050">
          <w:rPr>
            <w:rFonts w:eastAsia="Calibri"/>
            <w:szCs w:val="22"/>
          </w:rPr>
          <w:t>ZNP-1</w:t>
        </w:r>
      </w:hyperlink>
      <w:r w:rsidRPr="00CB5050">
        <w:rPr>
          <w:rFonts w:eastAsia="Calibri"/>
          <w:szCs w:val="22"/>
        </w:rPr>
        <w:t>)</w:t>
      </w:r>
      <w:r w:rsidRPr="00CB5050">
        <w:rPr>
          <w:rFonts w:eastAsia="Calibri"/>
          <w:color w:val="484848"/>
          <w:szCs w:val="22"/>
        </w:rPr>
        <w:t xml:space="preserve">, </w:t>
      </w:r>
      <w:r w:rsidRPr="00CB5050">
        <w:rPr>
          <w:rFonts w:eastAsia="Calibri"/>
          <w:szCs w:val="22"/>
        </w:rPr>
        <w:t>in sicer so to postopki za ureditev osebnih stanj in družinskih razmerij, postopek za razglasitev pogrešanca za mrtvega in o dokazovanju smrti, postopki za urejanje premoženjskih razmerij, postopki za ureditev razmerij med solastniki, postopki z listinami in sodnimi depoziti</w:t>
      </w:r>
      <w:r w:rsidRPr="00CB5050">
        <w:rPr>
          <w:rFonts w:eastAsia="Calibri"/>
          <w:lang w:eastAsia="sl-SI"/>
        </w:rPr>
        <w:t xml:space="preserve"> in drugi. </w:t>
      </w:r>
      <w:r w:rsidRPr="00CB5050">
        <w:rPr>
          <w:rFonts w:eastAsia="Calibri"/>
          <w:szCs w:val="22"/>
        </w:rPr>
        <w:t>Določbe ZN-1 se uporabljajo tudi v drugih zadevah, ki jih obravnava sodišče, za katere z zakonom ni izrecno določeno, da se obravnavajo v nepravdnem postopku, pa jih glede na naravo ni mogoče obravnavati po določbah drugih postopkov.</w:t>
      </w:r>
    </w:p>
    <w:p w14:paraId="4ED926C4" w14:textId="77777777" w:rsidR="00695AE2" w:rsidRPr="00CB5050" w:rsidRDefault="00695AE2" w:rsidP="00695AE2">
      <w:pPr>
        <w:spacing w:line="240" w:lineRule="auto"/>
        <w:jc w:val="both"/>
        <w:rPr>
          <w:rFonts w:eastAsia="Calibri"/>
          <w:szCs w:val="22"/>
        </w:rPr>
      </w:pPr>
    </w:p>
    <w:p w14:paraId="7BB11E0B"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zastopa Republiko Slovenijo tudi v drugih nepravdnih postopkih, in sicer v postopkih, ki se vodijo na podlagi naslednjih zakonov:</w:t>
      </w:r>
    </w:p>
    <w:p w14:paraId="54DA7AF7"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Zakona o zemljiški knjigi,</w:t>
      </w:r>
    </w:p>
    <w:p w14:paraId="5CAC3005"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Zakona o dedovanju (v nadaljevanju: ZD),</w:t>
      </w:r>
    </w:p>
    <w:p w14:paraId="54BB04EF"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Zakona o urejanju prostora (v nadaljevanju: Zurep-3),</w:t>
      </w:r>
    </w:p>
    <w:p w14:paraId="25B92BDA"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Zakona o sodnem registru,</w:t>
      </w:r>
    </w:p>
    <w:p w14:paraId="4BD41AAB"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Zakona o vzpostavitvi etažne lastnine (v nadaljevanju: ZVEtL),</w:t>
      </w:r>
    </w:p>
    <w:p w14:paraId="230FEF1C"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Gradbenega zakona (v nadaljevanju: GZ-1),</w:t>
      </w:r>
    </w:p>
    <w:p w14:paraId="3554C89C" w14:textId="77777777" w:rsidR="00695AE2" w:rsidRPr="00CB5050" w:rsidRDefault="00695AE2" w:rsidP="00695AE2">
      <w:pPr>
        <w:numPr>
          <w:ilvl w:val="0"/>
          <w:numId w:val="117"/>
        </w:numPr>
        <w:spacing w:after="160" w:line="240" w:lineRule="auto"/>
        <w:contextualSpacing/>
        <w:jc w:val="both"/>
        <w:rPr>
          <w:rFonts w:eastAsia="Calibri"/>
          <w:szCs w:val="22"/>
        </w:rPr>
      </w:pPr>
      <w:r w:rsidRPr="00CB5050">
        <w:rPr>
          <w:rFonts w:eastAsia="Calibri"/>
          <w:szCs w:val="22"/>
        </w:rPr>
        <w:t>Zakona o denacionalizaciji in Zakona o izvrševanju kazenskih sankcij.</w:t>
      </w:r>
    </w:p>
    <w:p w14:paraId="10A0CE6F" w14:textId="77777777" w:rsidR="00695AE2" w:rsidRPr="00CB5050" w:rsidRDefault="00695AE2" w:rsidP="00695AE2">
      <w:pPr>
        <w:spacing w:line="240" w:lineRule="auto"/>
        <w:jc w:val="both"/>
        <w:rPr>
          <w:rFonts w:eastAsia="Calibri"/>
          <w:color w:val="484848"/>
          <w:szCs w:val="22"/>
        </w:rPr>
      </w:pPr>
    </w:p>
    <w:p w14:paraId="041C2FED" w14:textId="77777777" w:rsidR="00695AE2" w:rsidRPr="00CB5050" w:rsidRDefault="00695AE2" w:rsidP="00695AE2">
      <w:pPr>
        <w:pStyle w:val="Naslov4"/>
      </w:pPr>
      <w:bookmarkStart w:id="809" w:name="_Toc95149791"/>
      <w:bookmarkStart w:id="810" w:name="_Toc168845016"/>
      <w:bookmarkStart w:id="811" w:name="_Toc191561999"/>
      <w:bookmarkStart w:id="812" w:name="_Toc223093997"/>
      <w:r w:rsidRPr="00CB5050">
        <w:t>Zapuščinski postopki</w:t>
      </w:r>
      <w:bookmarkEnd w:id="809"/>
      <w:bookmarkEnd w:id="810"/>
      <w:bookmarkEnd w:id="811"/>
      <w:bookmarkEnd w:id="812"/>
    </w:p>
    <w:p w14:paraId="48674208" w14:textId="77777777" w:rsidR="00695AE2" w:rsidRPr="00CB5050" w:rsidRDefault="00695AE2" w:rsidP="00695AE2">
      <w:pPr>
        <w:spacing w:line="240" w:lineRule="auto"/>
        <w:rPr>
          <w:rFonts w:eastAsia="Calibri"/>
        </w:rPr>
      </w:pPr>
    </w:p>
    <w:p w14:paraId="3C5D09D1"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 xml:space="preserve">Državno odvetništvo RS se kot zakoniti zastopnik Republike Slovenije pojavlja v zapuščinskih postopkih na okrajnih sodiščih v več vlogah. </w:t>
      </w:r>
    </w:p>
    <w:p w14:paraId="584E79C1" w14:textId="77777777" w:rsidR="00695AE2" w:rsidRPr="00CB5050" w:rsidRDefault="00695AE2" w:rsidP="00695AE2">
      <w:pPr>
        <w:spacing w:line="240" w:lineRule="auto"/>
        <w:jc w:val="both"/>
        <w:rPr>
          <w:rFonts w:eastAsia="Calibri"/>
          <w:bCs/>
          <w:lang w:eastAsia="sl-SI"/>
        </w:rPr>
      </w:pPr>
    </w:p>
    <w:p w14:paraId="55A1D15B"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 xml:space="preserve">128. in 129. člen ZD urejata </w:t>
      </w:r>
      <w:r w:rsidRPr="00CB5050">
        <w:rPr>
          <w:rFonts w:eastAsia="Calibri"/>
          <w:bCs/>
          <w:color w:val="007466"/>
          <w:lang w:eastAsia="sl-SI"/>
        </w:rPr>
        <w:t>dedovanje premoženja osebe, ki je uživala pomoč v skladu s predpisi o socialnem varstvu in ki se omeji do višine vrednosti prejete pomoči</w:t>
      </w:r>
      <w:r w:rsidRPr="00CB5050">
        <w:rPr>
          <w:rFonts w:eastAsia="Calibri"/>
          <w:bCs/>
          <w:lang w:eastAsia="sl-SI"/>
        </w:rPr>
        <w:t>. Ta omejitev se izvede tako, da na podlagi s strani Državnega odvetništva RS uveljavljene omejitve dedovanja za prejeto socialno pomoč postane del zapustnikovega premoženja, ki ustreza vrednosti prejete pomoči, lastnina Republike Slovenije, če se je pomoč financirala iz proračuna Republike Slovenije, oziroma lastnina občine, če se je pomoč financirala iz proračuna občine. Premoženje, ki postane lastnina Republike Slovenije ali občine, se s sklepom izroči pristojnemu organu Republike Slovenije oziroma pristojnemu organu občine. Izjema od omejitve dedovanja so položaji, ko do omejitve ne pride iz razloga poplačila dolga s strani dedičev ali če so dediči sami potrebni socialne pomoči oziroma če bi premoženje, ki bi postalo last Republike Slovenije, pomenilo breme oziroma bi z njegovim upravljanjem nastali nesorazmerni stroški. V teh primerih Državno odvetništvo RS z vlogo v zapuščinskem postopku že uveljavljeno omejitev dedovanja umakne.</w:t>
      </w:r>
    </w:p>
    <w:p w14:paraId="3BE96DA5" w14:textId="77777777" w:rsidR="00695AE2" w:rsidRPr="00CB5050" w:rsidRDefault="00695AE2" w:rsidP="00695AE2">
      <w:pPr>
        <w:spacing w:line="240" w:lineRule="auto"/>
        <w:ind w:left="720"/>
        <w:jc w:val="both"/>
        <w:rPr>
          <w:rFonts w:eastAsia="Calibri"/>
          <w:bCs/>
          <w:lang w:eastAsia="sl-SI"/>
        </w:rPr>
      </w:pPr>
    </w:p>
    <w:p w14:paraId="052027C4" w14:textId="77777777" w:rsidR="00695AE2" w:rsidRPr="00CB5050" w:rsidRDefault="00695AE2" w:rsidP="00695AE2">
      <w:pPr>
        <w:spacing w:line="240" w:lineRule="auto"/>
        <w:jc w:val="both"/>
        <w:rPr>
          <w:rFonts w:eastAsia="Calibri"/>
          <w:bCs/>
          <w:u w:val="single"/>
          <w:lang w:eastAsia="sl-SI"/>
        </w:rPr>
      </w:pPr>
      <w:r w:rsidRPr="00CB5050">
        <w:rPr>
          <w:rFonts w:eastAsia="Calibri"/>
          <w:bCs/>
          <w:lang w:eastAsia="sl-SI"/>
        </w:rPr>
        <w:t>Postopek izvedbe omejitve dedovanja ali odpoved pravici natančneje določa Uredba o ureditvi nekaterih vprašanj glede pridobivanja premoženja države iz naslova dedovanja.</w:t>
      </w:r>
    </w:p>
    <w:p w14:paraId="3DA22EFE" w14:textId="77777777" w:rsidR="00695AE2" w:rsidRPr="00CB5050" w:rsidRDefault="00695AE2" w:rsidP="00695AE2">
      <w:pPr>
        <w:spacing w:line="240" w:lineRule="auto"/>
        <w:jc w:val="both"/>
        <w:rPr>
          <w:rFonts w:eastAsia="Calibri"/>
          <w:bCs/>
          <w:lang w:eastAsia="sl-SI"/>
        </w:rPr>
      </w:pPr>
    </w:p>
    <w:p w14:paraId="11F1A73C"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Na podlagi drugega odstavka 130. člena ZD v zvezi z 9. členom se zapuščina, če se po preteku šestih mesecev od objave oklica dedičem ne zglasi noben dedič oziroma če ni noben upnik vložil zahteve za prenos zapuščine v stečajno maso zapuščine</w:t>
      </w:r>
      <w:r w:rsidRPr="00CB5050">
        <w:rPr>
          <w:rFonts w:eastAsia="Calibri"/>
          <w:bCs/>
          <w:color w:val="007466"/>
          <w:lang w:eastAsia="sl-SI"/>
        </w:rPr>
        <w:t>, razglasi za lastnino Republike Slovenije</w:t>
      </w:r>
      <w:r w:rsidRPr="00CB5050">
        <w:rPr>
          <w:rFonts w:eastAsia="Calibri"/>
          <w:bCs/>
          <w:lang w:eastAsia="sl-SI"/>
        </w:rPr>
        <w:t xml:space="preserve"> </w:t>
      </w:r>
      <w:r w:rsidRPr="00CB5050">
        <w:rPr>
          <w:rFonts w:eastAsia="Calibri"/>
          <w:bCs/>
          <w:color w:val="007466"/>
          <w:lang w:eastAsia="sl-SI"/>
        </w:rPr>
        <w:t>in izroči pristojnemu organu Republike Slovenije (kaduciteta)</w:t>
      </w:r>
      <w:r w:rsidRPr="00CB5050">
        <w:rPr>
          <w:rFonts w:eastAsia="Calibri"/>
          <w:bCs/>
          <w:lang w:eastAsia="sl-SI"/>
        </w:rPr>
        <w:t>. Za enak položaj gre, če se vsi dediči odpovedo dedovanju. Tudi v tem primeru postane zapuščina last Republike Slovenije. Republika Slovenija za zapustnikove dolgove ne odgovarja.</w:t>
      </w:r>
    </w:p>
    <w:p w14:paraId="7EA95DEB" w14:textId="77777777" w:rsidR="00695AE2" w:rsidRPr="00CB5050" w:rsidRDefault="00695AE2" w:rsidP="00695AE2">
      <w:pPr>
        <w:spacing w:line="240" w:lineRule="auto"/>
        <w:jc w:val="both"/>
        <w:rPr>
          <w:rFonts w:eastAsia="Calibri"/>
          <w:bCs/>
          <w:lang w:eastAsia="sl-SI"/>
        </w:rPr>
      </w:pPr>
    </w:p>
    <w:p w14:paraId="4284F842"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 xml:space="preserve">Če je zapustnik premoženje </w:t>
      </w:r>
      <w:r w:rsidRPr="00CB5050">
        <w:rPr>
          <w:rFonts w:eastAsia="Calibri"/>
          <w:bCs/>
          <w:color w:val="007466"/>
          <w:lang w:eastAsia="sl-SI"/>
        </w:rPr>
        <w:t>z oporoko zapustil Republiki Sloveniji, je ta dedič v zapuščinskem postopku</w:t>
      </w:r>
      <w:r w:rsidRPr="00CB5050">
        <w:rPr>
          <w:rFonts w:eastAsia="Calibri"/>
          <w:bCs/>
          <w:lang w:eastAsia="sl-SI"/>
        </w:rPr>
        <w:t>.</w:t>
      </w:r>
    </w:p>
    <w:p w14:paraId="0234C76F" w14:textId="77777777" w:rsidR="00695AE2" w:rsidRPr="00CB5050" w:rsidRDefault="00695AE2" w:rsidP="00695AE2">
      <w:pPr>
        <w:spacing w:line="240" w:lineRule="auto"/>
        <w:jc w:val="both"/>
        <w:rPr>
          <w:rFonts w:eastAsia="Calibri"/>
          <w:bCs/>
          <w:lang w:eastAsia="sl-SI"/>
        </w:rPr>
      </w:pPr>
    </w:p>
    <w:p w14:paraId="3DD39D6E" w14:textId="77777777" w:rsidR="00695AE2" w:rsidRPr="00CB5050" w:rsidRDefault="00695AE2" w:rsidP="00695AE2">
      <w:pPr>
        <w:spacing w:line="240" w:lineRule="auto"/>
        <w:jc w:val="both"/>
        <w:rPr>
          <w:rFonts w:eastAsia="Times New Roman"/>
          <w:szCs w:val="22"/>
        </w:rPr>
      </w:pPr>
      <w:r w:rsidRPr="00CB5050">
        <w:rPr>
          <w:rFonts w:eastAsia="Calibri"/>
          <w:bCs/>
          <w:lang w:eastAsia="sl-SI"/>
        </w:rPr>
        <w:t xml:space="preserve">Ne glede na to, da v zapuščinskih postopkih upniki nimajo položaja stranke, Državno odvetništvo RS z namenom seznanitve dedičev o obstoju dolga zapustnika in v izogib nadaljnjim postopkom v zapuščinske postopke na podlagi obvestila o obstoju terjatve z vlogo obvesti sodišče in dediče o obstoju terjatve, ki jo ima Republika Slovenija do zapustnika, in </w:t>
      </w:r>
      <w:r w:rsidRPr="00CB5050">
        <w:rPr>
          <w:rFonts w:eastAsia="Calibri"/>
          <w:bCs/>
          <w:lang w:eastAsia="sl-SI"/>
        </w:rPr>
        <w:lastRenderedPageBreak/>
        <w:t xml:space="preserve">terja plačilo od dedičev; pride torej do  </w:t>
      </w:r>
      <w:r w:rsidRPr="00CB5050">
        <w:rPr>
          <w:rFonts w:eastAsia="Calibri"/>
          <w:bCs/>
          <w:color w:val="007466"/>
          <w:lang w:eastAsia="sl-SI"/>
        </w:rPr>
        <w:t>prijave terjatve v zapuščinski postopek</w:t>
      </w:r>
      <w:r w:rsidRPr="00CB5050">
        <w:rPr>
          <w:rFonts w:eastAsia="Calibri"/>
          <w:bCs/>
          <w:lang w:eastAsia="sl-SI"/>
        </w:rPr>
        <w:t xml:space="preserve">. Dediči namreč za zapustnikove dolgove odgovarjajo z vsem svojim premoženjem, pri čemer je njihova odgovornost omejena do višine vrednosti podedovanega premoženja, in z navedenim obvestilom Državno odvetništvo RS pogosto doseže, da dediči zapustnikov dolg poplačajo že med zapuščinskim postopkom. </w:t>
      </w:r>
      <w:r w:rsidRPr="00CB5050">
        <w:rPr>
          <w:rFonts w:eastAsia="Times New Roman"/>
          <w:szCs w:val="22"/>
        </w:rPr>
        <w:t xml:space="preserve">Če si želi država kot upnik zapustnika zagotoviti poplačilo terjatve iz točno določenega zapustnikovega premoženja, mora Državno odvetništvo RS v določenem roku vložiti </w:t>
      </w:r>
      <w:r w:rsidRPr="00CB5050">
        <w:rPr>
          <w:rFonts w:eastAsia="Times New Roman"/>
          <w:color w:val="007466"/>
          <w:szCs w:val="22"/>
        </w:rPr>
        <w:t>predlog za ločitev zapuščine</w:t>
      </w:r>
      <w:r w:rsidRPr="00CB5050">
        <w:rPr>
          <w:rFonts w:eastAsia="Times New Roman"/>
          <w:szCs w:val="22"/>
        </w:rPr>
        <w:t xml:space="preserve">. </w:t>
      </w:r>
    </w:p>
    <w:p w14:paraId="7A4B4FF7" w14:textId="77777777" w:rsidR="00695AE2" w:rsidRPr="00CB5050" w:rsidRDefault="00695AE2" w:rsidP="00695AE2">
      <w:pPr>
        <w:spacing w:line="240" w:lineRule="auto"/>
        <w:jc w:val="both"/>
        <w:rPr>
          <w:rFonts w:eastAsia="Calibri"/>
        </w:rPr>
      </w:pPr>
    </w:p>
    <w:p w14:paraId="3647A0C1" w14:textId="77777777" w:rsidR="00695AE2" w:rsidRPr="00CB5050" w:rsidRDefault="00695AE2" w:rsidP="00695AE2">
      <w:pPr>
        <w:pStyle w:val="Naslov4"/>
      </w:pPr>
      <w:bookmarkStart w:id="813" w:name="_Toc95149792"/>
      <w:bookmarkStart w:id="814" w:name="_Toc168845017"/>
      <w:bookmarkStart w:id="815" w:name="_Toc191562000"/>
      <w:bookmarkStart w:id="816" w:name="_Toc223093998"/>
      <w:r w:rsidRPr="00CB5050">
        <w:t>Postopki za razdružitev solastnine</w:t>
      </w:r>
      <w:bookmarkEnd w:id="813"/>
      <w:bookmarkEnd w:id="814"/>
      <w:bookmarkEnd w:id="815"/>
      <w:bookmarkEnd w:id="816"/>
      <w:r w:rsidRPr="00CB5050">
        <w:t xml:space="preserve"> </w:t>
      </w:r>
    </w:p>
    <w:p w14:paraId="74EEE6D9" w14:textId="77777777" w:rsidR="00695AE2" w:rsidRPr="00CB5050" w:rsidRDefault="00695AE2" w:rsidP="00695AE2">
      <w:pPr>
        <w:spacing w:line="240" w:lineRule="auto"/>
        <w:rPr>
          <w:rFonts w:eastAsia="Calibri"/>
        </w:rPr>
      </w:pPr>
    </w:p>
    <w:p w14:paraId="0C1B11C4" w14:textId="77777777" w:rsidR="00695AE2" w:rsidRPr="00CB5050" w:rsidRDefault="00695AE2" w:rsidP="00695AE2">
      <w:pPr>
        <w:spacing w:line="240" w:lineRule="auto"/>
        <w:jc w:val="both"/>
        <w:rPr>
          <w:rFonts w:eastAsia="Calibri"/>
        </w:rPr>
      </w:pPr>
      <w:r w:rsidRPr="00CB5050">
        <w:rPr>
          <w:rFonts w:eastAsia="Calibri"/>
          <w:lang w:eastAsia="sl-SI"/>
        </w:rPr>
        <w:t>Solastnina pomeni, da ima več oseb solastninsko pravico na določeni stvari in je delež vsake izmed njih določen v sorazmerju s celoto. Do solastnine lahko pride na podlagi dogovora med strankami, v veliki večini primerov, v katerih je kot solastnik udeležena država, pa je do solastnine prišlo na podlagi zakona oziroma odločbe sodišča ali upravne enote (v okviru denacionalizacijskih postopkov, dedovanja, vlaganj v nepremičnino ipd.).</w:t>
      </w:r>
    </w:p>
    <w:p w14:paraId="0585344B" w14:textId="77777777" w:rsidR="00695AE2" w:rsidRPr="00CB5050" w:rsidRDefault="00695AE2" w:rsidP="00695AE2">
      <w:pPr>
        <w:spacing w:line="240" w:lineRule="auto"/>
        <w:jc w:val="both"/>
        <w:rPr>
          <w:rFonts w:eastAsia="Calibri"/>
          <w:lang w:eastAsia="sl-SI"/>
        </w:rPr>
      </w:pPr>
    </w:p>
    <w:p w14:paraId="6233DB8A" w14:textId="77777777" w:rsidR="00695AE2" w:rsidRPr="00CB5050" w:rsidRDefault="00695AE2" w:rsidP="00695AE2">
      <w:pPr>
        <w:spacing w:line="240" w:lineRule="auto"/>
        <w:jc w:val="both"/>
        <w:rPr>
          <w:rFonts w:eastAsia="Calibri"/>
          <w:lang w:eastAsia="sl-SI"/>
        </w:rPr>
      </w:pPr>
      <w:r w:rsidRPr="00CB5050">
        <w:rPr>
          <w:rFonts w:eastAsia="Calibri"/>
          <w:lang w:eastAsia="sl-SI"/>
        </w:rPr>
        <w:t>Dejstvo je, da solastnina skriva nasprotujoče si interese udeležencev in je pogosto vir sporov in nesoglasij med njimi zaradi različnih pogledov v zvezi z rednim vzdrževanjem stvari in njeno uporabo, razpolago in podobno. V takšnih primerih, ko soglasja med solastniki ni, je treba solastnino razdružiti.</w:t>
      </w:r>
    </w:p>
    <w:p w14:paraId="7A7A231B" w14:textId="77777777" w:rsidR="00695AE2" w:rsidRPr="00CB5050" w:rsidRDefault="00695AE2" w:rsidP="00695AE2">
      <w:pPr>
        <w:spacing w:line="240" w:lineRule="auto"/>
        <w:jc w:val="both"/>
        <w:rPr>
          <w:rFonts w:eastAsia="Calibri"/>
          <w:lang w:eastAsia="sl-SI"/>
        </w:rPr>
      </w:pPr>
    </w:p>
    <w:p w14:paraId="3AA1CB2E" w14:textId="77777777" w:rsidR="00695AE2" w:rsidRPr="00CB5050" w:rsidRDefault="00695AE2" w:rsidP="00695AE2">
      <w:pPr>
        <w:spacing w:line="240" w:lineRule="auto"/>
        <w:jc w:val="both"/>
        <w:rPr>
          <w:rFonts w:eastAsia="Calibri"/>
        </w:rPr>
      </w:pPr>
      <w:r w:rsidRPr="00CB5050">
        <w:rPr>
          <w:rFonts w:eastAsia="Calibri"/>
          <w:lang w:eastAsia="sl-SI"/>
        </w:rPr>
        <w:t>P</w:t>
      </w:r>
      <w:r w:rsidRPr="00CB5050">
        <w:rPr>
          <w:rFonts w:eastAsia="Calibri"/>
        </w:rPr>
        <w:t>redmet postopkov za razdružitev solastnine,</w:t>
      </w:r>
      <w:r w:rsidRPr="00CB5050">
        <w:rPr>
          <w:rFonts w:eastAsia="Calibri"/>
          <w:bCs/>
        </w:rPr>
        <w:t xml:space="preserve"> v katerih Državno odvetništvo RS opravlja naloge zastopanja, </w:t>
      </w:r>
      <w:r w:rsidRPr="00CB5050">
        <w:rPr>
          <w:rFonts w:eastAsia="Calibri"/>
        </w:rPr>
        <w:t xml:space="preserve">so običajno </w:t>
      </w:r>
      <w:r w:rsidRPr="00CB5050">
        <w:rPr>
          <w:rFonts w:eastAsia="Calibri"/>
          <w:bCs/>
        </w:rPr>
        <w:t>kmetijska in gozdna zemljišča. V teh postopkih Državno odvetništvo RS zastopa</w:t>
      </w:r>
      <w:r w:rsidRPr="00CB5050">
        <w:rPr>
          <w:rFonts w:eastAsia="Calibri"/>
        </w:rPr>
        <w:t xml:space="preserve"> </w:t>
      </w:r>
      <w:r w:rsidRPr="00CB5050">
        <w:rPr>
          <w:rFonts w:eastAsia="Calibri"/>
          <w:bCs/>
        </w:rPr>
        <w:t>Republiko Slovenijo, ki je lastnik nepremičnega premoženja oziroma</w:t>
      </w:r>
      <w:r w:rsidRPr="00CB5050">
        <w:rPr>
          <w:rFonts w:eastAsia="Calibri"/>
        </w:rPr>
        <w:t xml:space="preserve"> Sklad kmetijskih zemljišč in gozdov (SKZG), ki gospodari s kmetijskimi zemljišči in jih upravlja, ter državno podjetje Slovenske državne gozdove, d. o. o. (SiDG), ki gospodarijo z nepremičninami, ki so po vrsti rabe opredeljene kot </w:t>
      </w:r>
      <w:r w:rsidRPr="00CB5050">
        <w:rPr>
          <w:rFonts w:eastAsia="Calibri"/>
          <w:bCs/>
        </w:rPr>
        <w:t>gozd</w:t>
      </w:r>
      <w:r w:rsidRPr="00CB5050">
        <w:rPr>
          <w:rFonts w:eastAsia="Calibri"/>
        </w:rPr>
        <w:t xml:space="preserve">. </w:t>
      </w:r>
    </w:p>
    <w:p w14:paraId="6BFC6DAA" w14:textId="77777777" w:rsidR="00695AE2" w:rsidRPr="00CB5050" w:rsidRDefault="00695AE2" w:rsidP="00695AE2">
      <w:pPr>
        <w:spacing w:line="240" w:lineRule="auto"/>
        <w:jc w:val="both"/>
        <w:rPr>
          <w:rFonts w:eastAsia="Calibri"/>
          <w:lang w:eastAsia="sl-SI"/>
        </w:rPr>
      </w:pPr>
    </w:p>
    <w:p w14:paraId="4E07F750"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Po 156. členu ZNP-1 mora predlog za delitev nepremičnine vsebovati zemljiškoknjižne podatke ali pa je treba predložiti listine, s katerimi se dokazuje lastninska pravica na nepremičnini, če ta ni vpisana v zemljiško knjigo. </w:t>
      </w:r>
    </w:p>
    <w:p w14:paraId="22A788EA" w14:textId="77777777" w:rsidR="00695AE2" w:rsidRPr="00CB5050" w:rsidRDefault="00695AE2" w:rsidP="00695AE2">
      <w:pPr>
        <w:spacing w:line="240" w:lineRule="auto"/>
        <w:jc w:val="both"/>
        <w:rPr>
          <w:rFonts w:eastAsia="Calibri"/>
          <w:lang w:eastAsia="sl-SI"/>
        </w:rPr>
      </w:pPr>
    </w:p>
    <w:p w14:paraId="103C2C1D" w14:textId="77777777" w:rsidR="00695AE2" w:rsidRPr="00CB5050" w:rsidRDefault="00695AE2" w:rsidP="00695AE2">
      <w:pPr>
        <w:spacing w:line="240" w:lineRule="auto"/>
        <w:jc w:val="both"/>
        <w:rPr>
          <w:rFonts w:eastAsia="Calibri"/>
          <w:lang w:eastAsia="sl-SI"/>
        </w:rPr>
      </w:pPr>
      <w:r w:rsidRPr="00CB5050">
        <w:rPr>
          <w:rFonts w:eastAsia="Calibri"/>
          <w:lang w:eastAsia="sl-SI"/>
        </w:rPr>
        <w:t>Kljub temu, da se delitev solastnine lahko opravi z izplačilom deleža oziroma s civilno delitvijo (prodaja nepremičnine in delitev kupnine), se solastnina v postopkih, v katerih je udeležena država, v veliki večini primerov razdruži s fizično delitvijo stvari. Ti postopki pa so pogosto dolgotrajni, predvsem iz razloga odločanja, kdo od solastnikov dobi posamezni del nepremičnine, kar je povezano z izkazom upravičenega interesa in ugotavljanja vrednosti posameznih delov ter z izdelavo cenilnih poročil in seveda dodatnimi stroški iz tega naslova.</w:t>
      </w:r>
    </w:p>
    <w:p w14:paraId="6F75035D" w14:textId="77777777" w:rsidR="00695AE2" w:rsidRPr="00CB5050" w:rsidRDefault="00695AE2" w:rsidP="00695AE2">
      <w:pPr>
        <w:spacing w:line="240" w:lineRule="auto"/>
        <w:jc w:val="both"/>
        <w:rPr>
          <w:rFonts w:eastAsia="Calibri"/>
        </w:rPr>
      </w:pPr>
    </w:p>
    <w:p w14:paraId="770EF4C7" w14:textId="77777777" w:rsidR="00695AE2" w:rsidRPr="00CB5050" w:rsidRDefault="00695AE2" w:rsidP="00695AE2">
      <w:pPr>
        <w:pStyle w:val="Naslov4"/>
      </w:pPr>
      <w:bookmarkStart w:id="817" w:name="_Toc95149793"/>
      <w:bookmarkStart w:id="818" w:name="_Toc168845018"/>
      <w:bookmarkStart w:id="819" w:name="_Toc191562001"/>
      <w:bookmarkStart w:id="820" w:name="_Toc223093999"/>
      <w:r w:rsidRPr="00CB5050">
        <w:t>Zemljiškoknjižni postopki</w:t>
      </w:r>
      <w:bookmarkEnd w:id="817"/>
      <w:bookmarkEnd w:id="818"/>
      <w:bookmarkEnd w:id="819"/>
      <w:bookmarkEnd w:id="820"/>
    </w:p>
    <w:p w14:paraId="13D16903" w14:textId="77777777" w:rsidR="00695AE2" w:rsidRPr="00CB5050" w:rsidRDefault="00695AE2" w:rsidP="00695AE2">
      <w:pPr>
        <w:spacing w:line="240" w:lineRule="auto"/>
        <w:rPr>
          <w:rFonts w:eastAsia="Calibri"/>
        </w:rPr>
      </w:pPr>
    </w:p>
    <w:p w14:paraId="63B64F29" w14:textId="77777777" w:rsidR="00695AE2" w:rsidRPr="00CB5050" w:rsidRDefault="00695AE2" w:rsidP="00695AE2">
      <w:pPr>
        <w:spacing w:line="240" w:lineRule="auto"/>
        <w:jc w:val="both"/>
        <w:rPr>
          <w:rFonts w:eastAsia="Calibri"/>
          <w:lang w:eastAsia="sl-SI"/>
        </w:rPr>
      </w:pPr>
      <w:r w:rsidRPr="00CB5050">
        <w:rPr>
          <w:rFonts w:eastAsia="Calibri"/>
          <w:bCs/>
          <w:lang w:eastAsia="sl-SI"/>
        </w:rPr>
        <w:t>Državno odvetništvo RS je kot zakoniti zastopnik Republike Slovenije zavezano, da v imenu Republike Slovenije elektronsko vlaga vse tiste zemljiškoknjižne predloge, ki se nanašajo na predlagatelja Republiko Slovenijo.</w:t>
      </w:r>
      <w:r w:rsidRPr="00CB5050">
        <w:rPr>
          <w:rFonts w:eastAsia="Calibri"/>
          <w:lang w:eastAsia="sl-SI"/>
        </w:rPr>
        <w:t xml:space="preserve"> </w:t>
      </w:r>
    </w:p>
    <w:p w14:paraId="6407C523" w14:textId="77777777" w:rsidR="00695AE2" w:rsidRPr="00CB5050" w:rsidRDefault="00695AE2" w:rsidP="00695AE2">
      <w:pPr>
        <w:spacing w:line="240" w:lineRule="auto"/>
        <w:jc w:val="both"/>
        <w:rPr>
          <w:rFonts w:eastAsia="Calibri"/>
          <w:lang w:eastAsia="sl-SI"/>
        </w:rPr>
      </w:pPr>
    </w:p>
    <w:p w14:paraId="1922C97A" w14:textId="77777777" w:rsidR="00695AE2" w:rsidRPr="00CB5050" w:rsidRDefault="00695AE2" w:rsidP="00695AE2">
      <w:pPr>
        <w:spacing w:line="240" w:lineRule="auto"/>
        <w:jc w:val="both"/>
        <w:rPr>
          <w:rFonts w:eastAsia="Calibri"/>
        </w:rPr>
      </w:pPr>
      <w:r w:rsidRPr="00CB5050">
        <w:rPr>
          <w:rFonts w:eastAsia="Calibri"/>
        </w:rPr>
        <w:t xml:space="preserve">Sodišča Državnemu odvetništvu RS vročajo tudi zemljiškoknjižne sklepe v postopkih, v katerih Republika Slovenija ne nastopa kot stranka postopka. V tovrstnih zadevah Državno </w:t>
      </w:r>
      <w:r w:rsidRPr="00CB5050">
        <w:rPr>
          <w:rFonts w:eastAsia="Calibri"/>
        </w:rPr>
        <w:lastRenderedPageBreak/>
        <w:t xml:space="preserve">odvetništvo RS sklep pošlje upravljavcu premoženja; če je zoper sklep treba vložiti pravno sredstvo, Državno odvetništvo RS to stori na podlagi predloga zastopanega subjekta, ki razpolaga z vsemi podatki o predmetni zadevi in pozna razloge glede nepravilnosti posameznega vpisa. </w:t>
      </w:r>
    </w:p>
    <w:p w14:paraId="6698072A" w14:textId="77777777" w:rsidR="00695AE2" w:rsidRPr="00CB5050" w:rsidRDefault="00695AE2" w:rsidP="00695AE2">
      <w:pPr>
        <w:spacing w:line="240" w:lineRule="auto"/>
        <w:jc w:val="both"/>
        <w:rPr>
          <w:rFonts w:eastAsia="Calibri"/>
        </w:rPr>
      </w:pPr>
    </w:p>
    <w:p w14:paraId="7157B8C9" w14:textId="77777777" w:rsidR="00695AE2" w:rsidRPr="00CB5050" w:rsidRDefault="00695AE2" w:rsidP="00695AE2">
      <w:pPr>
        <w:pStyle w:val="Naslov4"/>
      </w:pPr>
      <w:bookmarkStart w:id="821" w:name="_Toc95149794"/>
      <w:bookmarkStart w:id="822" w:name="_Toc168845019"/>
      <w:bookmarkStart w:id="823" w:name="_Toc191562002"/>
      <w:bookmarkStart w:id="824" w:name="_Toc223094000"/>
      <w:r w:rsidRPr="00CB5050">
        <w:t>Odškodninski postopki za razlaščena zemljišča</w:t>
      </w:r>
      <w:bookmarkStart w:id="825" w:name="_Hlk159844784"/>
      <w:bookmarkEnd w:id="821"/>
      <w:bookmarkEnd w:id="822"/>
      <w:bookmarkEnd w:id="823"/>
      <w:bookmarkEnd w:id="824"/>
    </w:p>
    <w:bookmarkEnd w:id="825"/>
    <w:p w14:paraId="4D58F1C0" w14:textId="77777777" w:rsidR="00695AE2" w:rsidRPr="00CB5050" w:rsidRDefault="00695AE2" w:rsidP="00695AE2">
      <w:pPr>
        <w:spacing w:line="240" w:lineRule="auto"/>
        <w:jc w:val="both"/>
        <w:rPr>
          <w:rFonts w:eastAsia="Aptos"/>
        </w:rPr>
      </w:pPr>
    </w:p>
    <w:p w14:paraId="683F40F8" w14:textId="77777777" w:rsidR="00695AE2" w:rsidRPr="00CB5050" w:rsidRDefault="00695AE2" w:rsidP="00695AE2">
      <w:pPr>
        <w:spacing w:line="240" w:lineRule="auto"/>
        <w:jc w:val="both"/>
        <w:rPr>
          <w:rFonts w:eastAsia="Aptos"/>
        </w:rPr>
      </w:pPr>
      <w:r w:rsidRPr="00CB5050">
        <w:rPr>
          <w:rFonts w:eastAsia="Calibri"/>
        </w:rPr>
        <w:t xml:space="preserve">Postopki za določitev ustrezne odškodnine so po svojem bistvu nadaljevanje razlastitvenih postopkov, ki so bili pravnomočno končani </w:t>
      </w:r>
      <w:r w:rsidRPr="00CB5050">
        <w:rPr>
          <w:rFonts w:eastAsia="Calibri"/>
          <w:lang w:eastAsia="sl-SI"/>
        </w:rPr>
        <w:t>in je na podlagi odločbe upravnega organa pravnomočno odločeno o razlastitvi nepremičnin, v upravnem postopku pa ni prišlo do sklenitve sporazuma glede odškodnine</w:t>
      </w:r>
      <w:r w:rsidRPr="00CB5050">
        <w:rPr>
          <w:rFonts w:eastAsia="Calibri"/>
        </w:rPr>
        <w:t xml:space="preserve"> za razlaščeno nepremičnino</w:t>
      </w:r>
      <w:r w:rsidRPr="00CB5050">
        <w:rPr>
          <w:rFonts w:eastAsia="Calibri"/>
          <w:lang w:eastAsia="sl-SI"/>
        </w:rPr>
        <w:t>. Če v okviru razlastitvenega postopka razlastitveni upravičenec in zavezanec ne skleneta sporazuma o odškodnini oziroma nadomestilu, upravni organ napoti stranke za odmero odškodnine na sodišče. Takšni p</w:t>
      </w:r>
      <w:r w:rsidRPr="00CB5050">
        <w:rPr>
          <w:rFonts w:eastAsia="Calibri"/>
        </w:rPr>
        <w:t>ostopki pomenijo izvajanje 69. člena Ustave RS, ki se udejanja v 216. členu Zurep-3, ki določa, da pripada lastniku za razlaščeno nepremičnino ustrezna denarna odškodnina oziroma enakovredna nadomestna nepremičnina, in šestem odstavku 217. člena ZureP-3, ki določa, da če</w:t>
      </w:r>
      <w:r w:rsidRPr="00CB5050">
        <w:rPr>
          <w:rFonts w:eastAsia="Aptos"/>
        </w:rPr>
        <w:t xml:space="preserve"> v dveh mesecih po pozivu iz prvega odstavka tega člena (ki določa, da n</w:t>
      </w:r>
      <w:r w:rsidRPr="00CB5050">
        <w:rPr>
          <w:rFonts w:eastAsia="Aptos"/>
          <w:szCs w:val="22"/>
        </w:rPr>
        <w:t xml:space="preserve">ajpozneje v 15 dneh po pravnomočnosti odločbe o razlastitvi upravni organ pozove razlastitvenega upravičenca in razlaščenca, naj skleneta sporazum o odškodnini oziroma nadomestilu) </w:t>
      </w:r>
      <w:r w:rsidRPr="00CB5050">
        <w:rPr>
          <w:rFonts w:eastAsia="Aptos"/>
        </w:rPr>
        <w:t xml:space="preserve">ni sklenjen sporazum o odškodnini oziroma nadomestilu, lahko razlastitveni upravičenec ali razlaščenec vloži predlog za odmero odškodnine oziroma določitev nadomestila v nepravdnem postopku pri pristojnem sodišču. </w:t>
      </w:r>
    </w:p>
    <w:p w14:paraId="5DAC4B59" w14:textId="77777777" w:rsidR="00695AE2" w:rsidRPr="00CB5050" w:rsidRDefault="00695AE2" w:rsidP="00695AE2">
      <w:pPr>
        <w:spacing w:line="240" w:lineRule="auto"/>
        <w:jc w:val="both"/>
        <w:rPr>
          <w:rFonts w:eastAsia="Calibri"/>
          <w:lang w:eastAsia="sl-SI"/>
        </w:rPr>
      </w:pPr>
    </w:p>
    <w:p w14:paraId="35D38CB2"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V nekaterih primerih tudi v nepravdnem postopku za določitev odškodnine pride do sodne poravnave, če je v nepravdnem postopku dosežen sporazum med predlagajočo stranko in nasprotnim udeležencem glede višine vrednosti nepremičnine, ki je predmet nepravdnega postopka, upoštevajoč predložene cenitve oziroma po potrebi dopolnitve cenitev oziroma izvedenskega mnenja, ki jih po našem predlogu izdelajo cenilci na zahtevo naše stranke. Takšna rešitev je za Republiko Slovenijo najbolj racionalna glede na to, da ni treba zalagati predujma za nove cenitve glede na dejstvo, da skladno z določbami ZNP-1 vse stroške v nepravdnih postopkih za določitev odškodnine nosi zavezanec za plačilo odškodnine. </w:t>
      </w:r>
    </w:p>
    <w:p w14:paraId="0FC949B5" w14:textId="77777777" w:rsidR="00695AE2" w:rsidRPr="00CB5050" w:rsidRDefault="00695AE2" w:rsidP="00695AE2">
      <w:pPr>
        <w:spacing w:line="240" w:lineRule="auto"/>
        <w:jc w:val="both"/>
        <w:rPr>
          <w:rFonts w:eastAsia="Calibri"/>
          <w:lang w:eastAsia="sl-SI"/>
        </w:rPr>
      </w:pPr>
    </w:p>
    <w:p w14:paraId="381D4B58" w14:textId="77777777" w:rsidR="00695AE2" w:rsidRPr="00CB5050" w:rsidRDefault="00695AE2" w:rsidP="00695AE2">
      <w:pPr>
        <w:shd w:val="clear" w:color="auto" w:fill="FFFFFF"/>
        <w:spacing w:line="240" w:lineRule="auto"/>
        <w:jc w:val="both"/>
        <w:rPr>
          <w:rFonts w:eastAsia="Times New Roman"/>
          <w:color w:val="000000"/>
          <w:lang w:eastAsia="sl-SI"/>
        </w:rPr>
      </w:pPr>
      <w:r w:rsidRPr="00CB5050">
        <w:rPr>
          <w:rFonts w:eastAsia="Times New Roman"/>
          <w:color w:val="000000"/>
          <w:lang w:eastAsia="sl-SI"/>
        </w:rPr>
        <w:t>Načeloma obdobje, za katero se razlaščencu prizna odškodnina zaradi nezmožnosti uporabe, predstavlja obdobje od dejanskega odvzema nepremičnine iz posesti do pridobitve lastninske pravice razlastitvenega upravičenca, kar je v večini primerov s pravnomočnostjo odločbe o razlastitvi.</w:t>
      </w:r>
    </w:p>
    <w:p w14:paraId="56E03759" w14:textId="77777777" w:rsidR="00695AE2" w:rsidRPr="00CB5050" w:rsidRDefault="00695AE2" w:rsidP="00695AE2">
      <w:pPr>
        <w:spacing w:line="240" w:lineRule="auto"/>
        <w:jc w:val="both"/>
        <w:rPr>
          <w:rFonts w:eastAsia="Aptos"/>
        </w:rPr>
      </w:pPr>
    </w:p>
    <w:p w14:paraId="72B83D00" w14:textId="77777777" w:rsidR="00695AE2" w:rsidRPr="00CB5050" w:rsidRDefault="00695AE2" w:rsidP="00695AE2">
      <w:pPr>
        <w:spacing w:line="240" w:lineRule="auto"/>
        <w:jc w:val="both"/>
        <w:rPr>
          <w:rFonts w:eastAsia="Calibri"/>
          <w:lang w:eastAsia="sl-SI"/>
        </w:rPr>
      </w:pPr>
      <w:r w:rsidRPr="00CB5050">
        <w:rPr>
          <w:rFonts w:eastAsia="Calibri"/>
          <w:lang w:eastAsia="sl-SI"/>
        </w:rPr>
        <w:t>V zvezi z dodelitvijo nadomestnih nepremičnin, kot enakovrednemu nadomestilu  za razlaščeno nepremičnino, je treba opozoriti, da v okviru postopkov razlastitve, ki so bili potrebni zaradi gradnje državne infrastrukture, pogosto prihaja do razlastitve kmetijskih zemljišč in je razlastitvenim zavezancem, ki so kmetje, zelo težko ponuditi ustrezno nadomestno kmetijsko zemljišče. Glede na to, da so v praksi primeri, ko se stranki o višini odškodnine sporazumeta ali država razpolaga z drugo ustrezno nepremičnino, ki jo lahko namesto plačila odškodnine ponudi razlaščencu, precej redki, Državno odvetništvo RS v večini primerov v nadaljevanju vloži predlog za določitev odškodnine in Republiko Slovenijo zastopa v nepravdnem postopku za določitev odškodnine, ki na sodišču teče na podlagi 217. člena ZUreP-3 v zvezi s 137. členom ZNP-1.</w:t>
      </w:r>
    </w:p>
    <w:p w14:paraId="210929E1" w14:textId="77777777" w:rsidR="00695AE2" w:rsidRPr="00CB5050" w:rsidRDefault="00695AE2" w:rsidP="00695AE2">
      <w:pPr>
        <w:spacing w:line="240" w:lineRule="auto"/>
        <w:jc w:val="both"/>
        <w:rPr>
          <w:rFonts w:eastAsia="Calibri"/>
          <w:color w:val="FF0000"/>
          <w:lang w:eastAsia="sl-SI"/>
        </w:rPr>
      </w:pPr>
    </w:p>
    <w:p w14:paraId="77986065"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Državno odvetništvo RS ocenjuje, da postopki za določitev odškodnine pri sodiščih potekajo tekoče, vendar zahtevajo čas, saj sodišče postavi izvedenca za ocenitev vrednosti nepremičnine, po izdelani cenitvi pa je treba udeležencem postopka dati tudi dovolj časa za morebitne pripombe. </w:t>
      </w:r>
    </w:p>
    <w:p w14:paraId="2BB703B8" w14:textId="77777777" w:rsidR="00695AE2" w:rsidRPr="00CB5050" w:rsidRDefault="00695AE2" w:rsidP="00695AE2">
      <w:pPr>
        <w:spacing w:line="240" w:lineRule="auto"/>
        <w:jc w:val="both"/>
        <w:rPr>
          <w:rFonts w:eastAsia="Calibri"/>
          <w:lang w:eastAsia="sl-SI"/>
        </w:rPr>
      </w:pPr>
    </w:p>
    <w:p w14:paraId="27167B98" w14:textId="77777777" w:rsidR="00695AE2" w:rsidRPr="00CB5050" w:rsidRDefault="00695AE2" w:rsidP="00695AE2">
      <w:pPr>
        <w:pStyle w:val="Naslov4"/>
        <w:rPr>
          <w:rFonts w:eastAsia="Calibri"/>
          <w:lang w:eastAsia="sl-SI"/>
        </w:rPr>
      </w:pPr>
      <w:bookmarkStart w:id="826" w:name="_Toc95149795"/>
      <w:bookmarkStart w:id="827" w:name="_Toc168845020"/>
      <w:bookmarkStart w:id="828" w:name="_Toc191562003"/>
      <w:bookmarkStart w:id="829" w:name="_Toc223094001"/>
      <w:r w:rsidRPr="00CB5050">
        <w:rPr>
          <w:rFonts w:eastAsia="Calibri"/>
          <w:lang w:eastAsia="sl-SI"/>
        </w:rPr>
        <w:t>Drugi nepravdni postopki</w:t>
      </w:r>
      <w:bookmarkEnd w:id="826"/>
      <w:bookmarkEnd w:id="827"/>
      <w:bookmarkEnd w:id="828"/>
      <w:bookmarkEnd w:id="829"/>
    </w:p>
    <w:p w14:paraId="24903037" w14:textId="77777777" w:rsidR="00695AE2" w:rsidRPr="00CB5050" w:rsidRDefault="00695AE2" w:rsidP="00695AE2">
      <w:pPr>
        <w:spacing w:line="240" w:lineRule="auto"/>
        <w:rPr>
          <w:rFonts w:eastAsia="Calibri"/>
          <w:lang w:eastAsia="sl-SI"/>
        </w:rPr>
      </w:pPr>
    </w:p>
    <w:p w14:paraId="4A967816" w14:textId="77777777" w:rsidR="00695AE2" w:rsidRPr="00CB5050" w:rsidRDefault="00695AE2" w:rsidP="00695AE2">
      <w:pPr>
        <w:spacing w:line="240" w:lineRule="auto"/>
        <w:jc w:val="both"/>
        <w:rPr>
          <w:rFonts w:eastAsia="Calibri"/>
        </w:rPr>
      </w:pPr>
      <w:r w:rsidRPr="00CB5050">
        <w:rPr>
          <w:rFonts w:eastAsia="Calibri"/>
        </w:rPr>
        <w:t>Državno odvetništvo RS zastopa Republiko Slovenijo tudi v postopkih za določitev nujne poti, v mejnih postopkih, pa tudi v postopkih za vzpostavitev etažne lastnine in določitev pripadajočega zemljišča k stavbi.</w:t>
      </w:r>
    </w:p>
    <w:p w14:paraId="0989B01F" w14:textId="77777777" w:rsidR="00695AE2" w:rsidRPr="00CB5050" w:rsidRDefault="00695AE2" w:rsidP="00695AE2">
      <w:pPr>
        <w:spacing w:line="240" w:lineRule="auto"/>
        <w:jc w:val="both"/>
        <w:rPr>
          <w:rFonts w:eastAsia="Calibri"/>
        </w:rPr>
      </w:pPr>
    </w:p>
    <w:p w14:paraId="02365DB9" w14:textId="77777777" w:rsidR="00695AE2" w:rsidRPr="00CB5050" w:rsidRDefault="00695AE2" w:rsidP="00695AE2">
      <w:pPr>
        <w:pStyle w:val="Naslov4"/>
      </w:pPr>
      <w:bookmarkStart w:id="830" w:name="_Toc191562004"/>
      <w:bookmarkStart w:id="831" w:name="_Toc223094002"/>
      <w:r w:rsidRPr="00CB5050">
        <w:t>Prevzem zastopanja centrov za socialno delo po določbi 46. člena ZNP-1</w:t>
      </w:r>
      <w:bookmarkEnd w:id="830"/>
      <w:bookmarkEnd w:id="831"/>
    </w:p>
    <w:p w14:paraId="7AB6281E" w14:textId="77777777" w:rsidR="00695AE2" w:rsidRPr="00CB5050" w:rsidRDefault="00695AE2" w:rsidP="00695AE2">
      <w:pPr>
        <w:spacing w:line="240" w:lineRule="auto"/>
        <w:jc w:val="both"/>
        <w:rPr>
          <w:rFonts w:eastAsia="Calibri"/>
          <w:szCs w:val="22"/>
        </w:rPr>
      </w:pPr>
    </w:p>
    <w:p w14:paraId="392E03A8" w14:textId="77777777" w:rsidR="00695AE2" w:rsidRPr="00CB5050" w:rsidRDefault="00695AE2" w:rsidP="00695AE2">
      <w:pPr>
        <w:spacing w:line="240" w:lineRule="auto"/>
        <w:jc w:val="both"/>
        <w:rPr>
          <w:rFonts w:eastAsia="Calibri"/>
          <w:lang w:eastAsia="sl-SI"/>
        </w:rPr>
      </w:pPr>
      <w:r w:rsidRPr="00CB5050">
        <w:rPr>
          <w:rFonts w:eastAsia="Calibri"/>
          <w:szCs w:val="22"/>
        </w:rPr>
        <w:t xml:space="preserve">Posebej je treba izpostaviti tudi pristojnost, ki je bila Državnemu odvetništvu RS dodeljena z novelo ZNP-1 </w:t>
      </w:r>
      <w:r w:rsidRPr="00CB5050">
        <w:rPr>
          <w:rFonts w:eastAsia="Calibri"/>
          <w:lang w:eastAsia="sl-SI"/>
        </w:rPr>
        <w:t xml:space="preserve">(Uradni list RS, št. 16/2019), ki se je začela uporabljati 15. 4. 2019. </w:t>
      </w:r>
    </w:p>
    <w:p w14:paraId="354F1F12" w14:textId="77777777" w:rsidR="00695AE2" w:rsidRPr="00CB5050" w:rsidRDefault="00695AE2" w:rsidP="00695AE2">
      <w:pPr>
        <w:spacing w:line="240" w:lineRule="auto"/>
        <w:jc w:val="both"/>
        <w:rPr>
          <w:rFonts w:eastAsia="Calibri"/>
          <w:lang w:eastAsia="sl-SI"/>
        </w:rPr>
      </w:pPr>
    </w:p>
    <w:p w14:paraId="3767C39D" w14:textId="77777777" w:rsidR="00695AE2" w:rsidRPr="00CB5050" w:rsidRDefault="00695AE2" w:rsidP="00695AE2">
      <w:pPr>
        <w:spacing w:line="240" w:lineRule="auto"/>
        <w:jc w:val="both"/>
        <w:rPr>
          <w:rFonts w:eastAsia="Calibri"/>
        </w:rPr>
      </w:pPr>
      <w:r w:rsidRPr="00CB5050">
        <w:rPr>
          <w:rFonts w:eastAsia="Calibri"/>
          <w:lang w:eastAsia="sl-SI"/>
        </w:rPr>
        <w:t xml:space="preserve">Na podlagi določbe 46. člena ZNP-1 lahko sodišče, če oceni, da je zaradi varovanja koristi oseb iz drugega odstavka 6. člena ZNP-1 in zahtevnosti zadeve potrebno zastopanje po odvetniku ali drugi osebi, ki je opravila pravniški državni izpit, pozove Državno odvetništvo RS, da prevzame zastopanje centra za socialno delo (v nadaljevanju: CSD). </w:t>
      </w:r>
      <w:r w:rsidRPr="00CB5050">
        <w:rPr>
          <w:rFonts w:eastAsia="Calibri"/>
        </w:rPr>
        <w:t xml:space="preserve">Sodišče mora namreč po uradni dolžnosti ukreniti vse, da se zavarujejo pravice in interesi navedenih oseb. </w:t>
      </w:r>
      <w:r w:rsidRPr="00CB5050">
        <w:rPr>
          <w:rFonts w:eastAsia="Calibri"/>
          <w:lang w:eastAsia="sl-SI"/>
        </w:rPr>
        <w:t xml:space="preserve">Citirana zakonska določba odpira možnosti, da Državno odvetništvo RS pred sodiščem prevzame vlogo zastopnika CSD oziroma ga v postopku nadomesti, pri čemer ne gre za avtomatizem, temveč se za to odloči sodišče, ki v vsakem primeru posebej presodi, ali so izpolnjeni zakonski pogoji, da se v postopek pritegne Državno odvetništvo RS. </w:t>
      </w:r>
      <w:r w:rsidRPr="00CB5050">
        <w:rPr>
          <w:rFonts w:eastAsia="Calibri"/>
        </w:rPr>
        <w:t xml:space="preserve">V teh primerih Državno odvetništvo RS mora prevzeti zastopanje centra za socialno delo pred sodiščem. </w:t>
      </w:r>
    </w:p>
    <w:p w14:paraId="22C84237" w14:textId="77777777" w:rsidR="00695AE2" w:rsidRPr="00CB5050" w:rsidRDefault="00695AE2" w:rsidP="00695AE2">
      <w:pPr>
        <w:spacing w:line="240" w:lineRule="auto"/>
        <w:jc w:val="both"/>
        <w:rPr>
          <w:rFonts w:eastAsia="Calibri"/>
          <w:lang w:eastAsia="sl-SI"/>
        </w:rPr>
      </w:pPr>
    </w:p>
    <w:p w14:paraId="77A10C32" w14:textId="77777777" w:rsidR="00695AE2" w:rsidRPr="00CB5050" w:rsidRDefault="00695AE2" w:rsidP="00695AE2">
      <w:pPr>
        <w:spacing w:after="160" w:line="259" w:lineRule="auto"/>
        <w:jc w:val="both"/>
        <w:rPr>
          <w:rFonts w:eastAsia="Calibri"/>
        </w:rPr>
      </w:pPr>
      <w:r w:rsidRPr="00CB5050">
        <w:rPr>
          <w:rFonts w:eastAsia="Calibri"/>
        </w:rPr>
        <w:t xml:space="preserve">Določba 46. člena ZNP-1 se nanaša zgolj na zastopanje centra za socialno delo, ki ga lahko ob izpolnjevanju pogojev iz drugega odstavka 46. člena ZNP-1 nadomesti Državno odvetništvo RS. Tako zastopanje centra za socialno delo kot tudi vključitev Državnega odvetništva RS se nanašata zgolj na nepravdne postopke za ureditev osebnih stanj in družinskih razmerij. </w:t>
      </w:r>
    </w:p>
    <w:p w14:paraId="785DE0A8"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Državno odvetništvo RS lahko tako pred sodiščem nastopi v naslednjih primerih: </w:t>
      </w:r>
    </w:p>
    <w:p w14:paraId="44808F08"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postavitve odrasle osebe pod skrbništvo,</w:t>
      </w:r>
    </w:p>
    <w:p w14:paraId="12FC0571"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pridobitev popolne poslovne sposobnosti otroka, ki je postal roditelj,</w:t>
      </w:r>
    </w:p>
    <w:p w14:paraId="69698A3A"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postopkih varstva koristi otroka,</w:t>
      </w:r>
    </w:p>
    <w:p w14:paraId="10E8CC88"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postopkih za odločanje o varstvu in vzgoji otroka, preživljanju otroka in otrokovih stikih ter za spremembo sklepa, ki ta vprašanja ureja,</w:t>
      </w:r>
    </w:p>
    <w:p w14:paraId="4DFB41BE"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odločanje o vprašanjih izvajanja starševske skrbi, ki bistveno vplivajo na otrokov razvoj,</w:t>
      </w:r>
    </w:p>
    <w:p w14:paraId="3B15E2AD"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odločanje o ukrepih za varstvo koristi otrok,</w:t>
      </w:r>
    </w:p>
    <w:p w14:paraId="51A5D9B8"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postavitev otroka pod skrbništvo,</w:t>
      </w:r>
    </w:p>
    <w:p w14:paraId="629E3DA3"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namestitev otroka v rejništvo, ki ni del postopka za odločanje o ukrepih za varstvo koristi otrok, in v postopku za prenehanje rejništva,</w:t>
      </w:r>
    </w:p>
    <w:p w14:paraId="6BAF6F3A"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podelitev starševske skrbi sorodniku,</w:t>
      </w:r>
    </w:p>
    <w:p w14:paraId="444AFC2E" w14:textId="77777777" w:rsidR="00695AE2" w:rsidRPr="00CB5050" w:rsidRDefault="00695AE2" w:rsidP="00695AE2">
      <w:pPr>
        <w:numPr>
          <w:ilvl w:val="0"/>
          <w:numId w:val="117"/>
        </w:numPr>
        <w:spacing w:after="160" w:line="240" w:lineRule="auto"/>
        <w:contextualSpacing/>
        <w:jc w:val="both"/>
        <w:rPr>
          <w:rFonts w:eastAsia="Calibri"/>
          <w:lang w:eastAsia="sl-SI"/>
        </w:rPr>
      </w:pPr>
      <w:r w:rsidRPr="00CB5050">
        <w:rPr>
          <w:rFonts w:eastAsia="Calibri"/>
          <w:lang w:eastAsia="sl-SI"/>
        </w:rPr>
        <w:t>v postopku za posvojitev in razveljavitve posvojitve.</w:t>
      </w:r>
    </w:p>
    <w:p w14:paraId="0BB95126" w14:textId="77777777" w:rsidR="00695AE2" w:rsidRPr="00CB5050" w:rsidRDefault="00695AE2" w:rsidP="00695AE2">
      <w:pPr>
        <w:spacing w:line="240" w:lineRule="auto"/>
        <w:jc w:val="both"/>
        <w:rPr>
          <w:rFonts w:eastAsia="Calibri"/>
          <w:bCs/>
        </w:rPr>
      </w:pPr>
    </w:p>
    <w:p w14:paraId="5F6AC983" w14:textId="77777777" w:rsidR="00695AE2" w:rsidRPr="00CB5050" w:rsidRDefault="00695AE2" w:rsidP="00695AE2">
      <w:pPr>
        <w:spacing w:line="240" w:lineRule="auto"/>
        <w:jc w:val="both"/>
        <w:rPr>
          <w:rFonts w:eastAsia="Calibri"/>
        </w:rPr>
      </w:pPr>
      <w:r w:rsidRPr="00CB5050">
        <w:rPr>
          <w:rFonts w:eastAsia="Calibri"/>
        </w:rPr>
        <w:t xml:space="preserve">V primeru prevzema zastopanja CSD s strani Državnega odvetništva RS je Državno odvetništvo RS vezano na že vložene predloge CSD in pooblastilo, ki ga zakon daje Državnemu odvetništvu RS na podlagi 46. člena ZNP-1. </w:t>
      </w:r>
    </w:p>
    <w:p w14:paraId="1EC194F6" w14:textId="77777777" w:rsidR="00695AE2" w:rsidRPr="00CB5050" w:rsidRDefault="00695AE2" w:rsidP="00695AE2">
      <w:pPr>
        <w:spacing w:line="240" w:lineRule="auto"/>
        <w:jc w:val="both"/>
        <w:rPr>
          <w:rFonts w:eastAsia="Calibri"/>
        </w:rPr>
      </w:pPr>
    </w:p>
    <w:p w14:paraId="037C6A34" w14:textId="77777777" w:rsidR="00695AE2" w:rsidRPr="00CB5050" w:rsidRDefault="00695AE2" w:rsidP="00695AE2">
      <w:pPr>
        <w:pStyle w:val="Naslov3"/>
      </w:pPr>
      <w:bookmarkStart w:id="832" w:name="_Toc95149796"/>
      <w:bookmarkStart w:id="833" w:name="_Toc168845021"/>
      <w:bookmarkStart w:id="834" w:name="_Toc191562005"/>
      <w:bookmarkStart w:id="835" w:name="_Toc223094003"/>
      <w:r w:rsidRPr="00CB5050">
        <w:t>Statisti</w:t>
      </w:r>
      <w:bookmarkEnd w:id="832"/>
      <w:bookmarkEnd w:id="833"/>
      <w:r w:rsidRPr="00CB5050">
        <w:t>čni podatki</w:t>
      </w:r>
      <w:bookmarkEnd w:id="834"/>
      <w:bookmarkEnd w:id="835"/>
    </w:p>
    <w:p w14:paraId="5702EF48" w14:textId="77777777" w:rsidR="00695AE2" w:rsidRPr="00CB5050" w:rsidRDefault="00695AE2" w:rsidP="00695AE2">
      <w:pPr>
        <w:spacing w:line="240" w:lineRule="auto"/>
        <w:rPr>
          <w:rFonts w:eastAsia="Calibri"/>
          <w:sz w:val="28"/>
          <w:szCs w:val="28"/>
        </w:rPr>
      </w:pPr>
    </w:p>
    <w:p w14:paraId="26A2854F" w14:textId="77777777" w:rsidR="00695AE2" w:rsidRPr="00CB5050" w:rsidRDefault="00695AE2" w:rsidP="00695AE2">
      <w:pPr>
        <w:pStyle w:val="Naslov4"/>
      </w:pPr>
      <w:bookmarkStart w:id="836" w:name="_Toc168845022"/>
      <w:bookmarkStart w:id="837" w:name="_Toc191562006"/>
      <w:bookmarkStart w:id="838" w:name="_Toc223094004"/>
      <w:r w:rsidRPr="00CB5050">
        <w:t>Statistični pregled za nepravdne zadeve – splošno</w:t>
      </w:r>
      <w:bookmarkEnd w:id="836"/>
      <w:bookmarkEnd w:id="837"/>
      <w:bookmarkEnd w:id="838"/>
    </w:p>
    <w:p w14:paraId="43E0ED9B" w14:textId="77777777" w:rsidR="00695AE2" w:rsidRPr="00CB5050" w:rsidRDefault="00695AE2" w:rsidP="00695AE2">
      <w:pPr>
        <w:spacing w:line="240" w:lineRule="auto"/>
        <w:jc w:val="both"/>
        <w:rPr>
          <w:rFonts w:eastAsia="Calibri"/>
          <w:szCs w:val="22"/>
        </w:rPr>
      </w:pPr>
    </w:p>
    <w:p w14:paraId="27083F35"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je v letu 2025 prejelo 15.546 nepravdnih zadev, skupno pa je imelo leta 2025 na tem področju v delu 24.505 zadev.</w:t>
      </w:r>
    </w:p>
    <w:p w14:paraId="026D9D50" w14:textId="77777777" w:rsidR="00695AE2" w:rsidRPr="00CB5050" w:rsidRDefault="00695AE2" w:rsidP="00695AE2">
      <w:pPr>
        <w:spacing w:line="240" w:lineRule="auto"/>
        <w:jc w:val="both"/>
        <w:rPr>
          <w:rFonts w:eastAsia="Calibri"/>
        </w:rPr>
      </w:pPr>
      <w:r w:rsidRPr="00CB5050">
        <w:rPr>
          <w:rFonts w:eastAsia="Calibri"/>
        </w:rPr>
        <w:t xml:space="preserve"> </w:t>
      </w:r>
    </w:p>
    <w:p w14:paraId="4238BD5C" w14:textId="77777777" w:rsidR="00695AE2" w:rsidRPr="00CB5050" w:rsidRDefault="00695AE2" w:rsidP="00695AE2">
      <w:pPr>
        <w:spacing w:line="240" w:lineRule="auto"/>
        <w:jc w:val="both"/>
        <w:rPr>
          <w:rFonts w:eastAsia="Calibri"/>
          <w:szCs w:val="22"/>
        </w:rPr>
      </w:pPr>
      <w:r w:rsidRPr="00CB5050">
        <w:rPr>
          <w:rFonts w:eastAsia="Calibri"/>
          <w:szCs w:val="22"/>
        </w:rPr>
        <w:t>V letu 2025 je bilo zaključenih 16.390 zadev, odprtih zadev pa je na dan 31. 12. 2025 ostalo 8.115.</w:t>
      </w:r>
    </w:p>
    <w:p w14:paraId="15C54E37" w14:textId="77777777" w:rsidR="00695AE2" w:rsidRDefault="00695AE2" w:rsidP="00695AE2">
      <w:pPr>
        <w:spacing w:line="240" w:lineRule="auto"/>
        <w:jc w:val="both"/>
        <w:rPr>
          <w:rFonts w:eastAsia="Calibri"/>
        </w:rPr>
      </w:pPr>
    </w:p>
    <w:p w14:paraId="4D564BA7" w14:textId="77777777" w:rsidR="00695AE2" w:rsidRPr="00CB5050" w:rsidRDefault="00695AE2" w:rsidP="00695AE2">
      <w:pPr>
        <w:tabs>
          <w:tab w:val="left" w:pos="283"/>
        </w:tabs>
        <w:autoSpaceDE w:val="0"/>
        <w:autoSpaceDN w:val="0"/>
        <w:adjustRightInd w:val="0"/>
        <w:spacing w:line="20" w:lineRule="atLeast"/>
        <w:jc w:val="both"/>
        <w:textAlignment w:val="center"/>
        <w:rPr>
          <w:rFonts w:eastAsia="Calibri"/>
          <w:b/>
          <w:bCs/>
          <w:color w:val="007466"/>
          <w:spacing w:val="1"/>
          <w:sz w:val="20"/>
          <w:szCs w:val="20"/>
        </w:rPr>
      </w:pPr>
      <w:bookmarkStart w:id="839" w:name="_Toc95149797"/>
      <w:r w:rsidRPr="00CB5050">
        <w:rPr>
          <w:rFonts w:eastAsia="Calibri"/>
          <w:b/>
          <w:bCs/>
          <w:color w:val="007466"/>
          <w:spacing w:val="1"/>
          <w:sz w:val="20"/>
          <w:szCs w:val="20"/>
        </w:rPr>
        <w:t xml:space="preserve">Preglednica: Število prejetih in vloženih predlogov v letu 2025 zbirno </w:t>
      </w:r>
    </w:p>
    <w:p w14:paraId="02A11DF0" w14:textId="77777777" w:rsidR="00695AE2" w:rsidRPr="00CB5050" w:rsidRDefault="00695AE2" w:rsidP="00695AE2">
      <w:pPr>
        <w:spacing w:line="240" w:lineRule="auto"/>
        <w:jc w:val="both"/>
        <w:rPr>
          <w:rFonts w:eastAsia="Calibri"/>
          <w:sz w:val="20"/>
          <w:szCs w:val="20"/>
        </w:rPr>
      </w:pPr>
    </w:p>
    <w:tbl>
      <w:tblPr>
        <w:tblStyle w:val="Tabelamrea4"/>
        <w:tblW w:w="0" w:type="auto"/>
        <w:tblLook w:val="04A0" w:firstRow="1" w:lastRow="0" w:firstColumn="1" w:lastColumn="0" w:noHBand="0" w:noVBand="1"/>
      </w:tblPr>
      <w:tblGrid>
        <w:gridCol w:w="4510"/>
        <w:gridCol w:w="4506"/>
      </w:tblGrid>
      <w:tr w:rsidR="00695AE2" w:rsidRPr="00CB5050" w14:paraId="0ED3EBF6" w14:textId="77777777" w:rsidTr="00980493">
        <w:tc>
          <w:tcPr>
            <w:tcW w:w="4510" w:type="dxa"/>
          </w:tcPr>
          <w:p w14:paraId="7A06329C" w14:textId="77777777" w:rsidR="00695AE2" w:rsidRPr="00CB5050" w:rsidRDefault="00695AE2" w:rsidP="00980493">
            <w:pPr>
              <w:rPr>
                <w:rFonts w:eastAsia="Calibri" w:cs="Calibri"/>
                <w:sz w:val="16"/>
                <w:szCs w:val="16"/>
              </w:rPr>
            </w:pPr>
          </w:p>
        </w:tc>
        <w:tc>
          <w:tcPr>
            <w:tcW w:w="4506" w:type="dxa"/>
          </w:tcPr>
          <w:p w14:paraId="5AD0943E" w14:textId="77777777" w:rsidR="00695AE2" w:rsidRPr="00CB5050" w:rsidRDefault="00695AE2" w:rsidP="00980493">
            <w:pPr>
              <w:rPr>
                <w:rFonts w:eastAsia="Calibri" w:cs="Calibri"/>
                <w:sz w:val="16"/>
                <w:szCs w:val="16"/>
              </w:rPr>
            </w:pPr>
            <w:r w:rsidRPr="00CB5050">
              <w:rPr>
                <w:rFonts w:eastAsia="Calibri" w:cs="Calibri"/>
                <w:sz w:val="16"/>
                <w:szCs w:val="16"/>
              </w:rPr>
              <w:t>ZBIRNO 2025</w:t>
            </w:r>
          </w:p>
        </w:tc>
      </w:tr>
      <w:tr w:rsidR="00695AE2" w:rsidRPr="00CB5050" w14:paraId="2CCF773A" w14:textId="77777777" w:rsidTr="00980493">
        <w:tc>
          <w:tcPr>
            <w:tcW w:w="4510" w:type="dxa"/>
          </w:tcPr>
          <w:p w14:paraId="7310033F" w14:textId="77777777" w:rsidR="00695AE2" w:rsidRPr="00CB5050" w:rsidRDefault="00695AE2" w:rsidP="00980493">
            <w:pPr>
              <w:rPr>
                <w:rFonts w:eastAsia="Calibri" w:cs="Calibri"/>
                <w:sz w:val="16"/>
                <w:szCs w:val="16"/>
              </w:rPr>
            </w:pPr>
            <w:r w:rsidRPr="00CB5050">
              <w:rPr>
                <w:rFonts w:eastAsia="Calibri" w:cs="Calibri"/>
                <w:sz w:val="16"/>
                <w:szCs w:val="16"/>
              </w:rPr>
              <w:t>Predlog za določitev odškodnine</w:t>
            </w:r>
          </w:p>
        </w:tc>
        <w:tc>
          <w:tcPr>
            <w:tcW w:w="4506" w:type="dxa"/>
          </w:tcPr>
          <w:p w14:paraId="485981A5" w14:textId="77777777" w:rsidR="00695AE2" w:rsidRPr="00CB5050" w:rsidRDefault="00695AE2" w:rsidP="00980493">
            <w:pPr>
              <w:jc w:val="center"/>
              <w:rPr>
                <w:rFonts w:eastAsia="Calibri" w:cs="Calibri"/>
                <w:sz w:val="16"/>
                <w:szCs w:val="16"/>
              </w:rPr>
            </w:pPr>
            <w:r w:rsidRPr="00CB5050">
              <w:rPr>
                <w:rFonts w:eastAsia="Calibri" w:cs="Calibri"/>
                <w:sz w:val="16"/>
                <w:szCs w:val="16"/>
              </w:rPr>
              <w:t>32</w:t>
            </w:r>
          </w:p>
        </w:tc>
      </w:tr>
      <w:tr w:rsidR="00695AE2" w:rsidRPr="00CB5050" w14:paraId="36D1A0F2" w14:textId="77777777" w:rsidTr="00980493">
        <w:tc>
          <w:tcPr>
            <w:tcW w:w="4510" w:type="dxa"/>
          </w:tcPr>
          <w:p w14:paraId="2E1DAF35" w14:textId="77777777" w:rsidR="00695AE2" w:rsidRPr="00CB5050" w:rsidRDefault="00695AE2" w:rsidP="00980493">
            <w:pPr>
              <w:rPr>
                <w:rFonts w:eastAsia="Calibri" w:cs="Calibri"/>
                <w:sz w:val="16"/>
                <w:szCs w:val="16"/>
              </w:rPr>
            </w:pPr>
            <w:r w:rsidRPr="00CB5050">
              <w:rPr>
                <w:rFonts w:eastAsia="Calibri" w:cs="Calibri"/>
                <w:sz w:val="16"/>
                <w:szCs w:val="16"/>
              </w:rPr>
              <w:t>Predlog za uvedbo zapuščinskega postopka</w:t>
            </w:r>
          </w:p>
        </w:tc>
        <w:tc>
          <w:tcPr>
            <w:tcW w:w="4506" w:type="dxa"/>
          </w:tcPr>
          <w:p w14:paraId="43D75481" w14:textId="77777777" w:rsidR="00695AE2" w:rsidRPr="00CB5050" w:rsidRDefault="00695AE2" w:rsidP="00980493">
            <w:pPr>
              <w:jc w:val="center"/>
              <w:rPr>
                <w:rFonts w:eastAsia="Calibri" w:cs="Calibri"/>
                <w:sz w:val="16"/>
                <w:szCs w:val="16"/>
              </w:rPr>
            </w:pPr>
            <w:r w:rsidRPr="00CB5050">
              <w:rPr>
                <w:rFonts w:eastAsia="Calibri" w:cs="Calibri"/>
                <w:sz w:val="16"/>
                <w:szCs w:val="16"/>
              </w:rPr>
              <w:t>28</w:t>
            </w:r>
          </w:p>
        </w:tc>
      </w:tr>
      <w:tr w:rsidR="00695AE2" w:rsidRPr="00CB5050" w14:paraId="6898190F" w14:textId="77777777" w:rsidTr="00980493">
        <w:tc>
          <w:tcPr>
            <w:tcW w:w="4510" w:type="dxa"/>
          </w:tcPr>
          <w:p w14:paraId="231833B7" w14:textId="77777777" w:rsidR="00695AE2" w:rsidRPr="00CB5050" w:rsidRDefault="00695AE2" w:rsidP="00980493">
            <w:pPr>
              <w:rPr>
                <w:rFonts w:eastAsia="Calibri" w:cs="Calibri"/>
                <w:sz w:val="16"/>
                <w:szCs w:val="16"/>
              </w:rPr>
            </w:pPr>
            <w:r w:rsidRPr="00CB5050">
              <w:rPr>
                <w:rFonts w:eastAsia="Calibri" w:cs="Calibri"/>
                <w:sz w:val="16"/>
                <w:szCs w:val="16"/>
              </w:rPr>
              <w:t>Predlog za omejitev dedovanja</w:t>
            </w:r>
          </w:p>
        </w:tc>
        <w:tc>
          <w:tcPr>
            <w:tcW w:w="4506" w:type="dxa"/>
          </w:tcPr>
          <w:p w14:paraId="7284B81D" w14:textId="77777777" w:rsidR="00695AE2" w:rsidRPr="00CB5050" w:rsidRDefault="00695AE2" w:rsidP="00980493">
            <w:pPr>
              <w:jc w:val="center"/>
              <w:rPr>
                <w:rFonts w:eastAsia="Calibri" w:cs="Calibri"/>
                <w:sz w:val="16"/>
                <w:szCs w:val="16"/>
              </w:rPr>
            </w:pPr>
            <w:r w:rsidRPr="00CB5050">
              <w:rPr>
                <w:rFonts w:eastAsia="Calibri" w:cs="Calibri"/>
                <w:sz w:val="16"/>
                <w:szCs w:val="16"/>
              </w:rPr>
              <w:t>1.593</w:t>
            </w:r>
          </w:p>
        </w:tc>
      </w:tr>
      <w:tr w:rsidR="00695AE2" w:rsidRPr="00CB5050" w14:paraId="2B14411C" w14:textId="77777777" w:rsidTr="00980493">
        <w:tc>
          <w:tcPr>
            <w:tcW w:w="4510" w:type="dxa"/>
          </w:tcPr>
          <w:p w14:paraId="2E063D46" w14:textId="77777777" w:rsidR="00695AE2" w:rsidRPr="00CB5050" w:rsidRDefault="00695AE2" w:rsidP="00980493">
            <w:pPr>
              <w:rPr>
                <w:rFonts w:eastAsia="Calibri" w:cs="Calibri"/>
                <w:sz w:val="16"/>
                <w:szCs w:val="16"/>
              </w:rPr>
            </w:pPr>
            <w:r w:rsidRPr="00CB5050">
              <w:rPr>
                <w:rFonts w:eastAsia="Calibri" w:cs="Calibri"/>
                <w:sz w:val="16"/>
                <w:szCs w:val="16"/>
              </w:rPr>
              <w:t>Prijava v zapuščinski postopek</w:t>
            </w:r>
          </w:p>
        </w:tc>
        <w:tc>
          <w:tcPr>
            <w:tcW w:w="4506" w:type="dxa"/>
          </w:tcPr>
          <w:p w14:paraId="406984B1" w14:textId="77777777" w:rsidR="00695AE2" w:rsidRPr="00CB5050" w:rsidRDefault="00695AE2" w:rsidP="00980493">
            <w:pPr>
              <w:jc w:val="center"/>
              <w:rPr>
                <w:rFonts w:eastAsia="Calibri" w:cs="Calibri"/>
                <w:sz w:val="16"/>
                <w:szCs w:val="16"/>
              </w:rPr>
            </w:pPr>
            <w:r w:rsidRPr="00CB5050">
              <w:rPr>
                <w:rFonts w:eastAsia="Calibri" w:cs="Calibri"/>
                <w:sz w:val="16"/>
                <w:szCs w:val="16"/>
              </w:rPr>
              <w:t>999</w:t>
            </w:r>
          </w:p>
        </w:tc>
      </w:tr>
      <w:tr w:rsidR="00695AE2" w:rsidRPr="00CB5050" w14:paraId="53436CCD" w14:textId="77777777" w:rsidTr="00980493">
        <w:tc>
          <w:tcPr>
            <w:tcW w:w="4510" w:type="dxa"/>
          </w:tcPr>
          <w:p w14:paraId="43129B99" w14:textId="77777777" w:rsidR="00695AE2" w:rsidRPr="00CB5050" w:rsidRDefault="00695AE2" w:rsidP="00980493">
            <w:pPr>
              <w:rPr>
                <w:rFonts w:eastAsia="Calibri" w:cs="Calibri"/>
                <w:sz w:val="16"/>
                <w:szCs w:val="16"/>
              </w:rPr>
            </w:pPr>
            <w:r w:rsidRPr="00CB5050">
              <w:rPr>
                <w:rFonts w:eastAsia="Calibri" w:cs="Calibri"/>
                <w:sz w:val="16"/>
                <w:szCs w:val="16"/>
              </w:rPr>
              <w:t>Predlog za razglasitev mrtvega</w:t>
            </w:r>
          </w:p>
        </w:tc>
        <w:tc>
          <w:tcPr>
            <w:tcW w:w="4506" w:type="dxa"/>
          </w:tcPr>
          <w:p w14:paraId="3BE820E9" w14:textId="77777777" w:rsidR="00695AE2" w:rsidRPr="00CB5050" w:rsidRDefault="00695AE2" w:rsidP="00980493">
            <w:pPr>
              <w:jc w:val="center"/>
              <w:rPr>
                <w:rFonts w:eastAsia="Calibri" w:cs="Calibri"/>
                <w:sz w:val="16"/>
                <w:szCs w:val="16"/>
              </w:rPr>
            </w:pPr>
            <w:r w:rsidRPr="00CB5050">
              <w:rPr>
                <w:rFonts w:eastAsia="Calibri" w:cs="Calibri"/>
                <w:sz w:val="16"/>
                <w:szCs w:val="16"/>
              </w:rPr>
              <w:t>51</w:t>
            </w:r>
          </w:p>
        </w:tc>
      </w:tr>
      <w:tr w:rsidR="00695AE2" w:rsidRPr="00CB5050" w14:paraId="2D49D888" w14:textId="77777777" w:rsidTr="00980493">
        <w:tc>
          <w:tcPr>
            <w:tcW w:w="4510" w:type="dxa"/>
          </w:tcPr>
          <w:p w14:paraId="5CB1CC5D" w14:textId="77777777" w:rsidR="00695AE2" w:rsidRPr="00CB5050" w:rsidRDefault="00695AE2" w:rsidP="00980493">
            <w:pPr>
              <w:rPr>
                <w:rFonts w:eastAsia="Calibri" w:cs="Calibri"/>
                <w:sz w:val="16"/>
                <w:szCs w:val="16"/>
              </w:rPr>
            </w:pPr>
            <w:r w:rsidRPr="00CB5050">
              <w:rPr>
                <w:rFonts w:eastAsia="Calibri" w:cs="Calibri"/>
                <w:sz w:val="16"/>
                <w:szCs w:val="16"/>
              </w:rPr>
              <w:t>Predlog za razdružitev solastnine</w:t>
            </w:r>
          </w:p>
        </w:tc>
        <w:tc>
          <w:tcPr>
            <w:tcW w:w="4506" w:type="dxa"/>
          </w:tcPr>
          <w:p w14:paraId="2BF9E819" w14:textId="77777777" w:rsidR="00695AE2" w:rsidRPr="00CB5050" w:rsidRDefault="00695AE2" w:rsidP="00980493">
            <w:pPr>
              <w:jc w:val="center"/>
              <w:rPr>
                <w:rFonts w:eastAsia="Calibri" w:cs="Calibri"/>
                <w:sz w:val="16"/>
                <w:szCs w:val="16"/>
              </w:rPr>
            </w:pPr>
            <w:r w:rsidRPr="00CB5050">
              <w:rPr>
                <w:rFonts w:eastAsia="Calibri" w:cs="Calibri"/>
                <w:sz w:val="16"/>
                <w:szCs w:val="16"/>
              </w:rPr>
              <w:t>12</w:t>
            </w:r>
          </w:p>
        </w:tc>
      </w:tr>
      <w:tr w:rsidR="00695AE2" w:rsidRPr="00CB5050" w14:paraId="7177E97F" w14:textId="77777777" w:rsidTr="00980493">
        <w:tc>
          <w:tcPr>
            <w:tcW w:w="4510" w:type="dxa"/>
          </w:tcPr>
          <w:p w14:paraId="05049DE5" w14:textId="77777777" w:rsidR="00695AE2" w:rsidRPr="00CB5050" w:rsidRDefault="00695AE2" w:rsidP="00980493">
            <w:pPr>
              <w:rPr>
                <w:rFonts w:eastAsia="Calibri" w:cs="Calibri"/>
                <w:sz w:val="16"/>
                <w:szCs w:val="16"/>
              </w:rPr>
            </w:pPr>
            <w:r w:rsidRPr="00CB5050">
              <w:rPr>
                <w:rFonts w:eastAsia="Calibri" w:cs="Calibri"/>
                <w:sz w:val="16"/>
                <w:szCs w:val="16"/>
              </w:rPr>
              <w:t>Kaduciteta (zapuščina brez dedičev)</w:t>
            </w:r>
          </w:p>
        </w:tc>
        <w:tc>
          <w:tcPr>
            <w:tcW w:w="4506" w:type="dxa"/>
          </w:tcPr>
          <w:p w14:paraId="1D2A0E6B" w14:textId="77777777" w:rsidR="00695AE2" w:rsidRPr="00CB5050" w:rsidRDefault="00695AE2" w:rsidP="00980493">
            <w:pPr>
              <w:jc w:val="center"/>
              <w:rPr>
                <w:rFonts w:eastAsia="Calibri" w:cs="Calibri"/>
                <w:sz w:val="16"/>
                <w:szCs w:val="16"/>
              </w:rPr>
            </w:pPr>
            <w:r w:rsidRPr="00CB5050">
              <w:rPr>
                <w:rFonts w:eastAsia="Calibri" w:cs="Calibri"/>
                <w:sz w:val="16"/>
                <w:szCs w:val="16"/>
              </w:rPr>
              <w:t>496</w:t>
            </w:r>
          </w:p>
        </w:tc>
      </w:tr>
      <w:tr w:rsidR="00695AE2" w:rsidRPr="00CB5050" w14:paraId="30548DDD" w14:textId="77777777" w:rsidTr="00980493">
        <w:tc>
          <w:tcPr>
            <w:tcW w:w="4510" w:type="dxa"/>
          </w:tcPr>
          <w:p w14:paraId="2045AA0B" w14:textId="77777777" w:rsidR="00695AE2" w:rsidRPr="00CB5050" w:rsidRDefault="00695AE2" w:rsidP="00980493">
            <w:pPr>
              <w:rPr>
                <w:rFonts w:eastAsia="Calibri" w:cs="Calibri"/>
                <w:sz w:val="16"/>
                <w:szCs w:val="16"/>
              </w:rPr>
            </w:pPr>
            <w:r w:rsidRPr="00CB5050">
              <w:rPr>
                <w:rFonts w:eastAsia="Calibri" w:cs="Calibri"/>
                <w:sz w:val="16"/>
                <w:szCs w:val="16"/>
              </w:rPr>
              <w:t>Zemljiškoknjižni predlog</w:t>
            </w:r>
          </w:p>
        </w:tc>
        <w:tc>
          <w:tcPr>
            <w:tcW w:w="4506" w:type="dxa"/>
          </w:tcPr>
          <w:p w14:paraId="2B993A0B" w14:textId="77777777" w:rsidR="00695AE2" w:rsidRPr="00CB5050" w:rsidRDefault="00695AE2" w:rsidP="00980493">
            <w:pPr>
              <w:jc w:val="center"/>
              <w:rPr>
                <w:rFonts w:eastAsia="Calibri" w:cs="Calibri"/>
                <w:sz w:val="16"/>
                <w:szCs w:val="16"/>
              </w:rPr>
            </w:pPr>
            <w:r w:rsidRPr="00CB5050">
              <w:rPr>
                <w:rFonts w:eastAsia="Calibri" w:cs="Calibri"/>
                <w:sz w:val="16"/>
                <w:szCs w:val="16"/>
              </w:rPr>
              <w:t>6.021</w:t>
            </w:r>
          </w:p>
        </w:tc>
      </w:tr>
    </w:tbl>
    <w:p w14:paraId="36D33745" w14:textId="77777777" w:rsidR="00695AE2" w:rsidRPr="00CB5050" w:rsidRDefault="00695AE2" w:rsidP="00695AE2">
      <w:pPr>
        <w:spacing w:line="240" w:lineRule="auto"/>
        <w:jc w:val="both"/>
        <w:rPr>
          <w:rFonts w:eastAsia="Calibri"/>
        </w:rPr>
      </w:pPr>
    </w:p>
    <w:p w14:paraId="5FFC1FB1" w14:textId="77777777" w:rsidR="00695AE2" w:rsidRPr="00CB5050" w:rsidRDefault="00695AE2" w:rsidP="00695AE2">
      <w:pPr>
        <w:pStyle w:val="Naslov4"/>
      </w:pPr>
      <w:bookmarkStart w:id="840" w:name="_Toc191562007"/>
      <w:bookmarkStart w:id="841" w:name="_Toc223094005"/>
      <w:bookmarkStart w:id="842" w:name="_Toc168845023"/>
      <w:r w:rsidRPr="00CB5050">
        <w:t>Število novih zadev po posameznih nepravdnih postopkih</w:t>
      </w:r>
      <w:bookmarkEnd w:id="840"/>
      <w:bookmarkEnd w:id="841"/>
      <w:r w:rsidRPr="00CB5050">
        <w:t xml:space="preserve"> </w:t>
      </w:r>
    </w:p>
    <w:p w14:paraId="6658AA08" w14:textId="77777777" w:rsidR="00695AE2" w:rsidRPr="00CB5050" w:rsidRDefault="00695AE2" w:rsidP="00695AE2">
      <w:pPr>
        <w:pStyle w:val="Jasna"/>
      </w:pPr>
    </w:p>
    <w:p w14:paraId="727FE1D9" w14:textId="77777777" w:rsidR="00695AE2" w:rsidRPr="00CB5050" w:rsidRDefault="00695AE2" w:rsidP="00695AE2">
      <w:pPr>
        <w:pStyle w:val="Naslov5"/>
        <w:rPr>
          <w:b/>
        </w:rPr>
      </w:pPr>
      <w:bookmarkStart w:id="843" w:name="_Toc191562008"/>
      <w:bookmarkStart w:id="844" w:name="_Toc223094006"/>
      <w:r w:rsidRPr="00CB5050">
        <w:t>Zapuščinski postopki</w:t>
      </w:r>
      <w:bookmarkEnd w:id="839"/>
      <w:bookmarkEnd w:id="842"/>
      <w:bookmarkEnd w:id="843"/>
      <w:bookmarkEnd w:id="844"/>
    </w:p>
    <w:p w14:paraId="2F084615" w14:textId="77777777" w:rsidR="00695AE2" w:rsidRPr="00CB5050" w:rsidRDefault="00695AE2" w:rsidP="00695AE2">
      <w:pPr>
        <w:spacing w:line="240" w:lineRule="auto"/>
        <w:rPr>
          <w:rFonts w:eastAsia="Calibri"/>
        </w:rPr>
      </w:pPr>
    </w:p>
    <w:p w14:paraId="6B755E08"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leta 2025 prejelo 999 predlogov za </w:t>
      </w:r>
      <w:r w:rsidRPr="00CB5050">
        <w:rPr>
          <w:rFonts w:eastAsia="Calibri"/>
          <w:color w:val="007466"/>
          <w:szCs w:val="22"/>
        </w:rPr>
        <w:t>prijavo terjatev v zapuščino</w:t>
      </w:r>
      <w:r w:rsidRPr="00CB5050">
        <w:rPr>
          <w:rFonts w:eastAsia="Calibri"/>
          <w:szCs w:val="22"/>
        </w:rPr>
        <w:t xml:space="preserve">, kar je 6,73 odstotka več kot leta 2024, ko je prejelo 936 predlogov. </w:t>
      </w:r>
    </w:p>
    <w:p w14:paraId="10A540E9" w14:textId="77777777" w:rsidR="00695AE2" w:rsidRPr="00CB5050" w:rsidRDefault="00695AE2" w:rsidP="00695AE2">
      <w:pPr>
        <w:spacing w:line="240" w:lineRule="auto"/>
        <w:jc w:val="both"/>
        <w:rPr>
          <w:rFonts w:eastAsia="Calibri"/>
        </w:rPr>
      </w:pPr>
    </w:p>
    <w:p w14:paraId="2EB7E29E"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prejelo 1.593 zadev za vložitev </w:t>
      </w:r>
      <w:r w:rsidRPr="00CB5050">
        <w:rPr>
          <w:rFonts w:eastAsia="Calibri"/>
          <w:color w:val="007466"/>
          <w:szCs w:val="22"/>
        </w:rPr>
        <w:t>predloga za omejitev dedovanja</w:t>
      </w:r>
      <w:r w:rsidRPr="00CB5050">
        <w:rPr>
          <w:rFonts w:eastAsia="Calibri"/>
          <w:szCs w:val="22"/>
        </w:rPr>
        <w:t xml:space="preserve">, kar je 8,07 odstotka več kot leta 2024, ko je bilo teh predlogov vloženih 1.474. </w:t>
      </w:r>
    </w:p>
    <w:p w14:paraId="5F7D952C" w14:textId="77777777" w:rsidR="00695AE2" w:rsidRPr="00CB5050" w:rsidRDefault="00695AE2" w:rsidP="00695AE2">
      <w:pPr>
        <w:spacing w:line="240" w:lineRule="auto"/>
        <w:jc w:val="both"/>
        <w:rPr>
          <w:rFonts w:eastAsia="Calibri"/>
        </w:rPr>
      </w:pPr>
    </w:p>
    <w:p w14:paraId="6FD0A7A7" w14:textId="77777777" w:rsidR="00695AE2" w:rsidRPr="00CB5050" w:rsidRDefault="00695AE2" w:rsidP="00695AE2">
      <w:pPr>
        <w:spacing w:line="240" w:lineRule="auto"/>
        <w:jc w:val="both"/>
        <w:rPr>
          <w:rFonts w:eastAsia="Calibri"/>
          <w:szCs w:val="22"/>
        </w:rPr>
      </w:pPr>
      <w:r w:rsidRPr="00CB5050">
        <w:rPr>
          <w:rFonts w:eastAsia="Calibri"/>
          <w:szCs w:val="22"/>
        </w:rPr>
        <w:t xml:space="preserve">Republiko Slovenijo je Državno odvetništvo RS v letu 2025 zastopalo tudi v 496 novih zadevah, ki se nanašajo na </w:t>
      </w:r>
      <w:r w:rsidRPr="00CB5050">
        <w:rPr>
          <w:rFonts w:eastAsia="Calibri"/>
          <w:color w:val="007466"/>
          <w:szCs w:val="22"/>
        </w:rPr>
        <w:t>zapuščino brez dedičev (kaduciteta)</w:t>
      </w:r>
      <w:r w:rsidRPr="00CB5050">
        <w:rPr>
          <w:rFonts w:eastAsia="Calibri"/>
          <w:szCs w:val="22"/>
        </w:rPr>
        <w:t xml:space="preserve">, kar je 19,81 odstotka več kot v letu 2024, ko je bilo teh zadev 414. </w:t>
      </w:r>
    </w:p>
    <w:p w14:paraId="32BC965F" w14:textId="77777777" w:rsidR="00695AE2" w:rsidRPr="00CB5050" w:rsidRDefault="00695AE2" w:rsidP="00695AE2">
      <w:pPr>
        <w:spacing w:line="240" w:lineRule="auto"/>
        <w:jc w:val="both"/>
        <w:rPr>
          <w:rFonts w:eastAsia="Calibri"/>
        </w:rPr>
      </w:pPr>
    </w:p>
    <w:p w14:paraId="07E19926"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prejelo 28 </w:t>
      </w:r>
      <w:r w:rsidRPr="00CB5050">
        <w:rPr>
          <w:rFonts w:eastAsia="Calibri"/>
          <w:color w:val="007466"/>
          <w:szCs w:val="22"/>
        </w:rPr>
        <w:t xml:space="preserve">predlogov za uvedbo zapuščinskega postopka </w:t>
      </w:r>
      <w:r w:rsidRPr="00CB5050">
        <w:rPr>
          <w:rFonts w:eastAsia="Calibri"/>
          <w:szCs w:val="22"/>
        </w:rPr>
        <w:t xml:space="preserve">in 51 predlogov, da na sodišče vloži </w:t>
      </w:r>
      <w:r w:rsidRPr="00CB5050">
        <w:rPr>
          <w:rFonts w:eastAsia="Calibri"/>
          <w:color w:val="007466"/>
          <w:szCs w:val="22"/>
        </w:rPr>
        <w:t>predlog za razglasitev mrtvega</w:t>
      </w:r>
      <w:r w:rsidRPr="00CB5050">
        <w:rPr>
          <w:rFonts w:eastAsia="Calibri"/>
          <w:szCs w:val="22"/>
        </w:rPr>
        <w:t xml:space="preserve">, torej 79 zadev, kar je glede na leto 2024, ko je prejelo 52 predlogov za uvedbo zapuščinskega postopka in v 13 zadevah predlagalo razglasitev osebe za mrtvo, 21,54 odstotka več. </w:t>
      </w:r>
    </w:p>
    <w:p w14:paraId="74BD0A16" w14:textId="77777777" w:rsidR="00695AE2" w:rsidRPr="00CB5050" w:rsidRDefault="00695AE2" w:rsidP="00695AE2">
      <w:pPr>
        <w:spacing w:line="240" w:lineRule="auto"/>
        <w:jc w:val="both"/>
        <w:rPr>
          <w:rFonts w:eastAsia="Calibri"/>
          <w:szCs w:val="22"/>
        </w:rPr>
      </w:pPr>
    </w:p>
    <w:p w14:paraId="1338F28B" w14:textId="77777777" w:rsidR="00695AE2" w:rsidRPr="00CB5050" w:rsidRDefault="00695AE2" w:rsidP="00695AE2">
      <w:pPr>
        <w:pStyle w:val="Naslov5"/>
        <w:rPr>
          <w:b/>
        </w:rPr>
      </w:pPr>
      <w:bookmarkStart w:id="845" w:name="_Toc95149798"/>
      <w:bookmarkStart w:id="846" w:name="_Toc168845024"/>
      <w:bookmarkStart w:id="847" w:name="_Toc191562009"/>
      <w:bookmarkStart w:id="848" w:name="_Toc223094007"/>
      <w:r w:rsidRPr="00CB5050">
        <w:t>Postopki za razdružitev solastnine</w:t>
      </w:r>
      <w:bookmarkEnd w:id="845"/>
      <w:bookmarkEnd w:id="846"/>
      <w:bookmarkEnd w:id="847"/>
      <w:bookmarkEnd w:id="848"/>
      <w:r w:rsidRPr="00CB5050">
        <w:t xml:space="preserve"> </w:t>
      </w:r>
    </w:p>
    <w:p w14:paraId="0ABD7E6A" w14:textId="77777777" w:rsidR="00695AE2" w:rsidRPr="00CB5050" w:rsidRDefault="00695AE2" w:rsidP="00695AE2">
      <w:pPr>
        <w:spacing w:line="240" w:lineRule="auto"/>
        <w:rPr>
          <w:rFonts w:eastAsia="Calibri"/>
        </w:rPr>
      </w:pPr>
    </w:p>
    <w:p w14:paraId="22A759AA" w14:textId="77777777" w:rsidR="00695AE2" w:rsidRPr="00CB5050" w:rsidRDefault="00695AE2" w:rsidP="00695AE2">
      <w:pPr>
        <w:spacing w:line="240" w:lineRule="auto"/>
        <w:jc w:val="both"/>
        <w:rPr>
          <w:rFonts w:eastAsia="Calibri"/>
          <w:szCs w:val="22"/>
        </w:rPr>
      </w:pPr>
      <w:r w:rsidRPr="00CB5050">
        <w:rPr>
          <w:rFonts w:eastAsia="Calibri"/>
          <w:szCs w:val="22"/>
          <w:lang w:eastAsia="sl-SI"/>
        </w:rPr>
        <w:lastRenderedPageBreak/>
        <w:t>Državno odvetništvo RS je v letu 2025 prejelo 12 novih zadev na tem področju dela, to pa je 55,56 odstotka manj kot l</w:t>
      </w:r>
      <w:r w:rsidRPr="00CB5050">
        <w:rPr>
          <w:rFonts w:eastAsia="Calibri"/>
          <w:szCs w:val="22"/>
        </w:rPr>
        <w:t>eta 2024, ko je Državno odvetništvo RS vložilo 27 predlogov za razdružitev solastnine.</w:t>
      </w:r>
    </w:p>
    <w:p w14:paraId="0927883B" w14:textId="77777777" w:rsidR="00695AE2" w:rsidRPr="00CB5050" w:rsidRDefault="00695AE2" w:rsidP="00695AE2">
      <w:pPr>
        <w:spacing w:line="240" w:lineRule="auto"/>
        <w:jc w:val="both"/>
        <w:rPr>
          <w:rFonts w:eastAsia="Calibri"/>
          <w:szCs w:val="22"/>
        </w:rPr>
      </w:pPr>
    </w:p>
    <w:p w14:paraId="4CA1FF1F" w14:textId="77777777" w:rsidR="00695AE2" w:rsidRPr="00CB5050" w:rsidRDefault="00695AE2" w:rsidP="00695AE2">
      <w:pPr>
        <w:pStyle w:val="Naslov5"/>
        <w:rPr>
          <w:b/>
        </w:rPr>
      </w:pPr>
      <w:bookmarkStart w:id="849" w:name="_Toc95149799"/>
      <w:bookmarkStart w:id="850" w:name="_Toc168845025"/>
      <w:bookmarkStart w:id="851" w:name="_Toc191562010"/>
      <w:bookmarkStart w:id="852" w:name="_Toc223094008"/>
      <w:r w:rsidRPr="00CB5050">
        <w:t>Zemljiškoknjižni postopki</w:t>
      </w:r>
      <w:bookmarkEnd w:id="849"/>
      <w:bookmarkEnd w:id="850"/>
      <w:bookmarkEnd w:id="851"/>
      <w:bookmarkEnd w:id="852"/>
    </w:p>
    <w:p w14:paraId="7DC5313C" w14:textId="77777777" w:rsidR="00695AE2" w:rsidRPr="00CB5050" w:rsidRDefault="00695AE2" w:rsidP="00695AE2">
      <w:pPr>
        <w:spacing w:line="240" w:lineRule="auto"/>
        <w:rPr>
          <w:rFonts w:eastAsia="Calibri"/>
        </w:rPr>
      </w:pPr>
    </w:p>
    <w:p w14:paraId="10FEB6FF" w14:textId="77777777" w:rsidR="00695AE2" w:rsidRPr="00CB5050" w:rsidRDefault="00695AE2" w:rsidP="00695AE2">
      <w:pPr>
        <w:spacing w:line="240" w:lineRule="auto"/>
        <w:jc w:val="both"/>
        <w:rPr>
          <w:rFonts w:eastAsia="Calibri"/>
          <w:szCs w:val="22"/>
        </w:rPr>
      </w:pPr>
      <w:r w:rsidRPr="00CB5050">
        <w:rPr>
          <w:rFonts w:eastAsia="Calibri"/>
          <w:szCs w:val="22"/>
          <w:lang w:eastAsia="sl-SI"/>
        </w:rPr>
        <w:t xml:space="preserve">Državno odvetništvo RS je v letu 2025 vložilo 6.115 zemljiškoknjižnih predlogov, kar je 1,54 odstotka manj kot leta </w:t>
      </w:r>
      <w:r w:rsidRPr="00CB5050">
        <w:rPr>
          <w:rFonts w:eastAsia="Calibri"/>
          <w:szCs w:val="22"/>
        </w:rPr>
        <w:t>2024, ko je vložilo 6.115 zemljiškoknjižnih predlogov.</w:t>
      </w:r>
    </w:p>
    <w:p w14:paraId="16BF1334" w14:textId="77777777" w:rsidR="00695AE2" w:rsidRPr="00CB5050" w:rsidRDefault="00695AE2" w:rsidP="00695AE2">
      <w:pPr>
        <w:spacing w:line="240" w:lineRule="auto"/>
        <w:jc w:val="both"/>
        <w:rPr>
          <w:rFonts w:eastAsia="Calibri"/>
          <w:bCs/>
        </w:rPr>
      </w:pPr>
    </w:p>
    <w:p w14:paraId="3B507F11"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prejelo tudi 3.934 zemljiškoknjižnih sklepov, ki jih sodišča izdajo po uradni dolžnosti, kar je 4,54 odstotka manj kot leta 2024, ko jih je prejelo 4.121. </w:t>
      </w:r>
    </w:p>
    <w:p w14:paraId="1A278C77" w14:textId="77777777" w:rsidR="00695AE2" w:rsidRPr="00CB5050" w:rsidRDefault="00695AE2" w:rsidP="00695AE2">
      <w:pPr>
        <w:spacing w:line="240" w:lineRule="auto"/>
        <w:jc w:val="both"/>
        <w:rPr>
          <w:rFonts w:eastAsia="Calibri"/>
          <w:bCs/>
        </w:rPr>
      </w:pPr>
    </w:p>
    <w:p w14:paraId="7A446A2C" w14:textId="77777777" w:rsidR="00695AE2" w:rsidRPr="00CB5050" w:rsidRDefault="00695AE2" w:rsidP="00695AE2">
      <w:pPr>
        <w:pStyle w:val="Naslov5"/>
        <w:rPr>
          <w:rFonts w:eastAsia="Calibri"/>
          <w:b/>
          <w:lang w:eastAsia="sl-SI"/>
        </w:rPr>
      </w:pPr>
      <w:bookmarkStart w:id="853" w:name="_Toc95149800"/>
      <w:bookmarkStart w:id="854" w:name="_Toc168845026"/>
      <w:bookmarkStart w:id="855" w:name="_Toc191562011"/>
      <w:bookmarkStart w:id="856" w:name="_Toc223094009"/>
      <w:r w:rsidRPr="00CB5050">
        <w:rPr>
          <w:rFonts w:eastAsia="Calibri"/>
          <w:lang w:eastAsia="sl-SI"/>
        </w:rPr>
        <w:t>Odškodninski postopki za razlaščena zemljišča</w:t>
      </w:r>
      <w:bookmarkEnd w:id="853"/>
      <w:bookmarkEnd w:id="854"/>
      <w:bookmarkEnd w:id="855"/>
      <w:bookmarkEnd w:id="856"/>
    </w:p>
    <w:p w14:paraId="2DAA1BFD" w14:textId="77777777" w:rsidR="00695AE2" w:rsidRPr="00CB5050" w:rsidRDefault="00695AE2" w:rsidP="00695AE2">
      <w:pPr>
        <w:spacing w:line="240" w:lineRule="auto"/>
        <w:rPr>
          <w:rFonts w:eastAsia="Calibri"/>
          <w:lang w:eastAsia="sl-SI"/>
        </w:rPr>
      </w:pPr>
    </w:p>
    <w:p w14:paraId="72007214" w14:textId="77777777" w:rsidR="00695AE2" w:rsidRPr="00CB5050" w:rsidRDefault="00695AE2" w:rsidP="00695AE2">
      <w:pPr>
        <w:spacing w:line="240" w:lineRule="auto"/>
        <w:jc w:val="both"/>
        <w:rPr>
          <w:rFonts w:eastAsia="Calibri"/>
          <w:szCs w:val="22"/>
        </w:rPr>
      </w:pPr>
      <w:r w:rsidRPr="00CB5050">
        <w:rPr>
          <w:rFonts w:eastAsia="Calibri"/>
          <w:szCs w:val="22"/>
          <w:lang w:eastAsia="sl-SI"/>
        </w:rPr>
        <w:t>V letu 2025 je Državno odvetništvo RS vložilo 32</w:t>
      </w:r>
      <w:r w:rsidRPr="00CB5050">
        <w:rPr>
          <w:rFonts w:eastAsia="Calibri"/>
          <w:szCs w:val="22"/>
        </w:rPr>
        <w:t xml:space="preserve"> predlogov za določitev odškodnine za razlaščene nepremičnine</w:t>
      </w:r>
      <w:r w:rsidRPr="00CB5050">
        <w:rPr>
          <w:rFonts w:eastAsia="Calibri"/>
          <w:szCs w:val="22"/>
          <w:lang w:eastAsia="sl-SI"/>
        </w:rPr>
        <w:t xml:space="preserve">, kar je 20 odstotkov manj kot v </w:t>
      </w:r>
      <w:r w:rsidRPr="00CB5050">
        <w:rPr>
          <w:rFonts w:eastAsia="Calibri"/>
          <w:szCs w:val="22"/>
        </w:rPr>
        <w:t>letu 2024, ko je Državno odvetništvo RS vložilo 40 predlogov za določitev odškodnine.</w:t>
      </w:r>
    </w:p>
    <w:p w14:paraId="162559D0" w14:textId="77777777" w:rsidR="00695AE2" w:rsidRPr="00CB5050" w:rsidRDefault="00695AE2" w:rsidP="00695AE2">
      <w:pPr>
        <w:spacing w:line="240" w:lineRule="auto"/>
        <w:jc w:val="both"/>
        <w:rPr>
          <w:rFonts w:eastAsia="Calibri"/>
          <w:szCs w:val="22"/>
        </w:rPr>
      </w:pPr>
      <w:r w:rsidRPr="00CB5050">
        <w:rPr>
          <w:rFonts w:eastAsia="Calibri"/>
          <w:szCs w:val="22"/>
        </w:rPr>
        <w:t xml:space="preserve"> </w:t>
      </w:r>
    </w:p>
    <w:p w14:paraId="31F32D72" w14:textId="77777777" w:rsidR="00695AE2" w:rsidRPr="00CB5050" w:rsidRDefault="00695AE2" w:rsidP="00695AE2">
      <w:pPr>
        <w:pStyle w:val="Naslov5"/>
        <w:rPr>
          <w:b/>
        </w:rPr>
      </w:pPr>
      <w:bookmarkStart w:id="857" w:name="_Toc95149801"/>
      <w:bookmarkStart w:id="858" w:name="_Toc168845027"/>
      <w:bookmarkStart w:id="859" w:name="_Toc191562012"/>
      <w:bookmarkStart w:id="860" w:name="_Toc223094010"/>
      <w:r w:rsidRPr="00CB5050">
        <w:t>Drugi nepravdni postopki</w:t>
      </w:r>
      <w:bookmarkEnd w:id="857"/>
      <w:bookmarkEnd w:id="858"/>
      <w:bookmarkEnd w:id="859"/>
      <w:bookmarkEnd w:id="860"/>
    </w:p>
    <w:p w14:paraId="592340AF" w14:textId="77777777" w:rsidR="00695AE2" w:rsidRPr="00CB5050" w:rsidRDefault="00695AE2" w:rsidP="00695AE2">
      <w:pPr>
        <w:spacing w:line="240" w:lineRule="auto"/>
        <w:rPr>
          <w:rFonts w:eastAsia="Calibri"/>
        </w:rPr>
      </w:pPr>
    </w:p>
    <w:p w14:paraId="38756459"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 xml:space="preserve">Državno odvetništvo RS je v letu 2025 prejelo 19 novih zadev v </w:t>
      </w:r>
      <w:r w:rsidRPr="00CB5050">
        <w:rPr>
          <w:rFonts w:eastAsia="Calibri"/>
          <w:color w:val="007466"/>
          <w:szCs w:val="22"/>
          <w:lang w:eastAsia="sl-SI"/>
        </w:rPr>
        <w:t>postopkih vzpostavitve etažne lastnine</w:t>
      </w:r>
      <w:r w:rsidRPr="00CB5050">
        <w:rPr>
          <w:rFonts w:eastAsia="Calibri"/>
          <w:szCs w:val="22"/>
          <w:lang w:eastAsia="sl-SI"/>
        </w:rPr>
        <w:t xml:space="preserve">. </w:t>
      </w:r>
    </w:p>
    <w:p w14:paraId="0A977DF5" w14:textId="77777777" w:rsidR="00695AE2" w:rsidRPr="00CB5050" w:rsidRDefault="00695AE2" w:rsidP="00695AE2">
      <w:pPr>
        <w:spacing w:line="240" w:lineRule="auto"/>
        <w:jc w:val="both"/>
        <w:rPr>
          <w:rFonts w:eastAsia="Calibri"/>
          <w:bCs/>
          <w:lang w:eastAsia="sl-SI"/>
        </w:rPr>
      </w:pPr>
    </w:p>
    <w:p w14:paraId="70C7C863" w14:textId="77777777" w:rsidR="00695AE2" w:rsidRPr="00CB5050" w:rsidRDefault="00695AE2" w:rsidP="00695AE2">
      <w:pPr>
        <w:spacing w:line="240" w:lineRule="auto"/>
        <w:jc w:val="both"/>
        <w:rPr>
          <w:rFonts w:eastAsia="Calibri"/>
          <w:szCs w:val="22"/>
        </w:rPr>
      </w:pPr>
      <w:r w:rsidRPr="00CB5050">
        <w:rPr>
          <w:rFonts w:eastAsia="Calibri"/>
          <w:szCs w:val="22"/>
        </w:rPr>
        <w:t xml:space="preserve">Poleg tega je Državno odvetništvo RS v letu 2025 v delo prejelo 49 novih zadev za </w:t>
      </w:r>
      <w:r w:rsidRPr="00CB5050">
        <w:rPr>
          <w:rFonts w:eastAsia="Calibri"/>
          <w:color w:val="007466"/>
          <w:szCs w:val="22"/>
        </w:rPr>
        <w:t>določitev pripadajočega zemljišča po določilih ZVetL</w:t>
      </w:r>
      <w:r w:rsidRPr="00CB5050">
        <w:rPr>
          <w:rFonts w:eastAsia="Calibri"/>
          <w:szCs w:val="22"/>
        </w:rPr>
        <w:t xml:space="preserve">. </w:t>
      </w:r>
    </w:p>
    <w:p w14:paraId="3B5F7A7F" w14:textId="77777777" w:rsidR="00695AE2" w:rsidRPr="00CB5050" w:rsidRDefault="00695AE2" w:rsidP="00695AE2">
      <w:pPr>
        <w:spacing w:line="240" w:lineRule="auto"/>
        <w:jc w:val="both"/>
        <w:rPr>
          <w:rFonts w:eastAsia="Calibri"/>
          <w:szCs w:val="22"/>
        </w:rPr>
      </w:pPr>
    </w:p>
    <w:p w14:paraId="58EB2FC7" w14:textId="77777777" w:rsidR="00695AE2" w:rsidRPr="00CB5050" w:rsidRDefault="00695AE2" w:rsidP="00695AE2">
      <w:pPr>
        <w:pStyle w:val="Naslov5"/>
        <w:rPr>
          <w:b/>
        </w:rPr>
      </w:pPr>
      <w:bookmarkStart w:id="861" w:name="_Toc191562013"/>
      <w:bookmarkStart w:id="862" w:name="_Toc223094011"/>
      <w:r w:rsidRPr="00CB5050">
        <w:t>Postopki po 46. členu ZNP-1</w:t>
      </w:r>
      <w:bookmarkEnd w:id="861"/>
      <w:bookmarkEnd w:id="862"/>
    </w:p>
    <w:p w14:paraId="5194D6BC" w14:textId="77777777" w:rsidR="00695AE2" w:rsidRPr="00CB5050" w:rsidRDefault="00695AE2" w:rsidP="00695AE2">
      <w:pPr>
        <w:spacing w:line="240" w:lineRule="auto"/>
        <w:jc w:val="both"/>
        <w:rPr>
          <w:rFonts w:eastAsia="Calibri"/>
          <w:bCs/>
        </w:rPr>
      </w:pPr>
    </w:p>
    <w:p w14:paraId="55FEC449" w14:textId="77777777" w:rsidR="00695AE2" w:rsidRPr="00CB5050" w:rsidRDefault="00695AE2" w:rsidP="00695AE2">
      <w:pPr>
        <w:spacing w:line="240" w:lineRule="auto"/>
        <w:jc w:val="both"/>
        <w:rPr>
          <w:rFonts w:eastAsia="Calibri"/>
          <w:bCs/>
        </w:rPr>
      </w:pPr>
      <w:r w:rsidRPr="00CB5050">
        <w:rPr>
          <w:rFonts w:eastAsia="Calibri"/>
          <w:bCs/>
        </w:rPr>
        <w:t>Na podlagi 46. člena ZNP-1 je Državno odvetništvo RS v letu 2025 v delo prejelo 8 zadev.</w:t>
      </w:r>
    </w:p>
    <w:p w14:paraId="29BD0421" w14:textId="77777777" w:rsidR="00695AE2" w:rsidRPr="00CB5050" w:rsidRDefault="00695AE2" w:rsidP="00695AE2">
      <w:pPr>
        <w:spacing w:line="240" w:lineRule="auto"/>
        <w:jc w:val="both"/>
        <w:rPr>
          <w:rFonts w:eastAsia="Calibri"/>
          <w:sz w:val="28"/>
          <w:szCs w:val="28"/>
          <w:lang w:eastAsia="sl-SI"/>
        </w:rPr>
      </w:pPr>
    </w:p>
    <w:p w14:paraId="53543723" w14:textId="77777777" w:rsidR="00695AE2" w:rsidRPr="00CB5050" w:rsidRDefault="00695AE2" w:rsidP="00695AE2">
      <w:pPr>
        <w:pStyle w:val="Naslov3"/>
        <w:rPr>
          <w:rFonts w:eastAsia="Calibri"/>
          <w:lang w:eastAsia="sl-SI"/>
        </w:rPr>
      </w:pPr>
      <w:bookmarkStart w:id="863" w:name="_Toc95149802"/>
      <w:bookmarkStart w:id="864" w:name="_Toc168845028"/>
      <w:bookmarkStart w:id="865" w:name="_Toc191562014"/>
      <w:bookmarkStart w:id="866" w:name="_Toc223094012"/>
      <w:r w:rsidRPr="00CB5050">
        <w:rPr>
          <w:rFonts w:eastAsia="Calibri"/>
          <w:lang w:eastAsia="sl-SI"/>
        </w:rPr>
        <w:t>Analiza primerjalnih vrednosti</w:t>
      </w:r>
      <w:bookmarkEnd w:id="863"/>
      <w:r w:rsidRPr="00CB5050">
        <w:rPr>
          <w:rFonts w:eastAsia="Calibri"/>
          <w:lang w:eastAsia="sl-SI"/>
        </w:rPr>
        <w:t xml:space="preserve"> (n</w:t>
      </w:r>
      <w:r w:rsidRPr="00CB5050">
        <w:rPr>
          <w:szCs w:val="22"/>
        </w:rPr>
        <w:t>epravdne zadeve – splošno)</w:t>
      </w:r>
      <w:bookmarkEnd w:id="864"/>
      <w:bookmarkEnd w:id="865"/>
      <w:bookmarkEnd w:id="866"/>
    </w:p>
    <w:p w14:paraId="60D408B0" w14:textId="77777777" w:rsidR="00695AE2" w:rsidRPr="00CB5050" w:rsidRDefault="00695AE2" w:rsidP="00695AE2">
      <w:pPr>
        <w:spacing w:line="240" w:lineRule="auto"/>
        <w:jc w:val="both"/>
        <w:rPr>
          <w:rFonts w:eastAsia="Calibri"/>
          <w:sz w:val="28"/>
          <w:szCs w:val="28"/>
        </w:rPr>
      </w:pPr>
    </w:p>
    <w:p w14:paraId="415E3303"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je v letu 2025 prejelo skupno 15.546 nepravdnih zadev, kar je 3,86 odstotka več kot leta 2024, ko je prejelo 14.968 zadev. </w:t>
      </w:r>
    </w:p>
    <w:p w14:paraId="55D7C338" w14:textId="77777777" w:rsidR="00695AE2" w:rsidRPr="00CB5050" w:rsidRDefault="00695AE2" w:rsidP="00695AE2">
      <w:pPr>
        <w:spacing w:line="240" w:lineRule="auto"/>
        <w:jc w:val="both"/>
        <w:rPr>
          <w:rFonts w:eastAsia="Calibri"/>
        </w:rPr>
      </w:pPr>
    </w:p>
    <w:p w14:paraId="51691FF9" w14:textId="77777777" w:rsidR="00695AE2" w:rsidRPr="00CB5050" w:rsidRDefault="00695AE2" w:rsidP="00695AE2">
      <w:pPr>
        <w:spacing w:line="240" w:lineRule="auto"/>
        <w:jc w:val="both"/>
        <w:rPr>
          <w:rFonts w:eastAsia="Calibri"/>
          <w:szCs w:val="22"/>
        </w:rPr>
      </w:pPr>
      <w:r w:rsidRPr="00CB5050">
        <w:rPr>
          <w:rFonts w:eastAsia="Calibri"/>
          <w:szCs w:val="22"/>
        </w:rPr>
        <w:t>Skupno je imelo Državno odvetništvo RS v letu 2025 na tem področju v delu 24.505 zadev, kar je 2,75 odstotka več kot v letu 2024, ko je imelo na tem področju v delu 23.848 zadev.</w:t>
      </w:r>
    </w:p>
    <w:p w14:paraId="48FC6B1F" w14:textId="77777777" w:rsidR="00695AE2" w:rsidRPr="00CB5050" w:rsidRDefault="00695AE2" w:rsidP="00695AE2">
      <w:pPr>
        <w:spacing w:line="240" w:lineRule="auto"/>
        <w:jc w:val="both"/>
        <w:rPr>
          <w:rFonts w:eastAsia="Calibri"/>
          <w:szCs w:val="22"/>
        </w:rPr>
      </w:pPr>
    </w:p>
    <w:p w14:paraId="16A67209"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bilo zaključenih 16.390 zadev, kar je 8,68 odstotka več kot v letu 2024, ko je bilo zaključenih 15.081 zadev. </w:t>
      </w:r>
    </w:p>
    <w:p w14:paraId="0A717AB8" w14:textId="77777777" w:rsidR="00695AE2" w:rsidRPr="00CB5050" w:rsidRDefault="00695AE2" w:rsidP="00695AE2">
      <w:pPr>
        <w:spacing w:line="240" w:lineRule="auto"/>
        <w:jc w:val="both"/>
        <w:rPr>
          <w:rFonts w:eastAsia="Calibri"/>
        </w:rPr>
      </w:pPr>
    </w:p>
    <w:p w14:paraId="3E7DA834" w14:textId="77777777" w:rsidR="00695AE2" w:rsidRPr="00CB5050" w:rsidRDefault="00695AE2" w:rsidP="00695AE2">
      <w:pPr>
        <w:spacing w:line="240" w:lineRule="auto"/>
        <w:jc w:val="both"/>
        <w:rPr>
          <w:rFonts w:eastAsia="Calibri"/>
          <w:szCs w:val="22"/>
        </w:rPr>
      </w:pPr>
      <w:r w:rsidRPr="00CB5050">
        <w:rPr>
          <w:rFonts w:eastAsia="Calibri"/>
          <w:szCs w:val="22"/>
        </w:rPr>
        <w:t>Odprtih zadev je na dan 31. 12. 2025 ostalo 8.115, kar je 7,44 odstotka manj kot na dan 31. 12. 2024, ko je bilo odprtih 8.767 zadev.</w:t>
      </w:r>
    </w:p>
    <w:p w14:paraId="75AAB80A"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005600"/>
          <w:spacing w:val="1"/>
        </w:rPr>
      </w:pPr>
    </w:p>
    <w:p w14:paraId="31636014" w14:textId="77777777" w:rsidR="00695AE2" w:rsidRPr="00CB5050" w:rsidRDefault="00695AE2" w:rsidP="00695AE2">
      <w:pPr>
        <w:spacing w:line="240" w:lineRule="auto"/>
        <w:jc w:val="both"/>
        <w:rPr>
          <w:rFonts w:eastAsia="Calibri"/>
          <w:b/>
          <w:bCs/>
          <w:color w:val="007466"/>
          <w:sz w:val="20"/>
          <w:szCs w:val="20"/>
        </w:rPr>
      </w:pPr>
      <w:r w:rsidRPr="00CB5050">
        <w:rPr>
          <w:rFonts w:eastAsia="Times New Roman"/>
          <w:szCs w:val="22"/>
        </w:rPr>
        <w:lastRenderedPageBreak/>
        <w:t xml:space="preserve">Število prejetih zadev na nepravdnem področju je v letu 2025 ponovno predstavljalo področje z drugim največjim številom novih zadev, prav tako v letu 2025 ponovno predstavlja področje z največjim številom zadev v delu. </w:t>
      </w:r>
    </w:p>
    <w:p w14:paraId="4C69B043" w14:textId="77777777" w:rsidR="00695AE2" w:rsidRPr="00CB5050" w:rsidRDefault="00695AE2" w:rsidP="00695AE2">
      <w:pPr>
        <w:spacing w:line="240" w:lineRule="auto"/>
        <w:jc w:val="both"/>
        <w:rPr>
          <w:rFonts w:eastAsia="Calibri"/>
          <w:b/>
          <w:bCs/>
          <w:color w:val="007466"/>
          <w:sz w:val="20"/>
          <w:szCs w:val="20"/>
        </w:rPr>
      </w:pPr>
    </w:p>
    <w:p w14:paraId="0D9BE1BF" w14:textId="77777777" w:rsidR="00695AE2" w:rsidRPr="00CB5050" w:rsidRDefault="00695AE2" w:rsidP="00695AE2">
      <w:pPr>
        <w:spacing w:line="240" w:lineRule="auto"/>
        <w:jc w:val="both"/>
        <w:rPr>
          <w:rFonts w:eastAsia="Calibri"/>
          <w:b/>
          <w:bCs/>
          <w:color w:val="007466"/>
          <w:sz w:val="20"/>
          <w:szCs w:val="20"/>
        </w:rPr>
      </w:pPr>
      <w:r w:rsidRPr="00CB5050">
        <w:rPr>
          <w:rFonts w:eastAsia="Calibri"/>
          <w:b/>
          <w:bCs/>
          <w:color w:val="007466"/>
          <w:sz w:val="20"/>
          <w:szCs w:val="20"/>
        </w:rPr>
        <w:t>Grafikon: Število prejetih zadev na nepravdnem področju v obdobju 2021 – 2025</w:t>
      </w:r>
    </w:p>
    <w:p w14:paraId="303002FA" w14:textId="77777777" w:rsidR="00695AE2" w:rsidRPr="00CB5050" w:rsidRDefault="00695AE2" w:rsidP="00695AE2">
      <w:pPr>
        <w:spacing w:line="240" w:lineRule="auto"/>
        <w:jc w:val="both"/>
        <w:rPr>
          <w:rFonts w:eastAsia="Calibri"/>
          <w:sz w:val="20"/>
          <w:szCs w:val="20"/>
        </w:rPr>
      </w:pPr>
    </w:p>
    <w:p w14:paraId="3CEEF934" w14:textId="77777777" w:rsidR="00695AE2" w:rsidRPr="00CB5050" w:rsidRDefault="00695AE2" w:rsidP="00695AE2">
      <w:pPr>
        <w:spacing w:line="240" w:lineRule="auto"/>
        <w:jc w:val="center"/>
        <w:rPr>
          <w:rFonts w:eastAsia="Calibri"/>
          <w:szCs w:val="22"/>
        </w:rPr>
      </w:pPr>
      <w:r w:rsidRPr="00CB5050">
        <w:rPr>
          <w:rFonts w:eastAsia="Calibri"/>
          <w:noProof/>
          <w:szCs w:val="22"/>
        </w:rPr>
        <w:drawing>
          <wp:inline distT="0" distB="0" distL="0" distR="0" wp14:anchorId="4C17A22B" wp14:editId="41B53798">
            <wp:extent cx="4584700" cy="2755900"/>
            <wp:effectExtent l="0" t="0" r="6350" b="6350"/>
            <wp:docPr id="658321631" name="Slika 4"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1631" name="Slika 4" descr="Slika, ki vsebuje besede besedilo, posnetek zaslona, pravokotnik, številka&#10;&#10;Vsebina, ustvarjena z UI, morda ni pravil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63500B" w14:textId="77777777" w:rsidR="00695AE2" w:rsidRPr="00CB5050" w:rsidRDefault="00695AE2" w:rsidP="00695AE2">
      <w:pPr>
        <w:spacing w:line="240" w:lineRule="auto"/>
        <w:jc w:val="both"/>
        <w:rPr>
          <w:rFonts w:eastAsia="Calibri"/>
          <w:b/>
          <w:szCs w:val="22"/>
        </w:rPr>
      </w:pPr>
      <w:bookmarkStart w:id="867" w:name="_Toc95149803"/>
      <w:r w:rsidRPr="00CB5050">
        <w:rPr>
          <w:rFonts w:eastAsia="Calibri"/>
          <w:szCs w:val="22"/>
        </w:rPr>
        <w:t>Iz grafikona je mogoče razbrati, da je bilo število na novo prejetih zadev na nepravdnem področju v obdobju spremljanja izrazito najvišje v letu 2021, nato pa se je število novih nepravdnih zadev začelo umirjati in je v zadnjih treh letih na praktično enaki ravni. Število prejetih nepravdnih zadev je bilo v letu 2023 in v letu 2024 praktično enako, v letu 2025 pa je nekoliko višje, vendar še vedno nižje od povprečja novih zadev v spremljanem obdobju, ki je 16.709 novih nepravdnih zadev na leto.</w:t>
      </w:r>
    </w:p>
    <w:bookmarkEnd w:id="867"/>
    <w:p w14:paraId="7C0279A7" w14:textId="77777777" w:rsidR="00695AE2" w:rsidRPr="00CB5050" w:rsidRDefault="00695AE2" w:rsidP="00695AE2">
      <w:pPr>
        <w:widowControl w:val="0"/>
        <w:autoSpaceDE w:val="0"/>
        <w:autoSpaceDN w:val="0"/>
        <w:adjustRightInd w:val="0"/>
        <w:spacing w:line="240" w:lineRule="auto"/>
        <w:jc w:val="both"/>
        <w:rPr>
          <w:rFonts w:eastAsia="Times New Roman"/>
          <w:b/>
          <w:color w:val="007466"/>
        </w:rPr>
      </w:pPr>
    </w:p>
    <w:p w14:paraId="0601FCB3"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r w:rsidRPr="00CB5050">
        <w:rPr>
          <w:rFonts w:eastAsia="Times New Roman"/>
          <w:szCs w:val="22"/>
          <w:lang w:bidi="ar-YE"/>
        </w:rPr>
        <w:t xml:space="preserve">Kar 39,99 odstotka vseh zadev, ki jih </w:t>
      </w:r>
      <w:r w:rsidRPr="00CB5050">
        <w:rPr>
          <w:rFonts w:eastAsia="Times New Roman"/>
          <w:szCs w:val="22"/>
        </w:rPr>
        <w:t xml:space="preserve">je Državno odvetništvo RS v letu 2025 prejelo na področju nepravdnih postopkov (15.546), so </w:t>
      </w:r>
      <w:r w:rsidRPr="00CB5050">
        <w:rPr>
          <w:rFonts w:eastAsia="Times New Roman"/>
          <w:szCs w:val="22"/>
          <w:lang w:eastAsia="sl-SI"/>
        </w:rPr>
        <w:t>zemljiškoknjižni predlogi, ki jih je</w:t>
      </w:r>
      <w:r w:rsidRPr="00CB5050">
        <w:rPr>
          <w:rFonts w:eastAsia="Times New Roman"/>
          <w:szCs w:val="22"/>
        </w:rPr>
        <w:t xml:space="preserve"> </w:t>
      </w:r>
      <w:r w:rsidRPr="00CB5050">
        <w:rPr>
          <w:rFonts w:eastAsia="Times New Roman"/>
          <w:szCs w:val="22"/>
          <w:lang w:eastAsia="sl-SI"/>
        </w:rPr>
        <w:t xml:space="preserve">Državno odvetništvo RS v letu 2025 vložilo 6.021, </w:t>
      </w:r>
      <w:r w:rsidRPr="00CB5050">
        <w:rPr>
          <w:rFonts w:eastAsia="Times New Roman"/>
          <w:szCs w:val="22"/>
        </w:rPr>
        <w:t xml:space="preserve">pri čemer se je </w:t>
      </w:r>
      <w:r w:rsidRPr="00CB5050">
        <w:rPr>
          <w:rFonts w:eastAsia="Times New Roman"/>
          <w:szCs w:val="22"/>
          <w:lang w:bidi="ar-YE"/>
        </w:rPr>
        <w:t xml:space="preserve">število </w:t>
      </w:r>
      <w:r w:rsidRPr="00CB5050">
        <w:rPr>
          <w:rFonts w:eastAsia="Times New Roman"/>
          <w:szCs w:val="22"/>
        </w:rPr>
        <w:t xml:space="preserve">vloženih predlogov v primerjavi z letom 2024, ko je bilo vloženih 6.115 predlogov, nekoliko znižalo. </w:t>
      </w:r>
      <w:r w:rsidRPr="00CB5050">
        <w:rPr>
          <w:rFonts w:eastAsia="Times New Roman"/>
          <w:lang w:eastAsia="sl-SI"/>
        </w:rPr>
        <w:t xml:space="preserve">Največ je predlogov za vknjižbo lastninske pravice v zemljiško knjigo na podlagi pogodb namesto razlastitev oziroma drugih tipov pogodb, na podlagi odločb o lastninjenju nepremičnin na podlagi različnih zakonov, na podlagi aktov o oblikovanju etažne lastnine in podobno oziroma predlogov za vknjižbo drugih pravic v zemljiško knjigo. </w:t>
      </w:r>
    </w:p>
    <w:p w14:paraId="15480A6A"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p>
    <w:p w14:paraId="07C43E82"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r w:rsidRPr="00CB5050">
        <w:rPr>
          <w:rFonts w:eastAsia="Times New Roman"/>
          <w:szCs w:val="22"/>
        </w:rPr>
        <w:t xml:space="preserve">Število zemljiškoknjižnih zadev je sicer pogosto vezano na investicije v rekonstrukcijo in izgradnjo državne cestne, železniške in vodne infrastrukture in na dokončno ureditev premoženjskih razmerij na zemljiščih, kjer že poteka ta infrastruktura (uskladitev pravnega stanja z dejanskim), oziroma nasploh na </w:t>
      </w:r>
      <w:r w:rsidRPr="00CB5050">
        <w:rPr>
          <w:rFonts w:eastAsia="Times New Roman"/>
          <w:lang w:eastAsia="sl-SI"/>
        </w:rPr>
        <w:t>množično urejanje zemljiškoknjižnega stanja nepremičnin v lasti Republike Slovenije.</w:t>
      </w:r>
    </w:p>
    <w:p w14:paraId="0E9EA4F9" w14:textId="77777777" w:rsidR="00695AE2" w:rsidRPr="00CB5050" w:rsidRDefault="00695AE2" w:rsidP="00695AE2">
      <w:pPr>
        <w:spacing w:line="240" w:lineRule="auto"/>
        <w:jc w:val="both"/>
        <w:rPr>
          <w:rFonts w:eastAsia="Times New Roman"/>
          <w:szCs w:val="22"/>
        </w:rPr>
      </w:pPr>
    </w:p>
    <w:p w14:paraId="772B8A38"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Z urejanjem državne infrastrukture so povezani tudi postopki za določitev odškodnine za razlaščena zemljišča. </w:t>
      </w:r>
      <w:r w:rsidRPr="00CB5050">
        <w:rPr>
          <w:rFonts w:eastAsia="Calibri"/>
          <w:szCs w:val="22"/>
          <w:lang w:eastAsia="sl-SI"/>
        </w:rPr>
        <w:t xml:space="preserve">V letu 2025 je Državno odvetništvo RS vložilo 32 takšnih predlogov, kar je 20 odstotkov manj kot v </w:t>
      </w:r>
      <w:r w:rsidRPr="00CB5050">
        <w:rPr>
          <w:rFonts w:eastAsia="Calibri"/>
          <w:szCs w:val="22"/>
        </w:rPr>
        <w:t xml:space="preserve">letu 2024, ko je Državno odvetništvo RS vložilo 40 predlogov za določitev odškodnine. </w:t>
      </w:r>
    </w:p>
    <w:p w14:paraId="5C627529"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8"/>
          <w:szCs w:val="28"/>
        </w:rPr>
      </w:pPr>
    </w:p>
    <w:p w14:paraId="4835989C" w14:textId="77777777" w:rsidR="00695AE2" w:rsidRPr="00CB5050" w:rsidRDefault="00695AE2" w:rsidP="00695AE2">
      <w:pPr>
        <w:pStyle w:val="Naslov3"/>
      </w:pPr>
      <w:bookmarkStart w:id="868" w:name="_Toc95149806"/>
      <w:bookmarkStart w:id="869" w:name="_Toc168845029"/>
      <w:bookmarkStart w:id="870" w:name="_Toc191562015"/>
      <w:bookmarkStart w:id="871" w:name="_Toc223094013"/>
      <w:r w:rsidRPr="00CB5050">
        <w:lastRenderedPageBreak/>
        <w:t>Ukrepi za obvladovanje zadev in predlogi Državnega odvetništva RS</w:t>
      </w:r>
      <w:bookmarkEnd w:id="868"/>
      <w:bookmarkEnd w:id="869"/>
      <w:bookmarkEnd w:id="870"/>
      <w:bookmarkEnd w:id="871"/>
    </w:p>
    <w:p w14:paraId="4B2C7608" w14:textId="77777777" w:rsidR="00695AE2" w:rsidRPr="00CB5050" w:rsidRDefault="00695AE2" w:rsidP="00695AE2">
      <w:pPr>
        <w:spacing w:line="240" w:lineRule="auto"/>
        <w:contextualSpacing/>
        <w:jc w:val="both"/>
        <w:rPr>
          <w:rFonts w:eastAsia="Calibri"/>
          <w:b/>
          <w:bCs/>
          <w:sz w:val="28"/>
          <w:szCs w:val="28"/>
        </w:rPr>
      </w:pPr>
    </w:p>
    <w:p w14:paraId="03B8F730" w14:textId="77777777" w:rsidR="00695AE2" w:rsidRPr="00CB5050" w:rsidRDefault="00695AE2" w:rsidP="00695AE2">
      <w:pPr>
        <w:pStyle w:val="Naslov4"/>
        <w:ind w:left="0" w:firstLine="0"/>
      </w:pPr>
      <w:bookmarkStart w:id="872" w:name="_Toc168845030"/>
      <w:bookmarkStart w:id="873" w:name="_Toc191562016"/>
      <w:bookmarkStart w:id="874" w:name="_Toc223094014"/>
      <w:r w:rsidRPr="00CB5050">
        <w:t>Odlog izvršbe zaradi nesorazmernosti posega inšpekcijskega ukrepa v dom – 104. in 105. člen Gradbenega zakona</w:t>
      </w:r>
      <w:bookmarkStart w:id="875" w:name="_Hlk159240168"/>
      <w:bookmarkEnd w:id="872"/>
      <w:bookmarkEnd w:id="873"/>
      <w:bookmarkEnd w:id="874"/>
      <w:r w:rsidRPr="00CB5050">
        <w:t xml:space="preserve"> </w:t>
      </w:r>
    </w:p>
    <w:bookmarkEnd w:id="875"/>
    <w:p w14:paraId="69EF9D97" w14:textId="77777777" w:rsidR="00695AE2" w:rsidRPr="00CB5050" w:rsidRDefault="00695AE2" w:rsidP="00695AE2">
      <w:pPr>
        <w:spacing w:line="240" w:lineRule="auto"/>
        <w:jc w:val="both"/>
        <w:rPr>
          <w:rFonts w:eastAsia="Calibri"/>
        </w:rPr>
      </w:pPr>
    </w:p>
    <w:p w14:paraId="287D89B1" w14:textId="77777777" w:rsidR="00695AE2" w:rsidRPr="00CB5050" w:rsidRDefault="00695AE2" w:rsidP="00695AE2">
      <w:pPr>
        <w:pStyle w:val="Naslov5"/>
      </w:pPr>
      <w:bookmarkStart w:id="876" w:name="_Toc223094015"/>
      <w:r w:rsidRPr="00CB5050">
        <w:t>Splošno</w:t>
      </w:r>
      <w:bookmarkEnd w:id="876"/>
    </w:p>
    <w:p w14:paraId="73180AFD"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7C6A74E2"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 xml:space="preserve">Eno novejših pravnih področij dela Državnega odvetništva RS je zastopanje Inšpektorata RS za okolje in prostor (t. i. gradbene inšpekcije), kot udeleženca v nepravdnih sodnih postopkih, določenih v 104. in 105. členu Gradbenega zakona (v nadaljevanju:  GZ-1). </w:t>
      </w:r>
    </w:p>
    <w:p w14:paraId="1B12EE60" w14:textId="77777777" w:rsidR="00695AE2" w:rsidRPr="00CB5050" w:rsidRDefault="00695AE2" w:rsidP="00695AE2">
      <w:pPr>
        <w:spacing w:line="240" w:lineRule="auto"/>
        <w:jc w:val="both"/>
        <w:rPr>
          <w:rFonts w:eastAsia="Calibri"/>
        </w:rPr>
      </w:pPr>
    </w:p>
    <w:p w14:paraId="404F9E7C" w14:textId="77777777" w:rsidR="00695AE2" w:rsidRPr="00CB5050" w:rsidRDefault="00695AE2" w:rsidP="00695AE2">
      <w:pPr>
        <w:spacing w:line="240" w:lineRule="auto"/>
        <w:jc w:val="both"/>
        <w:rPr>
          <w:rFonts w:eastAsia="Times New Roman"/>
          <w:lang w:eastAsia="sl-SI"/>
        </w:rPr>
      </w:pPr>
      <w:r w:rsidRPr="00CB5050">
        <w:rPr>
          <w:rFonts w:eastAsia="Calibri"/>
        </w:rPr>
        <w:t xml:space="preserve">Ustavno sodišče je z odločbo, št. U-I-64/14-20 z dne 12. 10. 2017 ugotovilo, da se z izvršitvijo inšpekcijskega ukrepa odstranitve ali prepovedi uporabe objekta, ki nekomu pomeni dom, poseže v uporabnikovo pravico do doma, za kar pa je treba zagotoviti sodno presojo o sorazmernosti posega v pravico do doma. Sodišče je izdalo ureditveno odločbo, hkrati pa naložilo državi, da v roku enega leta sprejme ustrezna določila, ki bodo omogočala presojo sorazmernosti inšpekcijskega posega v pravico do doma. Do uresničitve citirane ustavne odločbe je prišlo s spremembo </w:t>
      </w:r>
      <w:r w:rsidRPr="00CB5050">
        <w:rPr>
          <w:rFonts w:eastAsia="Times New Roman"/>
          <w:lang w:eastAsia="sl-SI"/>
        </w:rPr>
        <w:t xml:space="preserve">GZ-1, ki je začel veljati 31. 12. 2021, uporabljati pa se je začel 1. 6. 2022. </w:t>
      </w:r>
    </w:p>
    <w:p w14:paraId="497FCB12" w14:textId="77777777" w:rsidR="00695AE2" w:rsidRPr="00CB5050" w:rsidRDefault="00695AE2" w:rsidP="00695AE2">
      <w:pPr>
        <w:spacing w:line="240" w:lineRule="auto"/>
        <w:jc w:val="both"/>
        <w:rPr>
          <w:rFonts w:eastAsia="Times New Roman"/>
          <w:lang w:eastAsia="sl-SI"/>
        </w:rPr>
      </w:pPr>
    </w:p>
    <w:p w14:paraId="469E4B14" w14:textId="77777777" w:rsidR="00695AE2" w:rsidRPr="00CB5050" w:rsidRDefault="00695AE2" w:rsidP="00695AE2">
      <w:pPr>
        <w:spacing w:line="240" w:lineRule="auto"/>
        <w:jc w:val="both"/>
        <w:rPr>
          <w:rFonts w:eastAsia="Calibri"/>
        </w:rPr>
      </w:pPr>
      <w:r w:rsidRPr="00CB5050">
        <w:rPr>
          <w:rFonts w:eastAsia="Times New Roman"/>
          <w:lang w:eastAsia="sl-SI"/>
        </w:rPr>
        <w:t xml:space="preserve">GZ-1 je predvidel odlog izvršbe zaradi nesorazmernosti posega inšpekcijskega ukrepa v dom, posledično pa je predvidel sodno presojo nesorazmernosti posega inšpekcijskega ukrepa v dom. Ureditev ima podlago v </w:t>
      </w:r>
      <w:r w:rsidRPr="00CB5050">
        <w:rPr>
          <w:rFonts w:eastAsia="Calibri"/>
        </w:rPr>
        <w:t xml:space="preserve">104. (odlog izvršbe zaradi nesorazmernosti posega inšpekcijskega ukrepa v dom) in 105. (sodna presoja nesorazmernosti posega inšpekcijskega ukrepa v dom) členu GZ-1. </w:t>
      </w:r>
    </w:p>
    <w:p w14:paraId="41B31A6D" w14:textId="77777777" w:rsidR="00695AE2" w:rsidRPr="00CB5050" w:rsidRDefault="00695AE2" w:rsidP="00695AE2">
      <w:pPr>
        <w:spacing w:line="240" w:lineRule="auto"/>
        <w:jc w:val="both"/>
        <w:rPr>
          <w:rFonts w:eastAsia="Calibri"/>
        </w:rPr>
      </w:pPr>
    </w:p>
    <w:p w14:paraId="0F09B17A" w14:textId="77777777" w:rsidR="00695AE2" w:rsidRPr="00CB5050" w:rsidRDefault="00695AE2" w:rsidP="00695AE2">
      <w:pPr>
        <w:spacing w:line="240" w:lineRule="auto"/>
        <w:jc w:val="both"/>
        <w:rPr>
          <w:rFonts w:eastAsia="Calibri"/>
        </w:rPr>
      </w:pPr>
      <w:r w:rsidRPr="00CB5050">
        <w:rPr>
          <w:rFonts w:eastAsia="Calibri"/>
        </w:rPr>
        <w:t xml:space="preserve">Če v objektu, za katerega je bil izrečen inšpekcijski ukrep odstranitve ali prepovedi uporabe objekta, prebiva inšpekcijski zavezanec ali posameznik in zanj objekt pomeni dom, lahko predlagatelj v postopku izvršbe do izvršitve inšpekcijske odločbe vloži predlog za odlog izvršbe zaradi nesorazmernosti posega inšpekcijskega ukrepa v dom. </w:t>
      </w:r>
    </w:p>
    <w:p w14:paraId="01EA3BB0" w14:textId="77777777" w:rsidR="00695AE2" w:rsidRPr="00CB5050" w:rsidRDefault="00695AE2" w:rsidP="00695AE2">
      <w:pPr>
        <w:spacing w:line="240" w:lineRule="auto"/>
        <w:jc w:val="both"/>
        <w:rPr>
          <w:rFonts w:eastAsia="Calibri"/>
        </w:rPr>
      </w:pPr>
    </w:p>
    <w:p w14:paraId="1200826B" w14:textId="77777777" w:rsidR="00695AE2" w:rsidRPr="00CB5050" w:rsidRDefault="00695AE2" w:rsidP="00695AE2">
      <w:pPr>
        <w:spacing w:line="240" w:lineRule="auto"/>
        <w:jc w:val="both"/>
        <w:rPr>
          <w:rFonts w:eastAsia="Calibri"/>
        </w:rPr>
      </w:pPr>
      <w:r w:rsidRPr="00CB5050">
        <w:rPr>
          <w:rFonts w:eastAsia="Calibri"/>
        </w:rPr>
        <w:t xml:space="preserve">Uporabnik objekta, ki je predmet odstranitve ali prepovedi uporabe, ima v postopku izvršbe možnost predlagati odlog izvršbe zaradi nesorazmernosti posega inšpekcijskega ukrepa v njegov dom. Uporabnik objekta je lahko lastnik objekta, ki je načeloma tudi inšpekcijski zavezanec za izvršitev ukrepa, ali pa kdo drug, ki uporablja objekt na podlagi druge pravice. Vložitev predloga za odlog izvršbe odloži izvršbo inšpekcijskega ukrepa vse dokler inšpektor ne izda sklepa, s katerim odloči o predlogu za odlog izvršbe. </w:t>
      </w:r>
    </w:p>
    <w:p w14:paraId="3897EE2F" w14:textId="77777777" w:rsidR="00695AE2" w:rsidRPr="00CB5050" w:rsidRDefault="00695AE2" w:rsidP="00695AE2">
      <w:pPr>
        <w:spacing w:line="240" w:lineRule="auto"/>
        <w:jc w:val="both"/>
        <w:rPr>
          <w:rFonts w:eastAsia="Calibri"/>
        </w:rPr>
      </w:pPr>
    </w:p>
    <w:p w14:paraId="37994B1B" w14:textId="77777777" w:rsidR="00695AE2" w:rsidRPr="00CB5050" w:rsidRDefault="00695AE2" w:rsidP="00695AE2">
      <w:pPr>
        <w:spacing w:line="240" w:lineRule="auto"/>
        <w:jc w:val="both"/>
        <w:rPr>
          <w:rFonts w:eastAsia="Calibri"/>
        </w:rPr>
      </w:pPr>
      <w:r w:rsidRPr="00CB5050">
        <w:rPr>
          <w:rFonts w:eastAsia="Calibri"/>
        </w:rPr>
        <w:t xml:space="preserve">O predlogu za odlog izvršbe sprva odloča inšpekcijski organ. Če bo predlagatelj dokazal, da je v objektu prebival vsaj eno leto pred začetkom postopka inšpekcijskega nadzora (to je začetka postopka izdaje odločbe), da predlagatelj in osebe, ki z njim prebivajo v objektu, nimajo v lasti ali na podlagi kakšne druge pravice možnosti bivati v drugem primernem stanovanju, da je lastnik zemljišča, na katerem je objekt, in da zemljišče, na katerem stoji objekt, ni predmet varstva okolijskih pravic, inšpektor s sklepom odloži izvršbo za pet let. Predlagatelju ni treba izpolnjevati pogoja glede lastništva zemljišča, če pripada deprivilegirani ali ranljivi družbeni skupini (Ustavno sodišče je kot posebej ranljive na tem področju določilo pripadnike Romov) </w:t>
      </w:r>
      <w:r w:rsidRPr="00CB5050">
        <w:rPr>
          <w:rFonts w:eastAsia="Calibri"/>
        </w:rPr>
        <w:lastRenderedPageBreak/>
        <w:t xml:space="preserve">na področju ureditve prostorov za bivanje ali pa v primeru ustanovljene stavbne pravice na zemljišču, na katerem leži objekt. </w:t>
      </w:r>
    </w:p>
    <w:p w14:paraId="0EE30FF9" w14:textId="77777777" w:rsidR="00695AE2" w:rsidRPr="00CB5050" w:rsidRDefault="00695AE2" w:rsidP="00695AE2">
      <w:pPr>
        <w:spacing w:line="240" w:lineRule="auto"/>
        <w:jc w:val="both"/>
        <w:rPr>
          <w:rFonts w:eastAsia="Calibri"/>
        </w:rPr>
      </w:pPr>
    </w:p>
    <w:p w14:paraId="37E869AC" w14:textId="77777777" w:rsidR="00695AE2" w:rsidRPr="00CB5050" w:rsidRDefault="00695AE2" w:rsidP="00695AE2">
      <w:pPr>
        <w:spacing w:line="240" w:lineRule="auto"/>
        <w:jc w:val="both"/>
        <w:rPr>
          <w:rFonts w:eastAsia="Calibri"/>
        </w:rPr>
      </w:pPr>
      <w:r w:rsidRPr="00CB5050">
        <w:rPr>
          <w:rFonts w:eastAsia="Calibri"/>
        </w:rPr>
        <w:t xml:space="preserve">Inšpektor na podlagi navedenih meril omogoči odlog izvršbe v tistih primerih, ko je očitno, da objekt predlagatelju pomeni dom, da predlagatelj ni imel možnosti urediti svojega bivanjskega vprašanja drugače, da je objekt na predlagateljevem zemljišču, razen v navedenih izjemah, in če objekt ni zgrajen na zemljišču, ki je predmet varstva drugih pravic (kolizija interesov). Če predlagatelj ne bo dokazal, da očitno izpolnjuje pogoje za odlog izvršbe zaradi čezmernega posega v njegov dom, bo inšpektor postopek o odlogu izvršbe prekinil in zaradi varstva predlagateljeve pravice do doma napotil predlagatelja, da sproži pri pristojnem sodišču postopek presoje nesorazmernosti posega inšpekcijskega ukrepa v njegov dom. Predlagatelj mora vlogo na sodišču vložiti v 30 dneh od vročitve sklepa o prekinitvi, sicer bo inšpektor postopek o odlogu izvršbe ustavil. </w:t>
      </w:r>
    </w:p>
    <w:p w14:paraId="6A2AB762" w14:textId="77777777" w:rsidR="00695AE2" w:rsidRPr="00CB5050" w:rsidRDefault="00695AE2" w:rsidP="00695AE2">
      <w:pPr>
        <w:spacing w:line="240" w:lineRule="auto"/>
        <w:jc w:val="both"/>
        <w:rPr>
          <w:rFonts w:eastAsia="Calibri"/>
        </w:rPr>
      </w:pPr>
    </w:p>
    <w:p w14:paraId="03CA2AE2" w14:textId="77777777" w:rsidR="00695AE2" w:rsidRPr="00CB5050" w:rsidRDefault="00695AE2" w:rsidP="00695AE2">
      <w:pPr>
        <w:spacing w:line="240" w:lineRule="auto"/>
        <w:jc w:val="both"/>
        <w:rPr>
          <w:rFonts w:eastAsia="Calibri"/>
        </w:rPr>
      </w:pPr>
      <w:r w:rsidRPr="00CB5050">
        <w:rPr>
          <w:rFonts w:eastAsia="Calibri"/>
        </w:rPr>
        <w:t xml:space="preserve">Če predlagatelj v roku vloži vlogo na sodišče, potem inšpektor počaka na odločitev sodišča. Če sodišče ugotovi, da gre za nesorazmeren poseg inšpekcijskega ukrepa v predlagateljev dom, inšpektor izda sklep o odlogu izvršbe za pet let. Ustavno sodišče je v odločitvi navedlo, da bi moral imeti predlagatelj možnost odložiti ukrep, ki pomeni poseg v njegov dom, tudi po preteku petih let, saj zaradi določenih okoliščin predlagatelju ni omogočeno, da sanira objekt ali si drugače uredi dom. Posledično je zakonodajalec uredil, da ima v primerih, ko je inšpektor že odložil izvršbo nad objektom, ki pomeni predlagatelju dom, predlagatelj možnost, da pred potekom roka iz sklepa o določitvi izvršbe pri inšpektorju ponovno vloži predlog za odlog izvršbe zaradi nesorazmernosti posega inšpekcijskega ukrepa v njegov dom. O ponovni vlogi pa bo moralo odločati le sodišče, ki bo moralo presoditi, ali po preteku časa odloga izvršbe pomeni inšpekcijski ukrep še vedno nesorazmerni poseg v predlagateljev dom. </w:t>
      </w:r>
    </w:p>
    <w:p w14:paraId="7DDBD260" w14:textId="77777777" w:rsidR="00695AE2" w:rsidRPr="00CB5050" w:rsidRDefault="00695AE2" w:rsidP="00695AE2">
      <w:pPr>
        <w:spacing w:line="240" w:lineRule="auto"/>
        <w:jc w:val="both"/>
        <w:rPr>
          <w:rFonts w:eastAsia="Calibri"/>
        </w:rPr>
      </w:pPr>
    </w:p>
    <w:p w14:paraId="7522A881" w14:textId="77777777" w:rsidR="00695AE2" w:rsidRPr="00CB5050" w:rsidRDefault="00695AE2" w:rsidP="00695AE2">
      <w:pPr>
        <w:spacing w:line="240" w:lineRule="auto"/>
        <w:jc w:val="both"/>
        <w:rPr>
          <w:rFonts w:eastAsia="Calibri"/>
        </w:rPr>
      </w:pPr>
      <w:r w:rsidRPr="00CB5050">
        <w:rPr>
          <w:rFonts w:eastAsia="Calibri"/>
        </w:rPr>
        <w:t xml:space="preserve">Zakonodajalec je menil, da je javni interes, ki je tudi varovanje življenja in zdravja ljudi, varovanje prometa in odvračanje večje škode, v tem primeru nad pravico do doma. </w:t>
      </w:r>
    </w:p>
    <w:p w14:paraId="4DA751FA" w14:textId="77777777" w:rsidR="00695AE2" w:rsidRPr="00CB5050" w:rsidRDefault="00695AE2" w:rsidP="00695AE2">
      <w:pPr>
        <w:spacing w:line="240" w:lineRule="auto"/>
        <w:jc w:val="both"/>
        <w:rPr>
          <w:rFonts w:eastAsia="Calibri"/>
        </w:rPr>
      </w:pPr>
    </w:p>
    <w:p w14:paraId="2700BA11" w14:textId="77777777" w:rsidR="00695AE2" w:rsidRPr="00CB5050" w:rsidRDefault="00695AE2" w:rsidP="00695AE2">
      <w:pPr>
        <w:spacing w:line="240" w:lineRule="auto"/>
        <w:jc w:val="both"/>
        <w:rPr>
          <w:rFonts w:eastAsia="Calibri"/>
        </w:rPr>
      </w:pPr>
      <w:r w:rsidRPr="00CB5050">
        <w:rPr>
          <w:rFonts w:eastAsia="Calibri"/>
        </w:rPr>
        <w:t xml:space="preserve">V prvi fazi sodišče odloča o dopustnosti predloga za presojo nesorazmernosti izrečenega ukrepa v pravico do spoštovanja doma. Gre za odločanje o izpolnjevanju nekaterih formalnih pogojev za sam postopek. Predlog mora vložiti predlagatelj na podlagi sklepa o prekinitvi postopka o predlogu za odlog izvršbe, saj je presoja nesorazmernosti posega inšpekcijskega ukrepa v dom vezana na inšpekcijski postopek in ni predvideno, da se ta postopek sproži izven teh postopkov. Predlog mora biti vložen v predpisanem roku. Varstvo doma je izključeno, če gre za nevaren objekt. Predlagatelj mora v prvi fazi izkazati, da je objekt njegov dom ali dom osebe, ki tam prebiva. Pri opredelitvi pojma dom mora sodišče uporabiti obstoječo evropsko in domačo sodno prakso, in sicer za vsak primer posebej (da je bivanje dejansko – objekt vseljen, se uporablja, da je predlagatelj družbeno vključen in povezan z okolico, na primer otroci so v bližini v vrtcu ali šoli, obiskuje bližnje trgovine za vsakodnevno oskrbo, ima vzpostavljene med soseske odnose ipd.). </w:t>
      </w:r>
    </w:p>
    <w:p w14:paraId="61EED446" w14:textId="77777777" w:rsidR="00695AE2" w:rsidRPr="00CB5050" w:rsidRDefault="00695AE2" w:rsidP="00695AE2">
      <w:pPr>
        <w:spacing w:line="240" w:lineRule="auto"/>
        <w:jc w:val="both"/>
        <w:rPr>
          <w:rFonts w:eastAsia="Calibri"/>
        </w:rPr>
      </w:pPr>
    </w:p>
    <w:p w14:paraId="225260D1" w14:textId="77777777" w:rsidR="00695AE2" w:rsidRPr="00CB5050" w:rsidRDefault="00695AE2" w:rsidP="00695AE2">
      <w:pPr>
        <w:spacing w:line="240" w:lineRule="auto"/>
        <w:jc w:val="both"/>
        <w:rPr>
          <w:rFonts w:eastAsia="Calibri"/>
        </w:rPr>
      </w:pPr>
      <w:r w:rsidRPr="00CB5050">
        <w:rPr>
          <w:rFonts w:eastAsia="Calibri"/>
        </w:rPr>
        <w:t xml:space="preserve">V drugi fazi sodišče pretehta osebne okoliščine predlagatelja ali osebe, ki biva v objektu, ter cilje, pomembnost in nujno zaščito javnega interesa. Javni interes v postopku pred sodiščem zastopa državni odvetnik, zato ga mora sodišče vključiti v postopek. Določeno je še, da sodišče o predlogu in vseh odločitvah obvesti pristojnega inšpektorja. Sodišče tako pretehta osebne okoliščine predlagatelja in kolizijo njegove pravice do doma z drugimi pravicami (gradnja na </w:t>
      </w:r>
      <w:r w:rsidRPr="00CB5050">
        <w:rPr>
          <w:rFonts w:eastAsia="Calibri"/>
        </w:rPr>
        <w:lastRenderedPageBreak/>
        <w:t xml:space="preserve">tujem zemljišču, gradnja na varovanem območju, gradnja na kulturno zaščitenem območju ipd.) ter presodi, ali se z varovanjem javnega interesa nesorazmerno poseže v pravico do doma. </w:t>
      </w:r>
    </w:p>
    <w:p w14:paraId="4D58EE2B" w14:textId="77777777" w:rsidR="00695AE2" w:rsidRPr="00CB5050" w:rsidRDefault="00695AE2" w:rsidP="00695AE2">
      <w:pPr>
        <w:spacing w:line="240" w:lineRule="auto"/>
        <w:jc w:val="both"/>
        <w:rPr>
          <w:rFonts w:eastAsia="Calibri"/>
        </w:rPr>
      </w:pPr>
    </w:p>
    <w:p w14:paraId="67B5C2F5" w14:textId="77777777" w:rsidR="00695AE2" w:rsidRPr="00CB5050" w:rsidRDefault="00695AE2" w:rsidP="00695AE2">
      <w:pPr>
        <w:pStyle w:val="Naslov5"/>
        <w:ind w:left="0" w:firstLine="0"/>
      </w:pPr>
      <w:bookmarkStart w:id="877" w:name="_Toc223094016"/>
      <w:r w:rsidRPr="00CB5050">
        <w:t>Predstavitev nekaterih postopkov odloga izvršbe zaradi nesorazmernosti posega inšpekcijskega ukrepa v dom in dileme Državnega odvetništva RS</w:t>
      </w:r>
      <w:bookmarkEnd w:id="877"/>
      <w:r w:rsidRPr="00CB5050">
        <w:t xml:space="preserve"> </w:t>
      </w:r>
    </w:p>
    <w:p w14:paraId="43051AF4"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35E7D656"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Specifične zadeve v zvezi z nelegalnimi gradnjami so vsekakor gradnje na kmetijskih zemljiščih, večkrat (zgolj) za počitniške namene, ter nelegalne prizidave k obstoječim objektom, tako za lastne potrebe ali celo za namene oddajanja ter zadeve, v katerih je bila odstranitev objekta z odločbo gradbenega inšpektorja odrejena že pred več leti, tudi 10 do 15 let nazaj, vendar so inšpekcijski zavezanci z vlaganjem še drugih pravnih sredstev ter ob dejstvu, da so tovrstni upravni postopki dolgotrajni, z odstranitvijo objekta zavlačevali.</w:t>
      </w:r>
    </w:p>
    <w:p w14:paraId="1A1676F6"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6ADE8D69"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Omenjeni sodni postopki so praviloma dokazno obsežni, saj predlagatelji za dokazovanje osebnih okoliščin ponudijo številne priče, zato temu ustrezno trajajo več let. Zgolj z vložitvijo predloga za presojo nesorazmernosti posega izrečenega inšpekcijskega ukrepa v dom na sodišče si zavezanec rok za odstranitev nelegalnega objekta avtomatično podaljša še za dodatni čas dveh do treh let, četudi nazadnje s predlogom morda ne uspe.</w:t>
      </w:r>
    </w:p>
    <w:p w14:paraId="76E3F15F"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21AFD003"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 xml:space="preserve">Sodišča kot razlog za presojo, da je izvršitev inšpekcijskega ukrepa odstranitve oziroma rušenja objekta nesorazmeren ukrep in se posledično dovoli (začasen) odlog izvršbe, upoštevajo osebno okoliščino, kadar predlagatelji v objektu z družino bivajo in dokažejo, da druge nastanitve nimajo. Navkljub obsežnemu dokaznemu postopku, četudi je ugotovljeno zavedanje predlagateljev o nezakonitosti gradnje, četudi legalizacija objekta ni verjetna, je nazadnje kot edina relevantna upoštevana osebna okoliščina izguba </w:t>
      </w:r>
      <w:r w:rsidRPr="00CB5050">
        <w:rPr>
          <w:rFonts w:eastAsia="Calibri" w:cs="Times New Roman"/>
          <w:bCs/>
          <w:color w:val="000000"/>
          <w:kern w:val="2"/>
          <w14:ligatures w14:val="standardContextual"/>
        </w:rPr>
        <w:t xml:space="preserve">dotedanjega doma, </w:t>
      </w:r>
      <w:r w:rsidRPr="00CB5050">
        <w:rPr>
          <w:rFonts w:eastAsia="Calibri" w:cs="Times New Roman"/>
          <w:color w:val="000000"/>
          <w:kern w:val="2"/>
          <w14:ligatures w14:val="standardContextual"/>
        </w:rPr>
        <w:t>ki prevlada nad javnim interesom.</w:t>
      </w:r>
    </w:p>
    <w:p w14:paraId="70CBB85C"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526CA73E"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Pritrdilno presojo, da gre za nesorazmeren poseg v dom, je sodišče na primer sprejelo v zadevi, v kateri je prednik predlagateljic je že pred 30 leti kmetijski objekt na kmetijskem zemljišču, ki ga je imel v zakupu (v lasti Republike Slovenije) nadzidal v stanovanjsko bivalno enoto. Predlagateljici sta se v stanovanjsko enoto vselili pred 25 leti, s sedaj pokojnim možem oziroma očetom ter za nelegalnost naj ne bi vedeli do odločbe gradbenega inšpektorja pred 10 leti. Od tedaj si prizadevata za legalizacijo, pripravljeni sta kupiti kmetijsko zemljišče, na občino sta podali pobudo za spremembo prostorskega akta, ki bi (šele) omogočil legalizacijo. Ker je to njun edini dom, predlagateljica ima nizke dohodke, hčerka pa je še študentka in nimata možnosti kupiti ali najeti drugega stanovanja, je sodišče presodilo, da njune osebne okoliščine pretehtajo nujnost zaščite javnega interesa (prepovedi gradnje na kmetijskih zemljiščih).</w:t>
      </w:r>
    </w:p>
    <w:p w14:paraId="2D58DF40"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4579590A"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r w:rsidRPr="00CB5050">
        <w:rPr>
          <w:rFonts w:eastAsia="Calibri" w:cs="Times New Roman"/>
          <w:color w:val="000000"/>
          <w:kern w:val="2"/>
          <w14:ligatures w14:val="standardContextual"/>
        </w:rPr>
        <w:t xml:space="preserve">V drugi zadevi je na primer gradbeni inšpektor že v letu 2015 zavezancu – očetu predlagatelja odredil zaustavitev nelegalne gradnje in rušitev objekta, saj slednji za gradnjo ni uspel pridobiti ustreznih dovoljenj, ker ob veljavnih prostorskih aktih na kmetijskem zemljišču gradnja ni bila dopustna. Ugotovljeno je bilo, da je prednik predlagatelja zavestno kršil predpise, porušil star objekt na kmetijskem zemljišču in kljub izdani inšpekcijski odločbi v istih gabaritih dogradil nov stanovanjski objekt. Predlagatelj se je dobro zavedal nelegalnosti gradnje (svojega očeta) ter da gre za nedovoljeno novogradnjo, v katero se je kasneje tudi vselil. Ker sedaj ta predstavlja njegov dom, ker družina drugega doma nima, nima visokih dohodkov, otroka obiskujeta </w:t>
      </w:r>
      <w:r w:rsidRPr="00CB5050">
        <w:rPr>
          <w:rFonts w:eastAsia="Calibri" w:cs="Times New Roman"/>
          <w:color w:val="000000"/>
          <w:kern w:val="2"/>
          <w14:ligatures w14:val="standardContextual"/>
        </w:rPr>
        <w:lastRenderedPageBreak/>
        <w:t>osnovno šolo in športne aktivnosti v kraju, so to po mnenju sodišča osebne okoliščine, ki pretehtajo nujnost zaščite javnega interesa. Rušitev bi posledično pomenila nesorazmeren ukrep.</w:t>
      </w:r>
    </w:p>
    <w:p w14:paraId="5B59B6B6"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1BC35B68"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r w:rsidRPr="00CB5050">
        <w:rPr>
          <w:rFonts w:eastAsia="Calibri" w:cs="Times New Roman"/>
          <w:color w:val="000000"/>
          <w:kern w:val="2"/>
          <w14:ligatures w14:val="standardContextual"/>
        </w:rPr>
        <w:t>Sodišče nesorazmernost posega ne ugotovi praktično le v primerih, kadar gre za nelegalne prizidave, ki ne tvorijo bivanjskega jedra stanovanjskega objekta in bo tako predlagatelj kljub rušenju dela objeta lahko ohranil dom, ali če se ugotovi, da je predlagatelj lastnik drugih bivalnih nepremičnin. Nesorazmernosti posega pa na primer sodišče ni ugotovilo v primeru, ko je imel predlagatelj še več drugih nepremičnin, ki pa jih je oddajal tretjim osebam.</w:t>
      </w:r>
      <w:r w:rsidRPr="00CB5050">
        <w:rPr>
          <w:rFonts w:ascii="Times New Roman" w:eastAsia="Calibri" w:hAnsi="Times New Roman" w:cs="Times New Roman"/>
          <w:color w:val="000000"/>
          <w:kern w:val="2"/>
          <w14:ligatures w14:val="standardContextual"/>
        </w:rPr>
        <w:t xml:space="preserve"> </w:t>
      </w:r>
      <w:r w:rsidRPr="00CB5050">
        <w:rPr>
          <w:rFonts w:eastAsia="Calibri" w:cs="Times New Roman"/>
          <w:color w:val="000000"/>
          <w:kern w:val="2"/>
          <w14:ligatures w14:val="standardContextual"/>
        </w:rPr>
        <w:t xml:space="preserve">Tudi v primerih, ko sodišča nesorazmernosti posega v dom ne ugotovijo, si, kot že navedeno, s sodnim postopkom zavezanci »neformalno« ponovno podaljšajo uporabo in bivanje v nelegalnih objektih. </w:t>
      </w:r>
    </w:p>
    <w:p w14:paraId="30965EDA"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13C1A245"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Pri zaščiti javnega interesa država zasleduje predvsem cilje: varstvo okolja in ohranjanje narave, varstvo voda, varstvo kulturne dediščine, varstvo kulturne krajine in kakovostnega grajenega okolja. Pri tehtanju sorazmernosti z javnim interesom po oceni Državnega odvetništva RS sodišča ne upoštevajo v zadostni meri, da prostorsko načrtovanje ter stroga normativna urejenost pri graditvi objektov ni sama sebi namen, temveč je namenjena varni uporabi objektov, varnemu in zdravemu življenjskemu okolju, smotrni rabi zemljišč in varstvu drugih ustavnopravnih vrednot. Boniteto, ki jo zavezancem daje prenovljen 105. člen GZ-1, bi bilo po oceni Državnega odvetništva RS treba presojati restriktivno, saj se pravica do doma zagotavlja le posebej ranljivim posameznikom in ne pomeni tudi pravice do zagotovitve doma vsakomur, ne glede na zavedanje nelegalnosti zgrajenega objekta.</w:t>
      </w:r>
    </w:p>
    <w:p w14:paraId="067AF914"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36B216BC" w14:textId="77777777" w:rsidR="00695AE2" w:rsidRPr="00CB5050" w:rsidRDefault="00695AE2" w:rsidP="00695AE2">
      <w:pPr>
        <w:spacing w:line="240" w:lineRule="auto"/>
        <w:jc w:val="both"/>
        <w:rPr>
          <w:rFonts w:eastAsia="Calibri"/>
        </w:rPr>
      </w:pPr>
      <w:r w:rsidRPr="00CB5050">
        <w:rPr>
          <w:rFonts w:eastAsia="Calibri"/>
        </w:rPr>
        <w:t xml:space="preserve">V  letu 2025 je Državno odvetništvo RS prejelo 47 novih zadev iz tega področja, v delu pa je imelo 135 zadev. </w:t>
      </w:r>
    </w:p>
    <w:p w14:paraId="691EF30D" w14:textId="77777777" w:rsidR="00695AE2" w:rsidRPr="00CB5050" w:rsidRDefault="00695AE2" w:rsidP="00695AE2">
      <w:pPr>
        <w:spacing w:line="240" w:lineRule="auto"/>
        <w:jc w:val="both"/>
        <w:rPr>
          <w:rFonts w:eastAsia="Calibri"/>
        </w:rPr>
      </w:pPr>
    </w:p>
    <w:p w14:paraId="635F21DF" w14:textId="77777777" w:rsidR="00695AE2" w:rsidRPr="00CB5050" w:rsidRDefault="00695AE2" w:rsidP="00695AE2">
      <w:pPr>
        <w:pStyle w:val="Naslov4"/>
      </w:pPr>
      <w:bookmarkStart w:id="878" w:name="_Toc95149807"/>
      <w:bookmarkStart w:id="879" w:name="_Toc168845031"/>
      <w:bookmarkStart w:id="880" w:name="_Toc191562017"/>
      <w:bookmarkStart w:id="881" w:name="_Toc223094017"/>
      <w:r w:rsidRPr="00CB5050">
        <w:t>Zapuščinski postopki</w:t>
      </w:r>
      <w:bookmarkEnd w:id="878"/>
      <w:bookmarkEnd w:id="879"/>
      <w:bookmarkEnd w:id="880"/>
      <w:bookmarkEnd w:id="881"/>
    </w:p>
    <w:p w14:paraId="53A35448" w14:textId="77777777" w:rsidR="00695AE2" w:rsidRPr="00CB5050" w:rsidRDefault="00695AE2" w:rsidP="00695AE2">
      <w:pPr>
        <w:spacing w:line="240" w:lineRule="auto"/>
        <w:jc w:val="both"/>
        <w:rPr>
          <w:rFonts w:eastAsia="Calibri"/>
          <w:bCs/>
          <w:lang w:eastAsia="sl-SI"/>
        </w:rPr>
      </w:pPr>
    </w:p>
    <w:p w14:paraId="3BE53A0E" w14:textId="77777777" w:rsidR="00695AE2" w:rsidRPr="00CB5050" w:rsidRDefault="00695AE2" w:rsidP="00695AE2">
      <w:pPr>
        <w:pStyle w:val="Naslov5"/>
      </w:pPr>
      <w:bookmarkStart w:id="882" w:name="_Toc168845032"/>
      <w:bookmarkStart w:id="883" w:name="_Toc191562018"/>
      <w:bookmarkStart w:id="884" w:name="_Toc223094018"/>
      <w:r w:rsidRPr="00CB5050">
        <w:t>Splošno</w:t>
      </w:r>
      <w:bookmarkEnd w:id="882"/>
      <w:bookmarkEnd w:id="883"/>
      <w:bookmarkEnd w:id="884"/>
    </w:p>
    <w:p w14:paraId="63F0F424" w14:textId="77777777" w:rsidR="00695AE2" w:rsidRPr="00CB5050" w:rsidRDefault="00695AE2" w:rsidP="00695AE2">
      <w:pPr>
        <w:spacing w:line="240" w:lineRule="auto"/>
        <w:jc w:val="both"/>
        <w:rPr>
          <w:rFonts w:eastAsia="Calibri"/>
        </w:rPr>
      </w:pPr>
    </w:p>
    <w:p w14:paraId="2DD2E6BD" w14:textId="77777777" w:rsidR="00695AE2" w:rsidRPr="00CB5050" w:rsidRDefault="00695AE2" w:rsidP="00695AE2">
      <w:pPr>
        <w:spacing w:line="240" w:lineRule="auto"/>
        <w:jc w:val="both"/>
        <w:rPr>
          <w:rFonts w:eastAsia="Calibri"/>
          <w:szCs w:val="22"/>
        </w:rPr>
      </w:pPr>
      <w:r w:rsidRPr="00CB5050">
        <w:rPr>
          <w:rFonts w:eastAsia="Calibri"/>
        </w:rPr>
        <w:t xml:space="preserve">V zvezi z udeležbo Državnega odvetništva RS v zapuščinskih postopkih je treba opozoriti, da gre za </w:t>
      </w:r>
      <w:r w:rsidRPr="00CB5050">
        <w:rPr>
          <w:rFonts w:eastAsia="Calibri"/>
          <w:bCs/>
        </w:rPr>
        <w:t>izjemno raznoliko pravno in dejansko problematiko</w:t>
      </w:r>
      <w:r w:rsidRPr="00CB5050">
        <w:rPr>
          <w:rFonts w:eastAsia="Calibri"/>
        </w:rPr>
        <w:t xml:space="preserve">, ki jo je treba reševati v vsakem primeru posebej glede na okoliščine vsakega posameznega zapuščinskega postopka in glede na premoženjsko stanje dedičev oziroma obseg zapuščine. </w:t>
      </w:r>
      <w:r w:rsidRPr="00CB5050">
        <w:rPr>
          <w:rFonts w:eastAsia="Calibri"/>
          <w:szCs w:val="22"/>
        </w:rPr>
        <w:t xml:space="preserve">Zadeve, v katerih Državno odvetništvo RS prijavlja terjatve v zapuščinski postopek oziroma predlaga omejitev dedovanja zato terjajo številne </w:t>
      </w:r>
      <w:r w:rsidRPr="00CB5050">
        <w:rPr>
          <w:rFonts w:eastAsia="Calibri"/>
          <w:bCs/>
          <w:szCs w:val="22"/>
        </w:rPr>
        <w:t>dodatne dejavnosti Državnega odvetništva RS</w:t>
      </w:r>
      <w:r w:rsidRPr="00CB5050">
        <w:rPr>
          <w:rFonts w:eastAsia="Calibri"/>
          <w:szCs w:val="22"/>
        </w:rPr>
        <w:t xml:space="preserve">. </w:t>
      </w:r>
    </w:p>
    <w:p w14:paraId="0EEABC73" w14:textId="77777777" w:rsidR="00695AE2" w:rsidRPr="00CB5050" w:rsidRDefault="00695AE2" w:rsidP="00695AE2">
      <w:pPr>
        <w:spacing w:line="240" w:lineRule="auto"/>
        <w:jc w:val="both"/>
        <w:rPr>
          <w:rFonts w:eastAsia="Calibri"/>
          <w:szCs w:val="22"/>
        </w:rPr>
      </w:pPr>
    </w:p>
    <w:p w14:paraId="5E4C4ECF" w14:textId="77777777" w:rsidR="00695AE2" w:rsidRPr="00CB5050" w:rsidRDefault="00695AE2" w:rsidP="00695AE2">
      <w:pPr>
        <w:spacing w:line="240" w:lineRule="auto"/>
        <w:jc w:val="both"/>
        <w:rPr>
          <w:rFonts w:eastAsia="Calibri"/>
        </w:rPr>
      </w:pPr>
      <w:r w:rsidRPr="00CB5050">
        <w:rPr>
          <w:rFonts w:eastAsia="Calibri"/>
        </w:rPr>
        <w:t>Državno odvetništvo RS ugotavlja, da v zapuščinskem postopku dediči dolg, če gre za manjše zneske, pogosto priznajo kot nesporen in v takšnem primeru terjatev prostovoljno poravnajo že v fazi zapuščinskega postopka oziroma po izdaji sklepa o dedovanju. Tudi sicer si Državno odvetništvo RS v</w:t>
      </w:r>
      <w:r w:rsidRPr="00CB5050">
        <w:rPr>
          <w:rFonts w:eastAsia="Calibri"/>
          <w:spacing w:val="46"/>
        </w:rPr>
        <w:t xml:space="preserve"> </w:t>
      </w:r>
      <w:r w:rsidRPr="00CB5050">
        <w:rPr>
          <w:rFonts w:eastAsia="Calibri"/>
        </w:rPr>
        <w:t>postopkih za omejitev dedovanja, če je v</w:t>
      </w:r>
      <w:r w:rsidRPr="00CB5050">
        <w:rPr>
          <w:rFonts w:eastAsia="Calibri"/>
          <w:spacing w:val="51"/>
        </w:rPr>
        <w:t xml:space="preserve"> </w:t>
      </w:r>
      <w:r w:rsidRPr="00CB5050">
        <w:rPr>
          <w:rFonts w:eastAsia="Calibri"/>
        </w:rPr>
        <w:t>zapuščini razpoložljivo</w:t>
      </w:r>
      <w:r w:rsidRPr="00CB5050">
        <w:rPr>
          <w:rFonts w:eastAsia="Calibri"/>
          <w:spacing w:val="46"/>
        </w:rPr>
        <w:t xml:space="preserve"> </w:t>
      </w:r>
      <w:r w:rsidRPr="00CB5050">
        <w:rPr>
          <w:rFonts w:eastAsia="Calibri"/>
        </w:rPr>
        <w:t>premoženje,</w:t>
      </w:r>
      <w:r w:rsidRPr="00CB5050">
        <w:rPr>
          <w:rFonts w:eastAsia="Calibri"/>
          <w:spacing w:val="13"/>
        </w:rPr>
        <w:t xml:space="preserve"> </w:t>
      </w:r>
      <w:r w:rsidRPr="00CB5050">
        <w:rPr>
          <w:rFonts w:eastAsia="Calibri"/>
        </w:rPr>
        <w:t xml:space="preserve">prizadeva z dediči skleniti dogovor za enkratno ali obročno odplačilo terjatev; v primeru sklenitve sodne poravnave se terjatve, priglašene iz naslova omejitve dedovanja, ustrezno zavarujejo in se s tem zagotovi možnost izterjave za primer, da se dediči dogovora o poplačilu terjatve iz sodne poravnave ne bi držali. V nekaterih primerih dediči </w:t>
      </w:r>
      <w:r w:rsidRPr="00CB5050">
        <w:rPr>
          <w:rFonts w:eastAsia="Calibri"/>
          <w:szCs w:val="22"/>
        </w:rPr>
        <w:t xml:space="preserve">uveljavljajo tudi svoje terjatve do zapuščine; vlaganja v nepremičnine, ki spadajo v zapuščino; predlagajo, da bi se </w:t>
      </w:r>
      <w:r w:rsidRPr="00CB5050">
        <w:rPr>
          <w:rFonts w:eastAsia="Calibri"/>
          <w:szCs w:val="22"/>
        </w:rPr>
        <w:lastRenderedPageBreak/>
        <w:t xml:space="preserve">uredila neurejena lastniška razmerja, ko je zapustnik le še formalni zemljiškoknjižni lastnik posamezne nepremičnine, saj je že pred tem z njo razpolagal s kakšnim pravnim poslom in podobno. </w:t>
      </w:r>
      <w:r w:rsidRPr="00CB5050">
        <w:rPr>
          <w:rFonts w:eastAsia="Calibri"/>
        </w:rPr>
        <w:t xml:space="preserve">Če so prijavljene terjatve po višini večje od vrednosti zapuščine, pa dediči pogosto predložijo izjavo, s katero se dedovanju odpovejo. </w:t>
      </w:r>
    </w:p>
    <w:p w14:paraId="30783C88" w14:textId="77777777" w:rsidR="00695AE2" w:rsidRPr="00CB5050" w:rsidRDefault="00695AE2" w:rsidP="00695AE2">
      <w:pPr>
        <w:spacing w:line="240" w:lineRule="auto"/>
        <w:jc w:val="both"/>
        <w:rPr>
          <w:rFonts w:eastAsia="Calibri"/>
        </w:rPr>
      </w:pPr>
    </w:p>
    <w:p w14:paraId="0FB70560" w14:textId="77777777" w:rsidR="00695AE2" w:rsidRPr="00CB5050" w:rsidRDefault="00695AE2" w:rsidP="00695AE2">
      <w:pPr>
        <w:pStyle w:val="Naslov5"/>
      </w:pPr>
      <w:bookmarkStart w:id="885" w:name="_Toc168845033"/>
      <w:bookmarkStart w:id="886" w:name="_Toc191562019"/>
      <w:bookmarkStart w:id="887" w:name="_Toc223094019"/>
      <w:r w:rsidRPr="00CB5050">
        <w:t>Omejitev dedovanja</w:t>
      </w:r>
      <w:bookmarkEnd w:id="885"/>
      <w:bookmarkEnd w:id="886"/>
      <w:r w:rsidRPr="00CB5050">
        <w:t xml:space="preserve"> in odpoved omejitvi dedovanja</w:t>
      </w:r>
      <w:bookmarkEnd w:id="887"/>
    </w:p>
    <w:p w14:paraId="7B55F0CA" w14:textId="77777777" w:rsidR="00695AE2" w:rsidRPr="00CB5050" w:rsidRDefault="00695AE2" w:rsidP="00695AE2">
      <w:pPr>
        <w:widowControl w:val="0"/>
        <w:autoSpaceDE w:val="0"/>
        <w:autoSpaceDN w:val="0"/>
        <w:adjustRightInd w:val="0"/>
        <w:spacing w:line="240" w:lineRule="auto"/>
        <w:jc w:val="both"/>
        <w:rPr>
          <w:rFonts w:eastAsia="Calibri"/>
        </w:rPr>
      </w:pPr>
    </w:p>
    <w:p w14:paraId="2B036913" w14:textId="77777777" w:rsidR="00695AE2" w:rsidRPr="00CB5050" w:rsidRDefault="00695AE2" w:rsidP="00695AE2">
      <w:pPr>
        <w:widowControl w:val="0"/>
        <w:autoSpaceDE w:val="0"/>
        <w:autoSpaceDN w:val="0"/>
        <w:adjustRightInd w:val="0"/>
        <w:spacing w:line="240" w:lineRule="auto"/>
        <w:jc w:val="both"/>
        <w:rPr>
          <w:rFonts w:eastAsia="Calibri"/>
        </w:rPr>
      </w:pPr>
      <w:r w:rsidRPr="00CB5050">
        <w:rPr>
          <w:rFonts w:eastAsia="Calibri"/>
        </w:rPr>
        <w:t>Republika Slovenija predlaga omejitev dedovanja v primeru, da je zapustnik prejemal socialne prejemke – denarno socialno pomoč ali varstveni dodatek – in jih je v določeni višini skladno z zakonom dolžan po smrti povrniti v primeru, da je bil ob smrti lastnik premoženja, ki spada v zapuščinsko maso. V zadevah, v katerih v zapuščinskih postopkih Državno odvetništvo RS uveljavlja omejitev dedovanja</w:t>
      </w:r>
      <w:r w:rsidRPr="00CB5050">
        <w:rPr>
          <w:rFonts w:eastAsia="Calibri"/>
          <w:szCs w:val="22"/>
        </w:rPr>
        <w:t>,</w:t>
      </w:r>
      <w:r w:rsidRPr="00CB5050">
        <w:rPr>
          <w:rFonts w:eastAsia="Calibri"/>
        </w:rPr>
        <w:t xml:space="preserve"> je izjemno pomembno, da Državno odvetništvo RS pravočasno razpolaga s podatki o obsegu zapuščine, o vrsti in višini prijavljenih terjatev ter številu upnikov, da lahko potem pripravi najbolj optimalno izjavo glede omejitve dedovanja, ki državi ne bo povzročala nesorazmernih stroškov, nastalih zaradi upravljanja tega premoženja, ali pa sklene sporazum o poplačilu terjatev z dediči oziroma sporazum o razdelitvi zapuščine, vključno s preostalimi morebitnimi upniki.</w:t>
      </w:r>
    </w:p>
    <w:p w14:paraId="3CE2C2C3" w14:textId="77777777" w:rsidR="00695AE2" w:rsidRPr="00CB5050" w:rsidRDefault="00695AE2" w:rsidP="00695AE2">
      <w:pPr>
        <w:widowControl w:val="0"/>
        <w:autoSpaceDE w:val="0"/>
        <w:autoSpaceDN w:val="0"/>
        <w:adjustRightInd w:val="0"/>
        <w:spacing w:line="240" w:lineRule="auto"/>
        <w:jc w:val="both"/>
        <w:rPr>
          <w:rFonts w:eastAsia="Calibri"/>
        </w:rPr>
      </w:pPr>
    </w:p>
    <w:p w14:paraId="625689E8" w14:textId="77777777" w:rsidR="00695AE2" w:rsidRPr="00CB5050" w:rsidRDefault="00695AE2" w:rsidP="00695AE2">
      <w:pPr>
        <w:widowControl w:val="0"/>
        <w:autoSpaceDE w:val="0"/>
        <w:autoSpaceDN w:val="0"/>
        <w:adjustRightInd w:val="0"/>
        <w:spacing w:line="240" w:lineRule="auto"/>
        <w:jc w:val="both"/>
        <w:rPr>
          <w:rFonts w:eastAsia="Calibri"/>
          <w:color w:val="000000"/>
          <w:szCs w:val="22"/>
        </w:rPr>
      </w:pPr>
      <w:r w:rsidRPr="00CB5050">
        <w:rPr>
          <w:rFonts w:eastAsia="Calibri"/>
          <w:szCs w:val="22"/>
        </w:rPr>
        <w:t xml:space="preserve">Iz zemljiškoknjižnih izpiskov in podatkov GURS ni razvidno dejansko stanje nepremičnin in tudi ne premoženjske razmere dedičev, ki nepremičnine dejansko uporabljajo in so za pokojnika skrbeli. Državno odvetništvo RS se tako pogosto z dejanskim stanjem seznani šele na obravnavi, kar vse so lahko dodatni dejavniki, od katerih je odvisen način izvedbe omejitve dedovanja. Ko so predmet omejitve dedovanja tudi nepremičnine (kar ni redkost), je zanje treba pri pristojnih občinah pridobiti lokacijsko informacijo o namenski rabi zemljišč. V teh primerih je v smislu določb Uredbe o ureditvi nekaterih vprašanj glede pridobivanja premoženja države iz naslova dedovanja treba obvestilo o prijavi terjatve in lokacijske informacije o namenski rabi zemljišč poslati upravljavcem posameznih vrst premoženja, ki spada v zapuščino, in jih zaprositi za usklajen predlog za </w:t>
      </w:r>
      <w:r w:rsidRPr="00CB5050">
        <w:rPr>
          <w:rFonts w:eastAsia="Calibri"/>
          <w:color w:val="000000"/>
          <w:szCs w:val="22"/>
        </w:rPr>
        <w:t xml:space="preserve">omejitev dedovanja. </w:t>
      </w:r>
    </w:p>
    <w:p w14:paraId="2CF565AB" w14:textId="77777777" w:rsidR="00695AE2" w:rsidRPr="00CB5050" w:rsidRDefault="00695AE2" w:rsidP="00695AE2">
      <w:pPr>
        <w:widowControl w:val="0"/>
        <w:autoSpaceDE w:val="0"/>
        <w:autoSpaceDN w:val="0"/>
        <w:adjustRightInd w:val="0"/>
        <w:spacing w:line="240" w:lineRule="auto"/>
        <w:jc w:val="both"/>
        <w:rPr>
          <w:rFonts w:eastAsia="Calibri"/>
          <w:color w:val="000000"/>
          <w:szCs w:val="22"/>
        </w:rPr>
      </w:pPr>
    </w:p>
    <w:p w14:paraId="5D4A2989" w14:textId="77777777" w:rsidR="00695AE2" w:rsidRPr="00CB5050" w:rsidRDefault="00695AE2" w:rsidP="00695AE2">
      <w:pPr>
        <w:spacing w:line="240" w:lineRule="auto"/>
        <w:jc w:val="both"/>
        <w:rPr>
          <w:rFonts w:eastAsia="Calibri"/>
          <w:bCs/>
          <w:szCs w:val="22"/>
        </w:rPr>
      </w:pPr>
      <w:r w:rsidRPr="00CB5050">
        <w:rPr>
          <w:rFonts w:eastAsia="Calibri"/>
        </w:rPr>
        <w:t xml:space="preserve">Za dosego pospešitve in povečanja učinkovitosti postopka bi bilo dobro, da bi sodišča ob vabilu na zapuščinsko obravnavo Državnemu odvetništvu RS poslala tudi seznam premoženja, ki sestavlja zapuščino, in bi Državno odvetništvo RS lahko že pred glavno obravnavo izvedlo postopke na podlagi </w:t>
      </w:r>
      <w:r w:rsidRPr="00CB5050">
        <w:rPr>
          <w:rFonts w:eastAsia="Calibri"/>
          <w:szCs w:val="22"/>
        </w:rPr>
        <w:t>Uredbe o ureditvi nekaterih vprašanj glede pridobivanja premoženja države iz naslova dedovanja in do naroka oblikovalo predlog načina izvedbe omejitve dedovanja. Na območjih nekaterih zunanjih oddelkov Državnega odvetništva RS se je sicer takšna praksa že izoblikovala in s</w:t>
      </w:r>
      <w:r w:rsidRPr="00CB5050">
        <w:rPr>
          <w:rFonts w:eastAsia="Calibri"/>
          <w:bCs/>
          <w:szCs w:val="22"/>
        </w:rPr>
        <w:t xml:space="preserve">odišča Državnemu odvetništvu RS že pred razpisanim narokom pošljejo podatke o obsegu zapuščine, na podlagi katerih Državno odvetništvo RS od morebitnih prihodnjih upravljavcev nepremičnin (Ministrstvo za javno upravo, Sklad kmetijskih zemljišč in gozdov in Slovenski državni gozdovi) pridobi mnenje, ali so pripravljeni prevzeti v upravljanje katero izmed nepremičnin v primeru, da dediči terjatve Republike Slovenije ne bodo poravnali ali pa bodo predlagali, da se omejitvi dedovanja Republika Slovenija odpove. </w:t>
      </w:r>
      <w:r w:rsidRPr="00CB5050">
        <w:rPr>
          <w:rFonts w:eastAsia="Calibri"/>
          <w:szCs w:val="22"/>
        </w:rPr>
        <w:t xml:space="preserve">Tako SKZG kot tudi SiDG se do navedenega v roku opredelita in predlagata, na katerih nepremičninah naj se omejitev izvede v primeru, da dediči terjatve ne bodo poravnali. </w:t>
      </w:r>
      <w:r w:rsidRPr="00CB5050">
        <w:rPr>
          <w:rFonts w:eastAsia="Calibri"/>
          <w:bCs/>
          <w:szCs w:val="22"/>
        </w:rPr>
        <w:t xml:space="preserve">Mnenja so usklajena in pravočasna, kar znatno pripomore k dobremu zastopanju Državnega odvetništva RS pred sodišči in v odnosu do nasprotnih udeležencev. </w:t>
      </w:r>
      <w:r w:rsidRPr="00CB5050">
        <w:rPr>
          <w:rFonts w:eastAsia="Calibri"/>
          <w:szCs w:val="22"/>
        </w:rPr>
        <w:t xml:space="preserve">Upravljalci običajno ne prevzemajo nepremičnin, kjer je predmet dedovanja le delež na teh nepremičninah in na katerih je torej že vknjiženih več solastnikov. V danem primeru se </w:t>
      </w:r>
      <w:r w:rsidRPr="00CB5050">
        <w:rPr>
          <w:rFonts w:eastAsia="Calibri"/>
          <w:szCs w:val="22"/>
        </w:rPr>
        <w:lastRenderedPageBreak/>
        <w:t>Državno odvetništvo RS omejitvenemu zahtevku v skladu s 128. členom ZD običajno odpove. Upravljalci imajo običajno interes po najboljših zemljiščih, čemur se dediči seveda protivijo. V večini primerov so z dokončnim dogovorom zadovoljni tudi dediči, saj se Državno odvetništvo RS zaveda, da ni namen teh postopkov, da dediči pridejo v socialno stisko.</w:t>
      </w:r>
    </w:p>
    <w:p w14:paraId="01285380" w14:textId="77777777" w:rsidR="00695AE2" w:rsidRPr="00CB5050" w:rsidRDefault="00695AE2" w:rsidP="00695AE2">
      <w:pPr>
        <w:spacing w:line="240" w:lineRule="auto"/>
        <w:jc w:val="both"/>
        <w:rPr>
          <w:rFonts w:eastAsia="Calibri"/>
          <w:bCs/>
          <w:szCs w:val="22"/>
        </w:rPr>
      </w:pPr>
    </w:p>
    <w:p w14:paraId="03180A1B" w14:textId="77777777" w:rsidR="00695AE2" w:rsidRPr="00CB5050" w:rsidRDefault="00695AE2" w:rsidP="00695AE2">
      <w:pPr>
        <w:widowControl w:val="0"/>
        <w:autoSpaceDE w:val="0"/>
        <w:autoSpaceDN w:val="0"/>
        <w:adjustRightInd w:val="0"/>
        <w:spacing w:line="240" w:lineRule="auto"/>
        <w:jc w:val="both"/>
        <w:rPr>
          <w:rFonts w:eastAsia="Times New Roman"/>
          <w:bCs/>
          <w:szCs w:val="20"/>
          <w:lang w:eastAsia="sl-SI"/>
        </w:rPr>
      </w:pPr>
      <w:r w:rsidRPr="00CB5050">
        <w:rPr>
          <w:rFonts w:eastAsia="Calibri"/>
          <w:color w:val="000000"/>
          <w:szCs w:val="22"/>
        </w:rPr>
        <w:t xml:space="preserve">V primerih, ko terjatve prijavi tudi občina in predlaga omejitev dedovanja, sta čas in trud potrebna tudi za dogovor z občino o načinu omejitve dedovanja. </w:t>
      </w:r>
      <w:r w:rsidRPr="00CB5050">
        <w:rPr>
          <w:rFonts w:eastAsia="Times New Roman"/>
          <w:bCs/>
          <w:szCs w:val="20"/>
          <w:lang w:eastAsia="sl-SI"/>
        </w:rPr>
        <w:t xml:space="preserve">Državno odvetništvo RS opozarja na položaje, ko v zapuščinskem postopku uveljavljata omejitev dedovanja oba dajalca pomoči, tako občina kot tudi država, pri čemer v zapuščinski masi ni dovolj sredstev za poplačilo obeh. ZD ne ureja te pravne situacije, sodišča pa v takšnih primerih odločajo različno. Sodišče v primeru, da je med dajalcema socialne pomoči doseženo soglasje, izroči zapuščino obema dajalcema pomoči v sorazmerju z višino terjatve. Zakonodaja pa ne ureja primera, ko soglasja med dajalcema pomoči ni, zato Državno odvetništvo RS meni, da bi bilo zaradi jasnosti v prihodnje smiselno predlagati dopolnitev ZD tako, da bo jasno določeno, na kakšen način se izvede omejitev dedovanja v primeru, da zapuščinska masa ne zadostuje za poplačilo terjatev obeh dajalcev socialne pomoči.  </w:t>
      </w:r>
    </w:p>
    <w:p w14:paraId="4C484E8E" w14:textId="77777777" w:rsidR="00695AE2" w:rsidRPr="00CB5050" w:rsidRDefault="00695AE2" w:rsidP="00695AE2">
      <w:pPr>
        <w:widowControl w:val="0"/>
        <w:autoSpaceDE w:val="0"/>
        <w:autoSpaceDN w:val="0"/>
        <w:adjustRightInd w:val="0"/>
        <w:spacing w:line="240" w:lineRule="auto"/>
        <w:jc w:val="both"/>
        <w:rPr>
          <w:rFonts w:eastAsia="Times New Roman"/>
          <w:bCs/>
          <w:szCs w:val="20"/>
          <w:lang w:eastAsia="sl-SI"/>
        </w:rPr>
      </w:pPr>
    </w:p>
    <w:p w14:paraId="0CFA6B07" w14:textId="77777777" w:rsidR="00695AE2" w:rsidRPr="00CB5050" w:rsidRDefault="00695AE2" w:rsidP="00695AE2">
      <w:pPr>
        <w:spacing w:line="240" w:lineRule="auto"/>
        <w:jc w:val="both"/>
        <w:rPr>
          <w:rFonts w:eastAsia="Calibri"/>
        </w:rPr>
      </w:pPr>
      <w:r w:rsidRPr="00CB5050">
        <w:rPr>
          <w:rFonts w:eastAsia="Calibri"/>
          <w:szCs w:val="22"/>
        </w:rPr>
        <w:t xml:space="preserve">Obstaja tudi vprašanje ekonomičnosti prevzema posameznih delov zapuščine s strani države, kar lahko vodi do odpovedi pravici do omejitve dedovanja. </w:t>
      </w:r>
      <w:r w:rsidRPr="00CB5050">
        <w:rPr>
          <w:rFonts w:eastAsia="Calibri"/>
        </w:rPr>
        <w:t xml:space="preserve">Državno odvetništvo RS se tako omejitvi dedovanja in s tem prevzemu (dela) zapuščine v zapuščinskem postopku, seveda v dogovoru z zastopanim subjektom, lahko odpove tudi v primeru, da bi zapuščina ali del zapuščine za Republiko Slovenijo pomenila preveliko breme ali bi upravljanje zapuščine povzročilo nesorazmerne stroške (v primerih, ko je predmet zapuščine zelo majhen solastniški delež na nepremičnini, staro vozilo ipd.). </w:t>
      </w:r>
    </w:p>
    <w:p w14:paraId="7DE890B4" w14:textId="77777777" w:rsidR="00695AE2" w:rsidRPr="00CB5050" w:rsidRDefault="00695AE2" w:rsidP="00695AE2">
      <w:pPr>
        <w:spacing w:line="240" w:lineRule="auto"/>
        <w:jc w:val="both"/>
        <w:rPr>
          <w:rFonts w:eastAsia="Calibri"/>
        </w:rPr>
      </w:pPr>
    </w:p>
    <w:p w14:paraId="5E044D30" w14:textId="77777777" w:rsidR="00695AE2" w:rsidRPr="00CB5050" w:rsidRDefault="00695AE2" w:rsidP="00695AE2">
      <w:pPr>
        <w:spacing w:line="240" w:lineRule="auto"/>
        <w:jc w:val="both"/>
        <w:rPr>
          <w:rFonts w:eastAsia="Calibri"/>
          <w:lang w:eastAsia="sl-SI"/>
        </w:rPr>
      </w:pPr>
      <w:r w:rsidRPr="00CB5050">
        <w:rPr>
          <w:rFonts w:eastAsia="Calibri"/>
        </w:rPr>
        <w:t>Do odpovedi omejitvi dedovanja lahko pride tudi, če</w:t>
      </w:r>
      <w:r w:rsidRPr="00CB5050">
        <w:rPr>
          <w:rFonts w:eastAsia="Calibri"/>
          <w:lang w:eastAsia="sl-SI"/>
        </w:rPr>
        <w:t xml:space="preserve"> so zapustnikovi dediči, njegov zakonec ali njegovi otroci sami potrebni pomoči.</w:t>
      </w:r>
    </w:p>
    <w:p w14:paraId="661217C2" w14:textId="77777777" w:rsidR="00695AE2" w:rsidRPr="00CB5050" w:rsidRDefault="00695AE2" w:rsidP="00695AE2">
      <w:pPr>
        <w:spacing w:line="240" w:lineRule="auto"/>
        <w:jc w:val="both"/>
        <w:rPr>
          <w:rFonts w:eastAsia="Calibri"/>
          <w:lang w:eastAsia="sl-SI"/>
        </w:rPr>
      </w:pPr>
    </w:p>
    <w:p w14:paraId="5F2647D7" w14:textId="77777777" w:rsidR="00695AE2" w:rsidRPr="00CB5050" w:rsidRDefault="00695AE2" w:rsidP="00695AE2">
      <w:pPr>
        <w:spacing w:line="240" w:lineRule="auto"/>
        <w:jc w:val="both"/>
        <w:rPr>
          <w:rFonts w:eastAsia="Calibri"/>
        </w:rPr>
      </w:pPr>
      <w:r w:rsidRPr="00CB5050">
        <w:rPr>
          <w:rFonts w:eastAsia="Calibri"/>
        </w:rPr>
        <w:t>V zvezi z institutom odpovedi omejitve dedovanja je treba opozoriti, da merila za izpolnitev pogojev za uveljavitev odpovedi omejitve dedovanja niso zakonsko določena. Zato si Državno odvetništvo RS ob sodelovanju z Ministrstvom za delo, družino, socialne zadeve in enake možnosti ter drugimi upravljavci premoženja prizadeva za uveljavitev meril, ki omogočajo enakopravno obravnavo izvedbe tako omejitve kot tudi uveljavitve instituta odpovedi omejitvi dedovanja.</w:t>
      </w:r>
    </w:p>
    <w:p w14:paraId="5A9EDF31" w14:textId="77777777" w:rsidR="00695AE2" w:rsidRPr="00CB5050" w:rsidRDefault="00695AE2" w:rsidP="00695AE2">
      <w:pPr>
        <w:spacing w:line="240" w:lineRule="auto"/>
        <w:jc w:val="both"/>
        <w:rPr>
          <w:rFonts w:eastAsia="Calibri"/>
        </w:rPr>
      </w:pPr>
    </w:p>
    <w:p w14:paraId="1BE53DB5" w14:textId="77777777" w:rsidR="00695AE2" w:rsidRPr="00CB5050" w:rsidRDefault="00695AE2" w:rsidP="00695AE2">
      <w:pPr>
        <w:pStyle w:val="Naslov5"/>
      </w:pPr>
      <w:bookmarkStart w:id="888" w:name="_Toc223094020"/>
      <w:r w:rsidRPr="00CB5050">
        <w:t>Valorizacija vrednosti prejete pomoči</w:t>
      </w:r>
      <w:bookmarkEnd w:id="888"/>
    </w:p>
    <w:p w14:paraId="447D199A" w14:textId="77777777" w:rsidR="00695AE2" w:rsidRPr="00CB5050" w:rsidRDefault="00695AE2" w:rsidP="00695AE2">
      <w:pPr>
        <w:spacing w:line="240" w:lineRule="auto"/>
        <w:rPr>
          <w:rFonts w:eastAsia="Calibri" w:cs="Times New Roman"/>
          <w:szCs w:val="22"/>
        </w:rPr>
      </w:pPr>
    </w:p>
    <w:p w14:paraId="0E4C026A" w14:textId="77777777" w:rsidR="00695AE2" w:rsidRPr="00CB5050" w:rsidRDefault="00695AE2" w:rsidP="00695AE2">
      <w:pPr>
        <w:spacing w:line="240" w:lineRule="auto"/>
        <w:jc w:val="both"/>
        <w:rPr>
          <w:rFonts w:eastAsia="Calibri"/>
          <w:szCs w:val="22"/>
        </w:rPr>
      </w:pPr>
      <w:r w:rsidRPr="00CB5050">
        <w:rPr>
          <w:rFonts w:eastAsia="Calibri"/>
          <w:szCs w:val="22"/>
        </w:rPr>
        <w:t xml:space="preserve">Omejitev dedovanja zaradi prejete socialne pomoči je zakonsko določena kot izločitev dela zapuščinskega premoženja do višine vrednosti prejete pomoči, ki postane lastnina države ali občine. </w:t>
      </w:r>
    </w:p>
    <w:p w14:paraId="15054B57" w14:textId="77777777" w:rsidR="00695AE2" w:rsidRPr="00CB5050" w:rsidRDefault="00695AE2" w:rsidP="00695AE2">
      <w:pPr>
        <w:spacing w:line="240" w:lineRule="auto"/>
        <w:jc w:val="both"/>
        <w:rPr>
          <w:rFonts w:eastAsia="Calibri"/>
          <w:szCs w:val="22"/>
        </w:rPr>
      </w:pPr>
    </w:p>
    <w:p w14:paraId="0728103E" w14:textId="77777777" w:rsidR="00695AE2" w:rsidRPr="00CB5050" w:rsidRDefault="00695AE2" w:rsidP="00695AE2">
      <w:pPr>
        <w:spacing w:line="240" w:lineRule="auto"/>
        <w:jc w:val="both"/>
        <w:rPr>
          <w:rFonts w:eastAsia="Calibri"/>
          <w:szCs w:val="22"/>
        </w:rPr>
      </w:pPr>
      <w:r w:rsidRPr="00CB5050">
        <w:rPr>
          <w:rFonts w:eastAsia="Calibri"/>
          <w:szCs w:val="22"/>
        </w:rPr>
        <w:t xml:space="preserve">Sodna praksa je kazala na neenotno razumevanje valorizacije prejete pomoči pri omejitvi dedovanja, in sicer glede vprašanja, ali se vrednost prejete socialne pomoči za namen omejitve dedovanja upošteva v nominalnem znesku ali se valorizira. Po eni strani sodišče prve stopnje meni, da za valorizacijo ni zakonske podlage, ker predpisi o socialnem varstvu ne določajo valorizacije, zato naj bi se upošteval nominalni znesek. Po drugi strani pa je v praksi in v nekaterih sodnih sklepih poudarjeno, da je treba vrednost prejete pomoči ugotoviti na podlagi </w:t>
      </w:r>
      <w:r w:rsidRPr="00CB5050">
        <w:rPr>
          <w:rFonts w:eastAsia="Calibri"/>
          <w:szCs w:val="22"/>
        </w:rPr>
        <w:lastRenderedPageBreak/>
        <w:t xml:space="preserve">uskladitve z indeksom cen življenjskih potrebščin oziroma valorizacije, saj gre za izločitev dela premoženja, ki ustreza dejanski vrednosti prejete pomoči. ZD sam določa, da se vrednost prejete pomoči ugotavlja po vrednostnih merilih, ki veljajo v trenutku ugotavljanja vrednosti zapuščine. </w:t>
      </w:r>
    </w:p>
    <w:p w14:paraId="2703C084" w14:textId="77777777" w:rsidR="00695AE2" w:rsidRPr="00CB5050" w:rsidRDefault="00695AE2" w:rsidP="00695AE2">
      <w:pPr>
        <w:spacing w:line="240" w:lineRule="auto"/>
        <w:jc w:val="both"/>
        <w:rPr>
          <w:rFonts w:eastAsia="Calibri"/>
          <w:szCs w:val="22"/>
        </w:rPr>
      </w:pPr>
    </w:p>
    <w:p w14:paraId="55FD3EF3" w14:textId="77777777" w:rsidR="00695AE2" w:rsidRPr="00CB5050" w:rsidRDefault="00695AE2" w:rsidP="00695AE2">
      <w:pPr>
        <w:spacing w:line="240" w:lineRule="auto"/>
        <w:jc w:val="both"/>
        <w:rPr>
          <w:rFonts w:eastAsia="Calibri"/>
          <w:szCs w:val="22"/>
        </w:rPr>
      </w:pPr>
      <w:r w:rsidRPr="00CB5050">
        <w:rPr>
          <w:rFonts w:eastAsia="Calibri"/>
          <w:szCs w:val="22"/>
        </w:rPr>
        <w:t xml:space="preserve">Podzakonski akti (Uredba o ureditvi nekaterih vprašanj glede pridobivanja premoženja države iz naslova dedovanja) sicer  podrobneje urejajo izvedbo omejitve, vendar ne odpravijo vseh dilem glede valorizacije. </w:t>
      </w:r>
    </w:p>
    <w:p w14:paraId="6F64D68D" w14:textId="77777777" w:rsidR="00695AE2" w:rsidRPr="00CB5050" w:rsidRDefault="00695AE2" w:rsidP="00695AE2">
      <w:pPr>
        <w:spacing w:line="240" w:lineRule="auto"/>
        <w:jc w:val="both"/>
        <w:rPr>
          <w:rFonts w:eastAsia="Calibri"/>
          <w:szCs w:val="22"/>
        </w:rPr>
      </w:pPr>
    </w:p>
    <w:p w14:paraId="0A87DD1B" w14:textId="77777777" w:rsidR="00695AE2" w:rsidRPr="00CB5050" w:rsidRDefault="00695AE2" w:rsidP="00695AE2">
      <w:pPr>
        <w:spacing w:line="240" w:lineRule="auto"/>
        <w:jc w:val="both"/>
        <w:rPr>
          <w:rFonts w:eastAsia="Calibri"/>
          <w:szCs w:val="22"/>
        </w:rPr>
      </w:pPr>
      <w:r w:rsidRPr="00CB5050">
        <w:rPr>
          <w:rFonts w:eastAsia="Calibri"/>
        </w:rPr>
        <w:t>Državno odvetništvo RS meni, da sta valorizacija prejete denarne socialne pomoči in posledično uveljavljenje omejitve dedovanja v valorizirani vrednosti utemeljena. Zakonska podlaga za to je 128. člen ZD, ki določa, da se dedovanje omeji do višine vrednosti prejete socialne pomoči, če ni v predpisih o socialnem varstvu določeno drugače.</w:t>
      </w:r>
      <w:r w:rsidRPr="00CB5050">
        <w:rPr>
          <w:rFonts w:eastAsia="Calibri"/>
          <w:szCs w:val="22"/>
        </w:rPr>
        <w:t xml:space="preserve"> </w:t>
      </w:r>
      <w:r w:rsidRPr="00CB5050">
        <w:rPr>
          <w:rFonts w:eastAsia="Calibri"/>
        </w:rPr>
        <w:t>V primeru spora o omejitvi dedovanja je torej treba to vrednost ugotavljati, saj ne gre le za nominalne zneske, ampak je odločujoča tista vrednost, ki jo predstavlja ustrezni del zapustnikovega premoženja (časovno gledano v trenutku njegove smrti), ki je enak prejeti družbeni pomoči. Upoštevajoč inflacijo zgolj nominalni znesek ne bi predstavljal tiste vrednosti prejete pomoči, za katero je bilo zapustnikovo premoženje ohranjeno.</w:t>
      </w:r>
      <w:r w:rsidRPr="00CB5050">
        <w:rPr>
          <w:rFonts w:eastAsia="Calibri"/>
          <w:szCs w:val="22"/>
        </w:rPr>
        <w:t xml:space="preserve"> </w:t>
      </w:r>
      <w:r w:rsidRPr="00CB5050">
        <w:rPr>
          <w:rFonts w:eastAsia="Calibri"/>
        </w:rPr>
        <w:t>Z valorizacijo pa se ne ohranja le realna vrednost prejete pomoči, njen namen je tudi zmanjševanje razlik v vrednosti nominalno prejetih zneskov socialne pomoči s ciljem enake obravnave. Brez valorizacije bi bili namreč privilegirani tisti dediči, katerih zapustniki so prejemali pomoč daljše časovno obdobje oziroma so jo prejemali v obdobju, ki je bolj oddaljeno od smrti zapustnika, saj se s potekom časa vrednost prejete socialne pomoči manjša.</w:t>
      </w:r>
    </w:p>
    <w:p w14:paraId="193A0E48" w14:textId="77777777" w:rsidR="00695AE2" w:rsidRPr="00CB5050" w:rsidRDefault="00695AE2" w:rsidP="00695AE2">
      <w:pPr>
        <w:spacing w:line="23" w:lineRule="atLeast"/>
        <w:jc w:val="both"/>
        <w:rPr>
          <w:rFonts w:eastAsia="Calibri"/>
        </w:rPr>
      </w:pPr>
    </w:p>
    <w:p w14:paraId="63429FD8" w14:textId="77777777" w:rsidR="00695AE2" w:rsidRPr="00CB5050" w:rsidRDefault="00695AE2" w:rsidP="00695AE2">
      <w:pPr>
        <w:spacing w:line="23" w:lineRule="atLeast"/>
        <w:jc w:val="both"/>
        <w:rPr>
          <w:rFonts w:eastAsia="Calibri"/>
        </w:rPr>
      </w:pPr>
      <w:r w:rsidRPr="00CB5050">
        <w:rPr>
          <w:rFonts w:eastAsia="Calibri"/>
        </w:rPr>
        <w:t xml:space="preserve">Državno odvetništvo RS je glede določb 54.a člena ZSVarPre prepričano, da navedeni člen določa le način izračuna višine pomoči, ki jo je treba omejiti, in da gre v prvem odstavku 54.a člena, ki govori o višini prejete pomoči (in ne o vrednosti), za notranje neskladje v zakonu oziroma za redakcijsko napako, saj zakon že v tretjem odstavku istega tega člena govori o vrednosti prejete pomoči. </w:t>
      </w:r>
    </w:p>
    <w:p w14:paraId="0DFB0A72" w14:textId="77777777" w:rsidR="00695AE2" w:rsidRPr="00CB5050" w:rsidRDefault="00695AE2" w:rsidP="00695AE2">
      <w:pPr>
        <w:spacing w:line="240" w:lineRule="auto"/>
        <w:jc w:val="both"/>
        <w:rPr>
          <w:rFonts w:eastAsia="Calibri"/>
          <w:szCs w:val="22"/>
        </w:rPr>
      </w:pPr>
    </w:p>
    <w:p w14:paraId="72CC7D3F" w14:textId="77777777" w:rsidR="00695AE2" w:rsidRPr="00CB5050" w:rsidRDefault="00695AE2" w:rsidP="00695AE2">
      <w:pPr>
        <w:spacing w:line="240" w:lineRule="auto"/>
        <w:jc w:val="both"/>
        <w:rPr>
          <w:rFonts w:eastAsia="Calibri"/>
          <w:szCs w:val="22"/>
        </w:rPr>
      </w:pPr>
      <w:r w:rsidRPr="00CB5050">
        <w:rPr>
          <w:rFonts w:eastAsia="Calibri"/>
          <w:szCs w:val="22"/>
        </w:rPr>
        <w:t xml:space="preserve">Glede na navedeno je Državno odvetništvo RS v eni od zadev vložilo revizijo na Vrhovno sodišče RS, iz razloga neenotne sodne prakse. </w:t>
      </w:r>
    </w:p>
    <w:p w14:paraId="29EDBED1" w14:textId="77777777" w:rsidR="00695AE2" w:rsidRPr="00CB5050" w:rsidRDefault="00695AE2" w:rsidP="00695AE2">
      <w:pPr>
        <w:spacing w:line="240" w:lineRule="auto"/>
        <w:jc w:val="both"/>
        <w:rPr>
          <w:rFonts w:eastAsia="Calibri"/>
          <w:szCs w:val="22"/>
        </w:rPr>
      </w:pPr>
    </w:p>
    <w:p w14:paraId="20BE252E" w14:textId="77777777" w:rsidR="00695AE2" w:rsidRPr="00CB5050" w:rsidRDefault="00695AE2" w:rsidP="00695AE2">
      <w:pPr>
        <w:spacing w:line="240" w:lineRule="auto"/>
        <w:jc w:val="both"/>
        <w:rPr>
          <w:rFonts w:eastAsia="Calibri"/>
          <w:szCs w:val="22"/>
          <w:lang w:bidi="sl-SI"/>
        </w:rPr>
      </w:pPr>
      <w:r w:rsidRPr="00CB5050">
        <w:rPr>
          <w:rFonts w:eastAsia="Calibri"/>
          <w:szCs w:val="22"/>
          <w:lang w:bidi="sl-SI"/>
        </w:rPr>
        <w:t xml:space="preserve">Vrhovno sodišče RS je revizijo dopustilo glede vprašanja pravilne uporabe materialnega prava pri presoji stališča sodišča druge (in prve) stopnje, da se pri omejitvi dedovanja vrednost dane socialne pomoči ali varstvenega dodatka ne usklajuje z indeksom cen življenjskih potrebščin, torej ne valorizira. </w:t>
      </w:r>
    </w:p>
    <w:p w14:paraId="39A5139A" w14:textId="77777777" w:rsidR="00695AE2" w:rsidRPr="00CB5050" w:rsidRDefault="00695AE2" w:rsidP="00695AE2">
      <w:pPr>
        <w:spacing w:line="240" w:lineRule="auto"/>
        <w:jc w:val="both"/>
        <w:rPr>
          <w:rFonts w:eastAsia="Calibri"/>
          <w:szCs w:val="22"/>
          <w:lang w:bidi="sl-SI"/>
        </w:rPr>
      </w:pPr>
    </w:p>
    <w:p w14:paraId="0CEDD623" w14:textId="77777777" w:rsidR="00695AE2" w:rsidRPr="00CB5050" w:rsidRDefault="00695AE2" w:rsidP="00695AE2">
      <w:pPr>
        <w:spacing w:line="240" w:lineRule="auto"/>
        <w:jc w:val="both"/>
        <w:rPr>
          <w:rFonts w:eastAsia="Calibri"/>
          <w:szCs w:val="22"/>
          <w:lang w:bidi="sl-SI"/>
        </w:rPr>
      </w:pPr>
      <w:r w:rsidRPr="00CB5050">
        <w:rPr>
          <w:rFonts w:eastAsia="Calibri"/>
          <w:szCs w:val="22"/>
        </w:rPr>
        <w:t>O reviziji v času priprave tega poročila o delu še ni odločeno.</w:t>
      </w:r>
      <w:r w:rsidRPr="00CB5050">
        <w:rPr>
          <w:rFonts w:eastAsia="Calibri"/>
          <w:szCs w:val="22"/>
          <w:lang w:bidi="sl-SI"/>
        </w:rPr>
        <w:t xml:space="preserve"> </w:t>
      </w:r>
    </w:p>
    <w:p w14:paraId="1B3CB25E" w14:textId="77777777" w:rsidR="00695AE2" w:rsidRPr="00CB5050" w:rsidRDefault="00695AE2" w:rsidP="00695AE2">
      <w:pPr>
        <w:spacing w:line="240" w:lineRule="auto"/>
        <w:jc w:val="both"/>
        <w:rPr>
          <w:rFonts w:eastAsia="Calibri"/>
          <w:szCs w:val="22"/>
          <w:lang w:bidi="sl-SI"/>
        </w:rPr>
      </w:pPr>
    </w:p>
    <w:p w14:paraId="029375BA" w14:textId="77777777" w:rsidR="00695AE2" w:rsidRPr="00CB5050" w:rsidRDefault="00695AE2" w:rsidP="00695AE2">
      <w:pPr>
        <w:spacing w:line="240" w:lineRule="auto"/>
        <w:jc w:val="both"/>
        <w:rPr>
          <w:rFonts w:eastAsia="Calibri"/>
        </w:rPr>
      </w:pPr>
      <w:r w:rsidRPr="00CB5050">
        <w:rPr>
          <w:rFonts w:eastAsia="Times New Roman"/>
          <w:lang w:eastAsia="sl-SI"/>
        </w:rPr>
        <w:t>Ne glede na odločitev Vrhovnega sodišča RS Državno odvetništvo RS predlaga dopolnitev ZSVarPre</w:t>
      </w:r>
      <w:r w:rsidRPr="00CB5050">
        <w:rPr>
          <w:rFonts w:eastAsia="Calibri"/>
        </w:rPr>
        <w:t xml:space="preserve"> v smislu, da bo jasno določeno, da je Republika Slovenija upravičena do omejitve dedovanja za znesek prejete socialne pomoči (zmanjšan skladno z zakonom), skupaj z valorizacijo na dan smrti zapustnika.   </w:t>
      </w:r>
    </w:p>
    <w:p w14:paraId="6E180F2C" w14:textId="77777777" w:rsidR="00695AE2" w:rsidRPr="00CB5050" w:rsidRDefault="00695AE2" w:rsidP="00695AE2">
      <w:pPr>
        <w:spacing w:line="240" w:lineRule="auto"/>
        <w:jc w:val="both"/>
        <w:rPr>
          <w:rFonts w:eastAsia="Calibri"/>
          <w:bCs/>
          <w:lang w:bidi="ar-YE"/>
        </w:rPr>
      </w:pPr>
    </w:p>
    <w:p w14:paraId="2C0B0A71" w14:textId="77777777" w:rsidR="00695AE2" w:rsidRPr="00CB5050" w:rsidRDefault="00695AE2" w:rsidP="00695AE2">
      <w:pPr>
        <w:pStyle w:val="Naslov5"/>
      </w:pPr>
      <w:bookmarkStart w:id="889" w:name="_Toc168845035"/>
      <w:bookmarkStart w:id="890" w:name="_Toc191562023"/>
      <w:bookmarkStart w:id="891" w:name="_Toc223094021"/>
      <w:r w:rsidRPr="00CB5050">
        <w:t>Predlogi za spremembe in dopolnitve normativne ureditve</w:t>
      </w:r>
      <w:bookmarkEnd w:id="889"/>
      <w:bookmarkEnd w:id="890"/>
      <w:bookmarkEnd w:id="891"/>
    </w:p>
    <w:p w14:paraId="3E9C5A68" w14:textId="77777777" w:rsidR="00695AE2" w:rsidRPr="00CB5050" w:rsidRDefault="00695AE2" w:rsidP="00695AE2">
      <w:pPr>
        <w:widowControl w:val="0"/>
        <w:autoSpaceDE w:val="0"/>
        <w:autoSpaceDN w:val="0"/>
        <w:adjustRightInd w:val="0"/>
        <w:spacing w:line="240" w:lineRule="auto"/>
        <w:jc w:val="both"/>
        <w:rPr>
          <w:rFonts w:eastAsia="Calibri"/>
          <w:color w:val="007466"/>
        </w:rPr>
      </w:pPr>
    </w:p>
    <w:p w14:paraId="0F451AF4" w14:textId="77777777" w:rsidR="00695AE2" w:rsidRPr="00CB5050" w:rsidRDefault="00695AE2" w:rsidP="00695AE2">
      <w:pPr>
        <w:spacing w:line="240" w:lineRule="auto"/>
        <w:jc w:val="both"/>
        <w:rPr>
          <w:rFonts w:eastAsia="Calibri"/>
        </w:rPr>
      </w:pPr>
      <w:r w:rsidRPr="00CB5050">
        <w:rPr>
          <w:rFonts w:eastAsia="Calibri"/>
        </w:rPr>
        <w:lastRenderedPageBreak/>
        <w:t>Z novelo ZD-C (Uradni list RS, št. 63/2016) je bil spremenjen 129. člen, ki po novem določa, da se lahko Republika Slovenija ali občina, iz proračuna katere se je financirala pomoč zapustniku v skladu s predpisi o socialnem varstvu, odpove pravici do povračila te pomoči, če so zapustnikovi dediči njegov zakonec ali njegovi otroci, ki so sami potrebni pomoči, ali če bi premoženje, ki bi postalo lastnina Republike Slovenije ali občine, predstavljalo zanjo breme ali bi zaradi upravljanja ali razpolaganja s to lastnino imela nesorazmerne stroške. Novela ZD-C je sicer razširila položaje, zaradi katerih se lahko Republika Slovenija odpove pravici do povračila pomoči, vendar je skrajšala rok, v katerem lahko to stori. Trimesečni rok za odpoved pravici do povračila pomoči iz novega tretjega odstavka 129. člena trenutno veljavnega ZD je zakonski rok in je prekluziven. To stališče potrjuje tudi sodna praksa. V obravnavani zadevi sodišče ni upoštevalo izjave občine oziroma Republike Slovenije o odpovedi pravici do povračila pomoči, ker je bil prepozen.</w:t>
      </w:r>
    </w:p>
    <w:p w14:paraId="6927CDF1" w14:textId="77777777" w:rsidR="00695AE2" w:rsidRPr="00CB5050" w:rsidRDefault="00695AE2" w:rsidP="00695AE2">
      <w:pPr>
        <w:spacing w:line="240" w:lineRule="auto"/>
        <w:jc w:val="both"/>
        <w:rPr>
          <w:rFonts w:eastAsia="Calibri"/>
        </w:rPr>
      </w:pPr>
    </w:p>
    <w:p w14:paraId="37148572" w14:textId="77777777" w:rsidR="00695AE2" w:rsidRPr="00CB5050" w:rsidRDefault="00695AE2" w:rsidP="00695AE2">
      <w:pPr>
        <w:spacing w:line="240" w:lineRule="auto"/>
        <w:jc w:val="both"/>
        <w:rPr>
          <w:rFonts w:eastAsia="Calibri"/>
        </w:rPr>
      </w:pPr>
      <w:r w:rsidRPr="00CB5050">
        <w:rPr>
          <w:rFonts w:eastAsia="Calibri"/>
        </w:rPr>
        <w:t>Obravnavana določba Republiko Slovenijo zavezuje, da se v treh mesecih izreče, ali bo premoženje, ki sodi v zapuščino prevzela ali ne. Državno odvetništvo RS ugotavlja, da v praksi prihaja do težav glede uporabe te določbe oziroma izvedbe vseh potrebnih aktivnosti v zakonsko določenem roku. Državno odvetništvo potencialne upravljalce premoženja, ki sodi v zapuščino, v skladu z Uredbo o ureditvi nekaterih vprašanj glede pridobivanja premoženja države iz naslova dedovanja obvešča o uvedenem dedovanju, obsegu zapuščine, hkrati pa upravljalce pozove, da se izrečejo, ali nameravajo določeno premoženje, ki spada v zapuščino, prevzeti ali pa se pravici do povračila pomoči odpovedujejo na tem premoženju, oziroma ali se odpovedujejo pravici do povračila pomoči, ker je kateri od dedičev sam potreben pomoči.  Ob tem se v veliki večini primerov izkaže, da Republika Slovenija do poteka trimesečnega roka še ne razpolaga z informacijo o tem, kdo so dediči in ali so potrebni pomoči, niti nima podatkov o tem, katero premoženje sodi v zapuščino, čeprav za posredovanje teh podatkov zaprosi sodišče skupaj z vložitvijo predloga za omejitev dedovanja. Prav tako zapuščinsko sodišče v treh mesecih, odkar pozove Državno odvetništvo RS, da poda predlog za omejitev dedovanja, v večini primerov ne razpiše zapuščinske obravnave. Sporna določba v praksi povzroča številne težave pri poslovanju Državnega odvetništva RS in potencialnih upravljalcev premoženja. Državno odvetništvo RS namreč v bojazni, da bi Republika Slovenija zamudila trimesečni rok, vnaprej pridobiva stališča potencialnih upravljalcev, ali bodo prevzeli premoženje, ki spada v zapuščino, čeprav še ne razpolaga s popolnimi podatki o obsegu zapuščine, niti ne razpolaga s podatkom, če so dediči pripravljeni terjatev poplačati v skladu s četrtim odstavkom 128. člena ZD. Nenazadnje pa je določba v izrazito škodo dedičem. Republika Slovenija bi se namreč večkrat odpovedala pravici do povračila pomoči, pa tega zaradi poteka časa več ne more. V praksi zato tudi sodišča upoštevajo izjavo Republike Slovenije glede odpovedi pravici do povračila pomoči, tudi po poteku trimesečnega roka, zlasti v primerih, ko je to skladno z interesi dedičev.</w:t>
      </w:r>
    </w:p>
    <w:p w14:paraId="295039A9" w14:textId="77777777" w:rsidR="00695AE2" w:rsidRPr="00CB5050" w:rsidRDefault="00695AE2" w:rsidP="00695AE2">
      <w:pPr>
        <w:spacing w:line="240" w:lineRule="auto"/>
        <w:jc w:val="both"/>
        <w:rPr>
          <w:rFonts w:eastAsia="Calibri"/>
        </w:rPr>
      </w:pPr>
    </w:p>
    <w:p w14:paraId="05C0DAAB" w14:textId="77777777" w:rsidR="00695AE2" w:rsidRPr="00CB5050" w:rsidRDefault="00695AE2" w:rsidP="00695AE2">
      <w:pPr>
        <w:spacing w:line="240" w:lineRule="auto"/>
        <w:jc w:val="both"/>
        <w:rPr>
          <w:rFonts w:eastAsia="Calibri"/>
          <w:color w:val="007466"/>
        </w:rPr>
      </w:pPr>
      <w:r w:rsidRPr="00CB5050">
        <w:rPr>
          <w:rFonts w:eastAsia="Calibri"/>
        </w:rPr>
        <w:t>Glede na vse navedeno Državno odvetništvo RS ugotavlja, da je določba tretjega odstavka 129. člena ZD neživljenjska in da je trimesečni rok bistveno prekratek. Za trimesečni rok ni nobenega utemeljenega razloga, prav tako ga ni podal niti predlagatelj zakona.</w:t>
      </w:r>
      <w:r w:rsidRPr="00CB5050">
        <w:rPr>
          <w:rFonts w:eastAsia="Calibri"/>
          <w:vertAlign w:val="superscript"/>
        </w:rPr>
        <w:footnoteReference w:id="28"/>
      </w:r>
      <w:r w:rsidRPr="00CB5050">
        <w:rPr>
          <w:rFonts w:eastAsia="Calibri"/>
        </w:rPr>
        <w:t xml:space="preserve"> Veliko ustreznejša je prejšnja ureditev, ki je omogočala, da se Republika Slovenija (ali občina) pravici do povračila pomoči odpove do konca zapuščinske obravnave. Trajanje zapuščinskih postopkov se zaradi tega ne bi podaljšalo. Zaradi tega Državno odvetništvo RS predlaga </w:t>
      </w:r>
      <w:r w:rsidRPr="00CB5050">
        <w:rPr>
          <w:rFonts w:eastAsia="Calibri"/>
          <w:color w:val="007466"/>
        </w:rPr>
        <w:lastRenderedPageBreak/>
        <w:t>spremembo tretjega odstavka 129. člena ZD, ki bi po spremembi glasil: »Republika Slovenija in občina se lahko odpovesta pravici po prejšnjih odstavkih do konca zapuščinske obravnave.«</w:t>
      </w:r>
    </w:p>
    <w:p w14:paraId="52919688" w14:textId="77777777" w:rsidR="00695AE2" w:rsidRPr="00CB5050" w:rsidRDefault="00695AE2" w:rsidP="00695AE2">
      <w:pPr>
        <w:kinsoku w:val="0"/>
        <w:overflowPunct w:val="0"/>
        <w:spacing w:line="240" w:lineRule="auto"/>
        <w:jc w:val="both"/>
        <w:rPr>
          <w:rFonts w:eastAsia="Calibri"/>
        </w:rPr>
      </w:pPr>
    </w:p>
    <w:p w14:paraId="3648B307" w14:textId="77777777" w:rsidR="00695AE2" w:rsidRPr="00CB5050" w:rsidRDefault="00695AE2" w:rsidP="00695AE2">
      <w:pPr>
        <w:kinsoku w:val="0"/>
        <w:overflowPunct w:val="0"/>
        <w:spacing w:line="240" w:lineRule="auto"/>
        <w:jc w:val="both"/>
        <w:rPr>
          <w:rFonts w:eastAsia="Calibri"/>
          <w:color w:val="000000"/>
          <w:shd w:val="clear" w:color="auto" w:fill="FFFFFF"/>
        </w:rPr>
      </w:pPr>
      <w:r w:rsidRPr="00CB5050">
        <w:rPr>
          <w:rFonts w:eastAsia="Calibri"/>
        </w:rPr>
        <w:t>129. člen ZD predvideva možnost odpovedi povračilu dane socialne pomoči le za primer, da je določeni krog dedičev sam potreben pomoči. V življenju pa se velikokrat zgodi, da je dedič po pokojnem na primer oseba iz drugega dednega reda, ki ji premoženje, ki spada v zapuščino (npr. stanovanjska hiša ali stanovanje), pomeni edini dom in je tudi sama socialno šibka in nezmožna povračila dane socialne pomoči zapustniku. V takih primerih (sploh če gre za premoženje večje vrednosti, za katero ni mogoče trditi, da bi za Republiko Slovenijo pomeni</w:t>
      </w:r>
      <w:r w:rsidRPr="00CB5050">
        <w:rPr>
          <w:rFonts w:eastAsia="Calibri"/>
          <w:color w:val="000000"/>
          <w:shd w:val="clear" w:color="auto" w:fill="FFFFFF"/>
        </w:rPr>
        <w:t xml:space="preserve">lo breme ali bi zaradi njegovega upravljanja ali razpolaganja s tem premoženjem imela nesorazmerne stroške) se Republika Slovenija omejitvi dedovanja ne more odpovedati, so pa taki primeri lahko velikokrat razlog za velike osebne in socialne stiske dedičev, ki poleg tega, da izgubijo svoj dom, katerega lastnik je bil pokojni, lahko privedejo do novih socialnih težav. Po mnenju Državnega odvetništva RS bi bila zato smiselna </w:t>
      </w:r>
      <w:r w:rsidRPr="00CB5050">
        <w:rPr>
          <w:rFonts w:eastAsia="Calibri"/>
          <w:color w:val="007466"/>
          <w:shd w:val="clear" w:color="auto" w:fill="FFFFFF"/>
        </w:rPr>
        <w:t xml:space="preserve">sprememba 129. člena ZD v smislu, da bi se v določenih (izjemnih) okoliščinah Republika Slovenija lahko odpovedala pravici do omejitve dedovanja tudi v primeru dedičev drugega dednega reda </w:t>
      </w:r>
      <w:r w:rsidRPr="00CB5050">
        <w:rPr>
          <w:rFonts w:eastAsia="Calibri"/>
          <w:color w:val="000000"/>
          <w:shd w:val="clear" w:color="auto" w:fill="FFFFFF"/>
        </w:rPr>
        <w:t xml:space="preserve">(predvsem zapustnikovih staršev in bratov in sester) pod določenimi pogoji – splošnim pogojem, da so sami potrebni pomoči, ter pod posebnim pogojem, na primer da jim premoženje pomeni dom, da so živeli v skupnem gospodinjstvu z zapustnikom, da nimajo v lasti drugega primernega bivališča in podobno.    </w:t>
      </w:r>
    </w:p>
    <w:p w14:paraId="1E08E24C" w14:textId="77777777" w:rsidR="00695AE2" w:rsidRPr="00CB5050" w:rsidRDefault="00695AE2" w:rsidP="00695AE2">
      <w:pPr>
        <w:kinsoku w:val="0"/>
        <w:overflowPunct w:val="0"/>
        <w:spacing w:line="240" w:lineRule="auto"/>
        <w:jc w:val="both"/>
        <w:rPr>
          <w:rFonts w:eastAsia="Calibri"/>
          <w:color w:val="000000"/>
          <w:shd w:val="clear" w:color="auto" w:fill="FFFFFF"/>
        </w:rPr>
      </w:pPr>
    </w:p>
    <w:p w14:paraId="55DE2D6A" w14:textId="77777777" w:rsidR="00695AE2" w:rsidRPr="00CB5050" w:rsidRDefault="00695AE2" w:rsidP="00695AE2">
      <w:pPr>
        <w:spacing w:line="240" w:lineRule="auto"/>
        <w:jc w:val="both"/>
        <w:rPr>
          <w:rFonts w:eastAsia="Calibri"/>
        </w:rPr>
      </w:pPr>
      <w:r w:rsidRPr="00CB5050">
        <w:rPr>
          <w:rFonts w:eastAsia="Calibri"/>
        </w:rPr>
        <w:t xml:space="preserve">V zapuščinskih zadevah, kjer uveljavljamo pravico do omejitve dedovanja v zapuščinah, v katerih zapuščinska masa bodisi zadošča (ali pa tudi ne) za poplačilo prednostne terjatve Republike Slovenije iz naslova omejitve dedovanja, pogosto naletimo na problem, kdo je dolžan založiti stroške za potrebe cenitve premoženja (in posledično, kdo je te stroške dolžan nositi). V praksi se namreč dogaja, da dediči želijo ugotoviti vrednost zapuščinske mase, da bi lahko ugotovili, koliko te mase je potrebno v korist Republike Slovenije omejiti. Problemi nastajajo predvsem v povezavi z ugotavljanjem vrednosti nepremičnin, ki spadajo v zapuščinsko maso, saj zastopani subjekti vztrajajo na ocenah vrednosti, ki jih je moč ugotoviti iz množičnega vrednotenja nepremičnin, dediči pa se z ugotovitvijo take vrednosti ne strinjajo in menijo, da je vrednost nepremičnin potrebno ugotoviti s sodno zapriseženim cenilcem, kar pa je povezano s stroški. Svoje stališče utemeljujejo s tem, da je cenitev potrebna zgolj zaradi omejitve dedovanja, ki ga predlaga Republika Slovenija, in ne za potrebe dedovanja samega. Iz tega razloga se večkrat zapuščinski postopki po nepotrebnem vlečejo, saj sodna praksa še ni zavzela stališča, kdo je v teh primerih dolžan založiti predujem za cenitev in kdo je v končni fazi dolžan nositi stroške cenitve. Zaradi navedenega Državno odvetništvo RS predlaga dopolnitev ZD z določbo, ki bo jasno določala, </w:t>
      </w:r>
      <w:r w:rsidRPr="00CB5050">
        <w:rPr>
          <w:rFonts w:eastAsia="Calibri"/>
          <w:color w:val="007466"/>
        </w:rPr>
        <w:t>kdo je dolžan založiti predujem in kdo nositi stroške, povezane s cenitvijo zapuščinskega premoženja v primeru, kadar je vrednost le-tega potrebno v zapuščinskem postopku ugotavljati na predlog katerega od udeležencev postopka</w:t>
      </w:r>
      <w:r w:rsidRPr="00CB5050">
        <w:rPr>
          <w:rFonts w:eastAsia="Calibri"/>
        </w:rPr>
        <w:t>.</w:t>
      </w:r>
    </w:p>
    <w:p w14:paraId="47811100" w14:textId="77777777" w:rsidR="00695AE2" w:rsidRPr="00CB5050" w:rsidRDefault="00695AE2" w:rsidP="00695AE2">
      <w:pPr>
        <w:kinsoku w:val="0"/>
        <w:overflowPunct w:val="0"/>
        <w:spacing w:line="240" w:lineRule="auto"/>
        <w:jc w:val="both"/>
        <w:rPr>
          <w:rFonts w:eastAsia="Calibri"/>
          <w:color w:val="000000"/>
          <w:shd w:val="clear" w:color="auto" w:fill="FFFFFF"/>
        </w:rPr>
      </w:pPr>
    </w:p>
    <w:p w14:paraId="3D761081" w14:textId="77777777" w:rsidR="00695AE2" w:rsidRPr="00CB5050" w:rsidRDefault="00695AE2" w:rsidP="00695AE2">
      <w:pPr>
        <w:widowControl w:val="0"/>
        <w:autoSpaceDE w:val="0"/>
        <w:autoSpaceDN w:val="0"/>
        <w:adjustRightInd w:val="0"/>
        <w:spacing w:line="240" w:lineRule="auto"/>
        <w:jc w:val="both"/>
        <w:rPr>
          <w:rFonts w:eastAsia="Times New Roman"/>
          <w:color w:val="000000"/>
          <w:lang w:eastAsia="sl-SI"/>
        </w:rPr>
      </w:pPr>
      <w:r w:rsidRPr="00CB5050">
        <w:rPr>
          <w:rFonts w:eastAsia="Times New Roman"/>
          <w:bCs/>
          <w:szCs w:val="20"/>
          <w:lang w:eastAsia="sl-SI"/>
        </w:rPr>
        <w:t xml:space="preserve">V zvezi z uveljavljanjem pravice do omejitve dedovanja Državno odvetništvo RS opozarja na problematiko uveljavljanja te pravice v zapuščinskem postopku, ko je </w:t>
      </w:r>
      <w:r w:rsidRPr="00CB5050">
        <w:rPr>
          <w:rFonts w:eastAsia="Calibri"/>
        </w:rPr>
        <w:t>zapustnik, ki prejema socialne prejemke, za časa življenja z dediči sklenil pogodbo o dosmrtnem preživljanju, na podlagi katere dediči postanejo lastniki zapustnikovega premoženja v trenutku njegove smrti</w:t>
      </w:r>
      <w:r w:rsidRPr="00CB5050">
        <w:rPr>
          <w:rFonts w:eastAsia="Times New Roman"/>
          <w:bCs/>
          <w:szCs w:val="20"/>
          <w:lang w:eastAsia="sl-SI"/>
        </w:rPr>
        <w:t xml:space="preserve"> in se ob smrti zapustnika vknjižijo v zemljiško knjigo na celotnem premoženju</w:t>
      </w:r>
      <w:r w:rsidRPr="00CB5050">
        <w:rPr>
          <w:rFonts w:eastAsia="Calibri"/>
        </w:rPr>
        <w:t>, kar</w:t>
      </w:r>
      <w:r w:rsidRPr="00CB5050">
        <w:rPr>
          <w:rFonts w:eastAsia="Times New Roman"/>
          <w:bCs/>
          <w:szCs w:val="20"/>
          <w:lang w:eastAsia="sl-SI"/>
        </w:rPr>
        <w:t xml:space="preserve"> posledično pomeni, da se zapuščinska masa ne oblikuje oziroma </w:t>
      </w:r>
      <w:r w:rsidRPr="00CB5050">
        <w:rPr>
          <w:rFonts w:eastAsia="Calibri"/>
        </w:rPr>
        <w:t xml:space="preserve">da to premoženje ne spada v zapuščinsko maso, iz katere bi si Republika Slovenija na podlagi omejitve dedovanja lahko delno povrnila </w:t>
      </w:r>
      <w:r w:rsidRPr="00CB5050">
        <w:rPr>
          <w:rFonts w:eastAsia="Calibri"/>
        </w:rPr>
        <w:lastRenderedPageBreak/>
        <w:t>izplačane socialne prejemke,</w:t>
      </w:r>
      <w:r w:rsidRPr="00CB5050">
        <w:rPr>
          <w:rFonts w:eastAsia="Times New Roman"/>
          <w:bCs/>
          <w:szCs w:val="20"/>
          <w:lang w:eastAsia="sl-SI"/>
        </w:rPr>
        <w:t xml:space="preserve"> in do omejitve dedovanja torej sploh ne pride</w:t>
      </w:r>
      <w:r w:rsidRPr="00CB5050">
        <w:rPr>
          <w:rFonts w:eastAsia="Calibri"/>
        </w:rPr>
        <w:t xml:space="preserve">. V kolizijo z lastninsko pravico dedičev pride ob smrti zapustnika torej pravica Republike Slovenije do omejitve dedovanja, torej pravica dajalca socialne pomoči do njene delne povrnitve. Taki primeri se v praksi dogajajo po spremembi </w:t>
      </w:r>
      <w:r w:rsidRPr="00CB5050">
        <w:rPr>
          <w:rFonts w:eastAsia="Calibri"/>
          <w:shd w:val="clear" w:color="auto" w:fill="FFFFFF"/>
        </w:rPr>
        <w:t>(Uradni list RS, št. 88/16; ZSVarPre-E), ki se je začel uporabljati februarja 2017.</w:t>
      </w:r>
      <w:r w:rsidRPr="00CB5050">
        <w:rPr>
          <w:rFonts w:eastAsia="Times New Roman"/>
          <w:bCs/>
          <w:szCs w:val="20"/>
          <w:lang w:eastAsia="sl-SI"/>
        </w:rPr>
        <w:t xml:space="preserve"> V preteklosti so sklepanje takih poslov preprečevale v zemljiško knjigo vpisane zaznambe prepovedi odtujitve in obremenitve, s</w:t>
      </w:r>
      <w:r w:rsidRPr="00CB5050">
        <w:rPr>
          <w:rFonts w:eastAsia="Calibri"/>
          <w:shd w:val="clear" w:color="auto" w:fill="FFFFFF"/>
        </w:rPr>
        <w:t xml:space="preserve">kladno s spremembami pa so se po uradni dolžnosti v zemljiški knjigi izbrisale </w:t>
      </w:r>
      <w:r w:rsidRPr="00CB5050">
        <w:rPr>
          <w:rFonts w:eastAsia="Times New Roman"/>
          <w:color w:val="000000"/>
          <w:lang w:eastAsia="sl-SI"/>
        </w:rPr>
        <w:t xml:space="preserve">vse </w:t>
      </w:r>
      <w:bookmarkStart w:id="892" w:name="_Hlk155362076"/>
      <w:r w:rsidRPr="00CB5050">
        <w:rPr>
          <w:rFonts w:eastAsia="Times New Roman"/>
          <w:color w:val="000000"/>
          <w:lang w:eastAsia="sl-SI"/>
        </w:rPr>
        <w:t>zaznambe prepovedi odtujitve in obremenitve nepremičnin</w:t>
      </w:r>
      <w:bookmarkEnd w:id="892"/>
      <w:r w:rsidRPr="00CB5050">
        <w:rPr>
          <w:rFonts w:eastAsia="Times New Roman"/>
          <w:color w:val="000000"/>
          <w:lang w:eastAsia="sl-SI"/>
        </w:rPr>
        <w:t xml:space="preserve">, ki so izpolnjevale naslednja merila: so bile vpisane v informatizirano glavno knjigo po 1. januarju 2012, so vpisane v korist Republike Slovenije in je vpis zaznambe prepovedi odtujitve in obremenitve nepremičnine temeljil na odločbi centra za socialno delo o upravičenosti do denarne socialne pomoči oziroma varstvenega dodatka. Ker je zakon tako odpravil zaznambe prepovedi odtujitve in obremenitve nepremičnin, ki jih imajo v lasti prejemniki socialnih pomoči, lahko prihaja do zlorab z namenom, da bi bilo Republiki Sloveniji onemogočeno, da pride do vsaj delnega povračila danih socialnih prejemkov v primerih, ko so prejemniki ob smrti lastniki nepremičnega premoženja (ki je, vsaj deloma, ostalo v lasti oziroma se ni zmanjšalo tudi na račun prejetih socialnih pomoči). Po oceni Državnega odvetništva RS bi bila zato smiselna </w:t>
      </w:r>
      <w:r w:rsidRPr="00CB5050">
        <w:rPr>
          <w:rFonts w:eastAsia="Times New Roman"/>
          <w:color w:val="007466"/>
          <w:lang w:eastAsia="sl-SI"/>
        </w:rPr>
        <w:t>sprememba ZSVarPre tako, da bi spet omogočila vpisovanje zaznamb prepovedi odtujitve in obremenitve nepremičnin, ki jih imajo v lasti prejemniki socialnih prejemkov</w:t>
      </w:r>
      <w:r w:rsidRPr="00CB5050">
        <w:rPr>
          <w:rFonts w:eastAsia="Times New Roman"/>
          <w:color w:val="000000"/>
          <w:lang w:eastAsia="sl-SI"/>
        </w:rPr>
        <w:t>.</w:t>
      </w:r>
    </w:p>
    <w:p w14:paraId="75640717" w14:textId="77777777" w:rsidR="00695AE2" w:rsidRPr="00CB5050" w:rsidRDefault="00695AE2" w:rsidP="00695AE2">
      <w:pPr>
        <w:widowControl w:val="0"/>
        <w:autoSpaceDE w:val="0"/>
        <w:autoSpaceDN w:val="0"/>
        <w:adjustRightInd w:val="0"/>
        <w:spacing w:line="240" w:lineRule="auto"/>
        <w:jc w:val="both"/>
        <w:rPr>
          <w:rFonts w:eastAsia="Times New Roman"/>
          <w:color w:val="000000"/>
          <w:lang w:eastAsia="sl-SI"/>
        </w:rPr>
      </w:pPr>
    </w:p>
    <w:p w14:paraId="19710295" w14:textId="77777777" w:rsidR="00695AE2" w:rsidRPr="00CB5050" w:rsidRDefault="00695AE2" w:rsidP="00695AE2">
      <w:pPr>
        <w:widowControl w:val="0"/>
        <w:tabs>
          <w:tab w:val="left" w:pos="1954"/>
        </w:tabs>
        <w:kinsoku w:val="0"/>
        <w:overflowPunct w:val="0"/>
        <w:autoSpaceDE w:val="0"/>
        <w:autoSpaceDN w:val="0"/>
        <w:adjustRightInd w:val="0"/>
        <w:spacing w:line="240" w:lineRule="auto"/>
        <w:jc w:val="both"/>
        <w:rPr>
          <w:rFonts w:eastAsia="Times New Roman"/>
          <w:lang w:eastAsia="sl-SI"/>
        </w:rPr>
      </w:pPr>
      <w:r w:rsidRPr="00CB5050">
        <w:rPr>
          <w:rFonts w:eastAsia="Times New Roman"/>
          <w:bCs/>
          <w:szCs w:val="20"/>
          <w:lang w:eastAsia="sl-SI"/>
        </w:rPr>
        <w:t xml:space="preserve">Prav tako bi bilo po mnenju Državnega odvetništva RS smiselno </w:t>
      </w:r>
      <w:r w:rsidRPr="00CB5050">
        <w:rPr>
          <w:rFonts w:eastAsia="Times New Roman"/>
          <w:bCs/>
          <w:color w:val="007466"/>
          <w:szCs w:val="20"/>
          <w:lang w:eastAsia="sl-SI"/>
        </w:rPr>
        <w:t>zakonsko urediti tudi pravico do omejitve dedovanja takrat, ko pride do stečaja zapuščine</w:t>
      </w:r>
      <w:r w:rsidRPr="00CB5050">
        <w:rPr>
          <w:rFonts w:eastAsia="Times New Roman"/>
          <w:bCs/>
          <w:szCs w:val="20"/>
          <w:lang w:eastAsia="sl-SI"/>
        </w:rPr>
        <w:t xml:space="preserve">; v tem primeru namreč stečajni upravitelji terjatev Republike Slovenije obravnavajo kot navadno in ne več prednostno, s čimer se izgubi ves pomen omejitve dedovanja, ki v svojem bistvu pomeni, da tega dela zapuščine sploh ne bi smeli prenesti v stečajno maso, saj ni več del zapuščine. Na ta način Republika Slovenija izgubi svojo pravico do prednostnega poplačila dane socialne pomoči. Glede na navedeno Državno odvetništvo RS predlaga spremembo </w:t>
      </w:r>
      <w:r w:rsidRPr="00CB5050">
        <w:rPr>
          <w:rFonts w:eastAsia="Times New Roman"/>
          <w:lang w:eastAsia="sl-SI"/>
        </w:rPr>
        <w:t xml:space="preserve">ZD in posledično </w:t>
      </w:r>
      <w:hyperlink r:id="rId74" w:history="1">
        <w:r w:rsidRPr="00CB5050">
          <w:rPr>
            <w:rFonts w:eastAsia="Calibri"/>
            <w:shd w:val="clear" w:color="auto" w:fill="FFFFFF"/>
          </w:rPr>
          <w:t>Zakona o finančnem poslovanju, postopkih zaradi insolventnosti in prisilnem prenehanju (ZFPPIPP)</w:t>
        </w:r>
      </w:hyperlink>
      <w:r w:rsidRPr="00CB5050">
        <w:rPr>
          <w:rFonts w:eastAsia="Calibri"/>
        </w:rPr>
        <w:t xml:space="preserve"> v navedeni  smeri.</w:t>
      </w:r>
      <w:r w:rsidRPr="00CB5050">
        <w:rPr>
          <w:rFonts w:eastAsia="Times New Roman"/>
          <w:lang w:eastAsia="sl-SI"/>
        </w:rPr>
        <w:t xml:space="preserve"> </w:t>
      </w:r>
    </w:p>
    <w:p w14:paraId="1F7CC01C" w14:textId="77777777" w:rsidR="00695AE2" w:rsidRPr="00CB5050" w:rsidRDefault="00695AE2" w:rsidP="00695AE2">
      <w:pPr>
        <w:spacing w:line="240" w:lineRule="auto"/>
        <w:jc w:val="both"/>
        <w:rPr>
          <w:rFonts w:eastAsia="Calibri"/>
        </w:rPr>
      </w:pPr>
    </w:p>
    <w:p w14:paraId="0FE2AB92" w14:textId="77777777" w:rsidR="00695AE2" w:rsidRPr="00CB5050" w:rsidRDefault="00695AE2" w:rsidP="00695AE2">
      <w:pPr>
        <w:widowControl w:val="0"/>
        <w:tabs>
          <w:tab w:val="left" w:pos="1954"/>
        </w:tabs>
        <w:kinsoku w:val="0"/>
        <w:overflowPunct w:val="0"/>
        <w:autoSpaceDE w:val="0"/>
        <w:autoSpaceDN w:val="0"/>
        <w:adjustRightInd w:val="0"/>
        <w:spacing w:line="240" w:lineRule="auto"/>
        <w:jc w:val="both"/>
        <w:rPr>
          <w:rFonts w:eastAsia="Times New Roman"/>
          <w:szCs w:val="22"/>
        </w:rPr>
      </w:pPr>
      <w:r w:rsidRPr="00CB5050">
        <w:rPr>
          <w:rFonts w:eastAsia="Calibri"/>
        </w:rPr>
        <w:t xml:space="preserve">Državno odvetništvo RS opozarja na problematiko </w:t>
      </w:r>
      <w:r w:rsidRPr="00CB5050">
        <w:rPr>
          <w:rFonts w:eastAsia="Calibri"/>
          <w:color w:val="007466"/>
        </w:rPr>
        <w:t>izbrisa bremen na premoženju, ki izvira iz zapuščine brez dedičev</w:t>
      </w:r>
      <w:r w:rsidRPr="00CB5050">
        <w:rPr>
          <w:rFonts w:eastAsia="Calibri"/>
        </w:rPr>
        <w:t xml:space="preserve">. V preteklosti je težave povzročal prevzem prezadolžene zapuščine, dedovanju katere so se dediči iz tega razloga tudi odpovedali, v posledici česar je Republika Slovenija, ki je prevzela zapuščino, odgovarjala za zapustnikove dolgove z vsem svojim premoženjem do višine vrednosti podedovanega premoženja. S sprejetjem novele ZD, ki je začela veljati 22. 10. 2016, so te težave sicer odpadle. V 142.a členu ZD je namreč določeno, da Republika Slovenija, ki ji je bila izročena zapuščina brez dedičev, ne odgovarja za dolgove zapustnika. Upniki imajo namreč predhodno možnost v šestmesečnem oklicnem roku predlagati prenos zapuščine v stečajno maso. Če upniki tega ne storijo, sodišče zapuščino prenese na državo, ki za zapustnikove dolgove na podlagi navedenega določila ZD ne odgovarja. Vendar pa navedeni člen v primeru, ko pridobi država po navedeni določbi v last nepremičnine, na katerih so vknjižena bremena (hipoteke), položaja ne ureja v celoti, saj novela ZD v zakon ni vnesla določila o izbrisu bremen na nepremični zapuščini po uradni dolžnosti. </w:t>
      </w:r>
      <w:r w:rsidRPr="00CB5050">
        <w:rPr>
          <w:rFonts w:eastAsia="Calibri"/>
          <w:szCs w:val="22"/>
        </w:rPr>
        <w:t xml:space="preserve">Zapuščinsko sodišče ima v določilu 216. člena ZD pravno podlago za odreditev vpisa lastninske pravice v korist Republike Slovenije, saj gre za vpis, ki je potreben, da se nepremično premoženje izroči oziroma dejansko prenese na Republiko Slovenijo, nima pa pravne podlage za izbris bremen na izročenih nepremičninah po uradni dolžnosti, tako kot ga ima na primer </w:t>
      </w:r>
      <w:r w:rsidRPr="00CB5050">
        <w:rPr>
          <w:rFonts w:eastAsia="Calibri"/>
          <w:szCs w:val="22"/>
        </w:rPr>
        <w:lastRenderedPageBreak/>
        <w:t xml:space="preserve">izvršilno sodišče, ki na podlagi določila prvega odstavka 192. člen ZIZ zemljiški knjigi po uradni dolžnosti odredi tako vpis lastninske pravice v korist kupca kot tudi izbris zastavnih pravic na prodanih nepremičninah. Navedeno povzroča prihodnjim upravljavcem tako pridobljenih nepremičnin (SKZG, SiDG, d. o. o., MJU), ki so obremenjene z različnimi bremeni, precejšne težave z urejanjem premoženjskopravnih razmerij z nosilci in imetniki teh bremen. Vse to je povezano z dodatnim delom in precejšnimi stroški. </w:t>
      </w:r>
      <w:r w:rsidRPr="00CB5050">
        <w:rPr>
          <w:rFonts w:eastAsia="Times New Roman"/>
          <w:szCs w:val="22"/>
        </w:rPr>
        <w:t xml:space="preserve">Upravljalci, ki so jim nepremičnine izročene na podlagi 9. člena ZD, morajo namreč sami poskrbeti za izbris. Država v primeru kaducitete ne odgovarja za zapustnikove dolgove, zakonodajalec pa je izpustil ureditev izbrisa hipotek v navedenih primerih. Gre za pravno praznino. </w:t>
      </w:r>
      <w:r w:rsidRPr="00CB5050">
        <w:rPr>
          <w:rFonts w:eastAsia="Calibri"/>
        </w:rPr>
        <w:t>Dejstvo je, da je zakon po izpeljanem postopku zapuščine brez dedičev izključil odgovornost države za prav vse zapustnikove dolgove, torej tudi tiste, zavarovane s hipoteko. Okoliščina, da je hipoteka še vedno vknjižena v zemljiško knjigo, tako ne pomeni, da je zavarovana terjatev zoper državo zaradi tega še vedno izterljiva. Vknjižena hipoteka je izvotljena in ne služi več svojemu namenu. Upnik tako glede na prvi odstavek 142.a člena ZD od Republike Slovenije svoje s hipoteko zavarovane terjatve ne more izterjati. V teh in tem podobnih primerih hipoteka, čeprav neizterljiva, ostane vknjižena in je Republika Slovenija, ki je lastninsko pravico na nepremičnini dobila na podlagi zakona, primorana vložiti izbrisno tožbo, kar vodi k nepotrebnemu obremenjevanju sodišč in k nepotrebnim stroškom postopka.  Državno odvetništvo RS glede na vse navedeno meni, da bi bilo smotrno razmisliti o dopolnitvi ZD v primerih, ko zapuščina postane last Republike Slovenije na podlagi 9. člena ZD in v zapuščino spada tudi nepremično premoženje, na način, da bi zapuščinsko sodišče v sklepu o dedovanju, izdanem na podlagi 9. člena ZD, lahko odredilo tudi izbris hipoteke po uradni dolžnosti, če bi bile nepremičnine obremenjene s hipotekami.</w:t>
      </w:r>
    </w:p>
    <w:p w14:paraId="05DCB8C3" w14:textId="77777777" w:rsidR="00695AE2" w:rsidRPr="00CB5050" w:rsidRDefault="00695AE2" w:rsidP="00695AE2">
      <w:pPr>
        <w:widowControl w:val="0"/>
        <w:tabs>
          <w:tab w:val="left" w:pos="1954"/>
        </w:tabs>
        <w:kinsoku w:val="0"/>
        <w:overflowPunct w:val="0"/>
        <w:autoSpaceDE w:val="0"/>
        <w:autoSpaceDN w:val="0"/>
        <w:adjustRightInd w:val="0"/>
        <w:spacing w:line="240" w:lineRule="auto"/>
        <w:jc w:val="both"/>
        <w:rPr>
          <w:rFonts w:eastAsia="Times New Roman"/>
          <w:szCs w:val="22"/>
        </w:rPr>
      </w:pPr>
    </w:p>
    <w:p w14:paraId="7FA8D792" w14:textId="77777777" w:rsidR="00695AE2" w:rsidRPr="00CB5050" w:rsidRDefault="00695AE2" w:rsidP="00695AE2">
      <w:pPr>
        <w:pStyle w:val="Naslov5"/>
        <w:ind w:left="0" w:firstLine="0"/>
      </w:pPr>
      <w:bookmarkStart w:id="893" w:name="_Toc191562024"/>
      <w:bookmarkStart w:id="894" w:name="_Toc223094022"/>
      <w:r w:rsidRPr="00CB5050">
        <w:t>Delovna skupina za obravnavo odprtih vprašanj glede uporabe Uredbe (EU) št. 650/2012 Evropskega parlamenta in Sveta z dne 4. julija 2012 o pristojnosti, pravu, ki se uporablja, priznavanju in izvrševanju odločb in sprejemljivosti in izvrševanju javnih listin v dednih zadevah ter uvedbi evropskega potrdila o dedovanju (Uredba o dedovanju)</w:t>
      </w:r>
      <w:bookmarkEnd w:id="893"/>
      <w:bookmarkEnd w:id="894"/>
    </w:p>
    <w:p w14:paraId="0B62E7DD" w14:textId="77777777" w:rsidR="00695AE2" w:rsidRPr="00CB5050" w:rsidRDefault="00695AE2" w:rsidP="00695AE2">
      <w:pPr>
        <w:spacing w:line="240" w:lineRule="auto"/>
        <w:jc w:val="both"/>
        <w:rPr>
          <w:rFonts w:eastAsia="Calibri"/>
          <w:iCs/>
          <w:szCs w:val="22"/>
        </w:rPr>
      </w:pPr>
    </w:p>
    <w:p w14:paraId="6C65CB72" w14:textId="77777777" w:rsidR="00695AE2" w:rsidRPr="00CB5050" w:rsidRDefault="00695AE2" w:rsidP="00695AE2">
      <w:pPr>
        <w:spacing w:line="240" w:lineRule="auto"/>
        <w:jc w:val="both"/>
        <w:rPr>
          <w:rFonts w:eastAsia="Calibri"/>
          <w:szCs w:val="22"/>
        </w:rPr>
      </w:pPr>
      <w:r w:rsidRPr="00CB5050">
        <w:rPr>
          <w:rFonts w:eastAsia="Calibri"/>
          <w:szCs w:val="22"/>
        </w:rPr>
        <w:t xml:space="preserve">Z odredbo generalne državne odvetnice z dne 22. 8. 2024 je bila ustanovljena delovna skupina za obravnavo odprtih vprašanj glede uporabe Uredbe (EU) št. 650/2012 Evropskega parlamenta in Sveta z dne 4. julija 2012 o pristojnosti, pravu, ki se uporablja, priznavanju in izvrševanju odločb in sprejemljivosti in izvrševanju javnih listin v dednih zadevah ter uvedbi evropskega potrdila o dedovanju (Uredba o dedovanju). Naloge delovne skupine obsegajo celovit pregled odprtih vsebinskih in postopkovnih vprašanj glede uporabe Uredbe o dedovanju v zadevah, ki jih obravnava Državno odvetništvo RS, ter izdelavo primerjalno-pravne analize pristojnih organov za izvajanje zapuščinskih postopkov in temeljnih značilnosti postopkov v državah članicah EU, v katerih so imeli običajno prebivališče zapustniki v zadevah, ki jih obravnava Državno odvetništvo RS. Delovna skupina mora tudi preučiti postopek prilastitve zapuščine brez dediča po členu 33 in predstaviti pravne poti za postopanje v zadevah, ki jih obravnava Državno odvetništvo RS in ki terjajo uporabo Uredbe o dedovanju. Pristojna je tudi za oblikovanje enotnih stališč do pomembnih skupnih vprašanj, povezanih z uporabo navedene uredbe in za koordinacijo dela nosilcev spisov. </w:t>
      </w:r>
    </w:p>
    <w:p w14:paraId="183ABD2B" w14:textId="77777777" w:rsidR="00695AE2" w:rsidRPr="00CB5050" w:rsidRDefault="00695AE2" w:rsidP="00695AE2">
      <w:pPr>
        <w:spacing w:line="240" w:lineRule="auto"/>
        <w:jc w:val="both"/>
        <w:rPr>
          <w:rFonts w:eastAsia="Calibri"/>
          <w:szCs w:val="22"/>
        </w:rPr>
      </w:pPr>
    </w:p>
    <w:p w14:paraId="2077CBB4" w14:textId="77777777" w:rsidR="00695AE2" w:rsidRPr="00CB5050" w:rsidRDefault="00695AE2" w:rsidP="00695AE2">
      <w:pPr>
        <w:spacing w:line="240" w:lineRule="auto"/>
        <w:jc w:val="both"/>
        <w:rPr>
          <w:rFonts w:eastAsia="Calibri" w:cs="Times New Roman"/>
          <w:i/>
          <w:iCs/>
          <w:szCs w:val="22"/>
        </w:rPr>
      </w:pPr>
      <w:r w:rsidRPr="00CB5050">
        <w:rPr>
          <w:rFonts w:eastAsia="Calibri"/>
          <w:szCs w:val="22"/>
        </w:rPr>
        <w:t xml:space="preserve">V letu 2024 je delovna skupina ugotovila, da so ključni problemi, s katerimi se je Državno odvetništvo RS soočilo v dosedanji praksi, povezani s členom 33 Uredbe o dedovanju (zapuščina brez dediča). Uredba izhaja iz temeljnega pravila, da se o celotnem dedovanju odloči v eni državi, po pravu te države. Osnovna navezna okoliščina je prebivališče zapustnika </w:t>
      </w:r>
      <w:r w:rsidRPr="00CB5050">
        <w:rPr>
          <w:rFonts w:eastAsia="Calibri"/>
          <w:szCs w:val="22"/>
        </w:rPr>
        <w:lastRenderedPageBreak/>
        <w:t xml:space="preserve">v času smrti. Vendar pa za primer zapuščine brez dedičev člen 33 določa, da si vsaka od držav lahko po svojem pravu prilasti zapuščino, ki je na njenem ozemlju. Praktični vidiki te določbe niso jasni. </w:t>
      </w:r>
      <w:r w:rsidRPr="00CB5050">
        <w:rPr>
          <w:rFonts w:eastAsia="Calibri" w:cs="Times New Roman"/>
          <w:szCs w:val="22"/>
        </w:rPr>
        <w:t>Vprašanje je, ali tudi v takšnem primeru o celotnem dedovanju odloči sodišče v eni državi članici, ki mora v tem primeru uporabiti tako domače kot tudi tuje pravo in drugim državam članicam zagotoviti realizacijo njihove pravice po členu 33 Uredbe, ali pa gre v tem primeru za odstop od določb uredbe o pristojnosti in pravila enega postopka ter morajo države članice same izpeljati postopke prilastitve doma, po svojem pravu. S tem je povezano vprašanje, kako bi v takšnem primeru ravnalo slovensko sodišče, oziroma, ali Zakon o dedovanju nudi ustrezne podlage. Delovna skupina je začela pripravljati pisno analizo Uredbe o dedovanju in z njo povezane problematike, ki jo je Državno odvetništvo RS zaznalo pri svojem delu</w:t>
      </w:r>
      <w:r w:rsidRPr="00CB5050">
        <w:rPr>
          <w:rFonts w:eastAsia="Calibri" w:cs="Times New Roman"/>
          <w:i/>
          <w:iCs/>
          <w:szCs w:val="22"/>
        </w:rPr>
        <w:t xml:space="preserve">. </w:t>
      </w:r>
    </w:p>
    <w:p w14:paraId="2ECE6AE5" w14:textId="77777777" w:rsidR="00695AE2" w:rsidRPr="00CB5050" w:rsidRDefault="00695AE2" w:rsidP="00695AE2">
      <w:pPr>
        <w:spacing w:line="240" w:lineRule="auto"/>
        <w:jc w:val="both"/>
        <w:rPr>
          <w:rFonts w:eastAsia="Calibri"/>
          <w:szCs w:val="22"/>
        </w:rPr>
      </w:pPr>
    </w:p>
    <w:p w14:paraId="3FE79700" w14:textId="77777777" w:rsidR="00695AE2" w:rsidRPr="00CB5050" w:rsidRDefault="00695AE2" w:rsidP="00695AE2">
      <w:pPr>
        <w:spacing w:line="240" w:lineRule="auto"/>
        <w:jc w:val="both"/>
        <w:rPr>
          <w:rFonts w:eastAsia="Calibri" w:cs="Times New Roman"/>
          <w:szCs w:val="22"/>
        </w:rPr>
      </w:pPr>
      <w:r w:rsidRPr="00CB5050">
        <w:rPr>
          <w:rFonts w:eastAsia="Calibri" w:cs="Times New Roman"/>
          <w:szCs w:val="22"/>
        </w:rPr>
        <w:t xml:space="preserve">V letu 2025 je delovna skupina zaključila delo na </w:t>
      </w:r>
      <w:bookmarkStart w:id="895" w:name="_Hlk218844389"/>
      <w:r w:rsidRPr="00CB5050">
        <w:rPr>
          <w:rFonts w:eastAsia="Calibri" w:cs="Times New Roman"/>
          <w:i/>
          <w:iCs/>
          <w:szCs w:val="22"/>
        </w:rPr>
        <w:t>Analizi Uredbe o dedovanju z vidika zadev, ki jih obravnava Državno odvetništvo RS</w:t>
      </w:r>
      <w:bookmarkEnd w:id="895"/>
      <w:r w:rsidRPr="00CB5050">
        <w:rPr>
          <w:rFonts w:eastAsia="Calibri" w:cs="Times New Roman"/>
          <w:szCs w:val="22"/>
        </w:rPr>
        <w:t xml:space="preserve"> jo konec marca 2025 predložila generalni državni odvetnici. Analiza je objavljena na Intranetu Državnega odvetništva RS in obsega predstavitev Uredbe o dedovanju, informacije o postopku in pravu v drugih državah članicah EU in analizo zadev, ki jih obravnava Državno odvetništvo RS, vključno s predstavitvijo možnih rešitev problemov, ki so se v zvezi z uporabo uredbe izpostavili v navedenih zadevah. Analiza, med drugim, vsebuje tudi seznam relevantne sodne prakse Sodišča Evropske unije in domačih sodišč ter seznam relevantne literature.</w:t>
      </w:r>
    </w:p>
    <w:p w14:paraId="3298C39A" w14:textId="77777777" w:rsidR="00695AE2" w:rsidRPr="00CB5050" w:rsidRDefault="00695AE2" w:rsidP="00695AE2">
      <w:pPr>
        <w:spacing w:line="240" w:lineRule="auto"/>
        <w:jc w:val="both"/>
        <w:rPr>
          <w:rFonts w:eastAsia="Calibri" w:cs="Times New Roman"/>
          <w:szCs w:val="22"/>
        </w:rPr>
      </w:pPr>
    </w:p>
    <w:p w14:paraId="2994B44D" w14:textId="77777777" w:rsidR="00695AE2" w:rsidRPr="00CB5050" w:rsidRDefault="00695AE2" w:rsidP="00695AE2">
      <w:pPr>
        <w:spacing w:line="240" w:lineRule="auto"/>
        <w:jc w:val="both"/>
        <w:rPr>
          <w:rFonts w:eastAsia="Calibri" w:cs="Times New Roman"/>
          <w:szCs w:val="22"/>
        </w:rPr>
      </w:pPr>
      <w:r w:rsidRPr="00CB5050">
        <w:rPr>
          <w:rFonts w:eastAsia="Calibri" w:cs="Times New Roman"/>
          <w:szCs w:val="22"/>
        </w:rPr>
        <w:t xml:space="preserve">V januarju 2025 sta se dve članici delovne skupine udeležili okrogle mize na temo ureditve nujnega dedovanja, ki jo je organiziralo Ministrstvo za pravosodje skupaj z Odvetniško zbornico Slovenije in Pravno fakulteto Univerze v Ljubljani. Na podlagi zaključkov okrogle mize je Ministrstvo za pravosodje maja 2025 ustanovilo </w:t>
      </w:r>
      <w:bookmarkStart w:id="896" w:name="_Hlk218780213"/>
      <w:r w:rsidRPr="00CB5050">
        <w:rPr>
          <w:rFonts w:eastAsia="Calibri" w:cs="Times New Roman"/>
          <w:szCs w:val="22"/>
        </w:rPr>
        <w:t>Medresorsko delovno skupino</w:t>
      </w:r>
      <w:bookmarkEnd w:id="896"/>
      <w:r w:rsidRPr="00CB5050">
        <w:rPr>
          <w:rFonts w:eastAsia="Calibri" w:cs="Times New Roman"/>
          <w:szCs w:val="22"/>
        </w:rPr>
        <w:t xml:space="preserve">, ki pregleduje obstoječo ureditev po Zakonu o dedovanju in pripravlja predloge sprememb in dopolnitev. Državno odvetništvo RS ima v Medresorski delovni skupini 3 članice; članica Medresorske delovne skupine, ki je hkrati tudi članica delovne skupine, ki deluje na Državnem odvetništvu RS, je novembra 2025 za Medresorsko delovno skupino pripravila ter ji predložila </w:t>
      </w:r>
      <w:r w:rsidRPr="00CB5050">
        <w:rPr>
          <w:rFonts w:eastAsia="Calibri" w:cs="Times New Roman"/>
          <w:i/>
          <w:iCs/>
          <w:szCs w:val="22"/>
        </w:rPr>
        <w:t>Komentar k 9. členu Zakona o dedovanju (Zapuščina brez dediča) z vidika člena 33 Uredbe (EU) št. 650/2012</w:t>
      </w:r>
      <w:r w:rsidRPr="00CB5050">
        <w:rPr>
          <w:rFonts w:eastAsia="Calibri" w:cs="Times New Roman"/>
          <w:szCs w:val="22"/>
        </w:rPr>
        <w:t xml:space="preserve">. </w:t>
      </w:r>
    </w:p>
    <w:p w14:paraId="48D5C125" w14:textId="77777777" w:rsidR="00695AE2" w:rsidRPr="00CB5050" w:rsidRDefault="00695AE2" w:rsidP="00695AE2">
      <w:pPr>
        <w:spacing w:line="240" w:lineRule="auto"/>
        <w:jc w:val="both"/>
        <w:rPr>
          <w:rFonts w:eastAsia="Calibri" w:cs="Times New Roman"/>
          <w:szCs w:val="22"/>
        </w:rPr>
      </w:pPr>
    </w:p>
    <w:p w14:paraId="4B5F73BE" w14:textId="77777777" w:rsidR="00695AE2" w:rsidRPr="00CB5050" w:rsidRDefault="00695AE2" w:rsidP="00695AE2">
      <w:pPr>
        <w:spacing w:line="240" w:lineRule="auto"/>
        <w:jc w:val="both"/>
        <w:rPr>
          <w:rFonts w:eastAsia="Calibri" w:cs="Times New Roman"/>
          <w:szCs w:val="22"/>
        </w:rPr>
      </w:pPr>
      <w:r w:rsidRPr="00CB5050">
        <w:rPr>
          <w:rFonts w:eastAsia="Calibri" w:cs="Times New Roman"/>
          <w:szCs w:val="22"/>
        </w:rPr>
        <w:t xml:space="preserve">V obdobju od septembra 2025 do decembra 2025 sta dve članici delovne skupine v okviru sodelovanja Državnega odvetništva RS s Pravno fakulteto Univerze v Mariboru pripravili in s tujima študentoma, ki sta bila na izmenjavi v Republiki Sloveniji, obravnavali dva študijska primera s področja člena 33 Uredbe o dedovanju. </w:t>
      </w:r>
    </w:p>
    <w:p w14:paraId="27E82EEB" w14:textId="77777777" w:rsidR="00695AE2" w:rsidRPr="00CB5050" w:rsidRDefault="00695AE2" w:rsidP="00695AE2">
      <w:pPr>
        <w:spacing w:line="240" w:lineRule="auto"/>
        <w:jc w:val="both"/>
        <w:rPr>
          <w:rFonts w:eastAsia="Calibri" w:cs="Times New Roman"/>
          <w:szCs w:val="22"/>
        </w:rPr>
      </w:pPr>
    </w:p>
    <w:p w14:paraId="115CC09F" w14:textId="77777777" w:rsidR="00695AE2" w:rsidRPr="00CB5050" w:rsidRDefault="00695AE2" w:rsidP="00695AE2">
      <w:pPr>
        <w:spacing w:line="240" w:lineRule="auto"/>
        <w:jc w:val="both"/>
        <w:rPr>
          <w:rFonts w:eastAsia="Calibri"/>
          <w:szCs w:val="22"/>
        </w:rPr>
      </w:pPr>
      <w:r w:rsidRPr="00CB5050">
        <w:rPr>
          <w:rFonts w:eastAsia="Calibri" w:cs="Times New Roman"/>
          <w:szCs w:val="22"/>
        </w:rPr>
        <w:t xml:space="preserve">Delovna skupina bo v letu 2026 nadaljevala s spremljanjem zadev, ki jih obravnava Državno odvetništvo RS in pri katerih se pojavljajo težave pri uporabi Uredbe o dedovanju. Nadaljevala bo s preučevanjem uporabe te uredbe, predvsem njenega člena 33, in bo analizo, objavljeno v letu 2025, dopolnila z novimi ugotovitvami. Poleg tega bo delovna skupina ob primernih priložnostih opozarjala na problematiko uporabe navedene uredbe, na primer v okviru zgoraj omenjene Medresorske delovne skupine Ministrstva za pravosodje in v stikih s Pravno fakulteto Univerze v Mariboru (v okviru nadaljnjega sodelovanja Državnega odvetništva RS z navedeno fakulteto). </w:t>
      </w:r>
      <w:r w:rsidRPr="00CB5050">
        <w:rPr>
          <w:rFonts w:eastAsia="Calibri" w:cs="Times New Roman"/>
          <w:szCs w:val="22"/>
        </w:rPr>
        <w:tab/>
        <w:t xml:space="preserve">      </w:t>
      </w:r>
    </w:p>
    <w:p w14:paraId="2E563FAC" w14:textId="77777777" w:rsidR="00695AE2" w:rsidRPr="00CB5050" w:rsidRDefault="00695AE2" w:rsidP="00695AE2">
      <w:pPr>
        <w:spacing w:line="240" w:lineRule="auto"/>
        <w:jc w:val="both"/>
        <w:rPr>
          <w:rFonts w:eastAsia="Calibri"/>
        </w:rPr>
      </w:pPr>
    </w:p>
    <w:p w14:paraId="3DD56DE5" w14:textId="77777777" w:rsidR="00695AE2" w:rsidRPr="00CB5050" w:rsidRDefault="00695AE2" w:rsidP="00695AE2">
      <w:pPr>
        <w:pStyle w:val="Naslov4"/>
      </w:pPr>
      <w:bookmarkStart w:id="897" w:name="_Toc95149808"/>
      <w:bookmarkStart w:id="898" w:name="_Toc168845036"/>
      <w:bookmarkStart w:id="899" w:name="_Toc191562025"/>
      <w:bookmarkStart w:id="900" w:name="_Toc223094023"/>
      <w:r w:rsidRPr="00CB5050">
        <w:lastRenderedPageBreak/>
        <w:t>Razdružitev solastnine</w:t>
      </w:r>
      <w:bookmarkEnd w:id="897"/>
      <w:bookmarkEnd w:id="898"/>
      <w:bookmarkEnd w:id="899"/>
      <w:bookmarkEnd w:id="900"/>
    </w:p>
    <w:p w14:paraId="3FE5BDD0" w14:textId="77777777" w:rsidR="00695AE2" w:rsidRPr="00CB5050" w:rsidRDefault="00695AE2" w:rsidP="00695AE2">
      <w:pPr>
        <w:spacing w:line="240" w:lineRule="auto"/>
        <w:rPr>
          <w:rFonts w:eastAsia="Calibri"/>
        </w:rPr>
      </w:pPr>
    </w:p>
    <w:p w14:paraId="6BAFA34F" w14:textId="77777777" w:rsidR="00695AE2" w:rsidRPr="00CB5050" w:rsidRDefault="00695AE2" w:rsidP="00695AE2">
      <w:pPr>
        <w:tabs>
          <w:tab w:val="left" w:pos="283"/>
          <w:tab w:val="left" w:pos="360"/>
          <w:tab w:val="left" w:pos="720"/>
        </w:tabs>
        <w:spacing w:line="240" w:lineRule="auto"/>
        <w:jc w:val="both"/>
        <w:rPr>
          <w:rFonts w:eastAsia="Calibri"/>
        </w:rPr>
      </w:pPr>
      <w:r w:rsidRPr="00CB5050">
        <w:rPr>
          <w:rFonts w:eastAsia="Calibri"/>
        </w:rPr>
        <w:t xml:space="preserve">Glede nepravdnih postopkov za razdružitev solastnine Državno odvetništvo RS opozarja, da gre v primerih, ko se postopki nanašajo na nepremičnine, ki so v solasti velikega števila solastnikov, </w:t>
      </w:r>
      <w:r w:rsidRPr="00CB5050">
        <w:rPr>
          <w:rFonts w:eastAsia="Calibri"/>
          <w:bCs/>
        </w:rPr>
        <w:t>za izjemno obsežne in dolgotrajne postopke, povezane z visokimi stroški</w:t>
      </w:r>
      <w:r w:rsidRPr="00CB5050">
        <w:rPr>
          <w:rFonts w:eastAsia="Calibri"/>
        </w:rPr>
        <w:t xml:space="preserve">. V teh postopkih je glede na namensko rabo nepremičnin, če gre za kmetijske, gozdne in stavbne površine, treba vključiti tudi različne sodne izvedence, ki najprej ocenijo vrednosti nepremičnin ter nato še pripravijo predlog razdružitve med posamezne solastnike. Zaradi vključitve izvedencev, cenilcev različnih strok in geodetov so tudi stroški tovrstnih postopkov včasih nesorazmerno visoki glede na vrednost nepremičnin. </w:t>
      </w:r>
    </w:p>
    <w:p w14:paraId="4C190A3B" w14:textId="77777777" w:rsidR="00695AE2" w:rsidRPr="00CB5050" w:rsidRDefault="00695AE2" w:rsidP="00695AE2">
      <w:pPr>
        <w:tabs>
          <w:tab w:val="left" w:pos="283"/>
          <w:tab w:val="left" w:pos="360"/>
          <w:tab w:val="left" w:pos="720"/>
        </w:tabs>
        <w:spacing w:line="240" w:lineRule="auto"/>
        <w:jc w:val="both"/>
        <w:rPr>
          <w:rFonts w:eastAsia="Calibri"/>
        </w:rPr>
      </w:pPr>
    </w:p>
    <w:p w14:paraId="77AA4F13" w14:textId="77777777" w:rsidR="00695AE2" w:rsidRPr="00CB5050" w:rsidRDefault="00695AE2" w:rsidP="00695AE2">
      <w:pPr>
        <w:spacing w:line="240" w:lineRule="auto"/>
        <w:jc w:val="both"/>
        <w:rPr>
          <w:rFonts w:eastAsia="Calibri"/>
          <w:szCs w:val="22"/>
        </w:rPr>
      </w:pPr>
      <w:r w:rsidRPr="00CB5050">
        <w:rPr>
          <w:rFonts w:eastAsia="Calibri"/>
        </w:rPr>
        <w:t xml:space="preserve">Težava, ki nastopi v tovrstnih postopkih, je tudi ta, da Državno odvetništvo RS zastopa različne subjekte, katerih interesi si pogosto medsebojno nasprotujejo. Tako se nemalokrat zgodi, da </w:t>
      </w:r>
      <w:r w:rsidRPr="00CB5050">
        <w:rPr>
          <w:rFonts w:eastAsia="Calibri"/>
          <w:bCs/>
        </w:rPr>
        <w:t>Državno odvetništvo RS nastopa kot mediator</w:t>
      </w:r>
      <w:r w:rsidRPr="00CB5050">
        <w:rPr>
          <w:rFonts w:eastAsia="Calibri"/>
        </w:rPr>
        <w:t xml:space="preserve"> med svojimi zastopanimi subjekti, katerih volja ni usklajena, s tem pa je njegovo delo močno oteženo. </w:t>
      </w:r>
      <w:r w:rsidRPr="00CB5050">
        <w:rPr>
          <w:rFonts w:eastAsia="Calibri"/>
          <w:szCs w:val="22"/>
        </w:rPr>
        <w:t>Problematika sodelovanja upravljavcev ostaja tako aktualna predvsem pri usklajevanju stališč SKZG in SiDG v sodnih postopkih razdružitve solastnine.</w:t>
      </w:r>
      <w:r w:rsidRPr="00CB5050">
        <w:rPr>
          <w:rFonts w:eastAsia="Times New Roman"/>
          <w:lang w:eastAsia="sl-SI"/>
        </w:rPr>
        <w:t xml:space="preserve"> Tu ne gre za vprašanje poenotenja vsebinskih stališč, pač pa za različna naziranja naših strank glede rešitve posamezne zadeve in posledično njihova različna pričakovanja po vsebini našega zastopanja v zadevi, bistveno pa je, da je </w:t>
      </w:r>
      <w:r w:rsidRPr="00CB5050">
        <w:rPr>
          <w:rFonts w:eastAsia="Calibri"/>
          <w:szCs w:val="22"/>
        </w:rPr>
        <w:t xml:space="preserve">Državno odvetništvo RS zastopnik Republike Slovenije ter enovito ščiti njene premoženjske in druge pravice in interese. Poleg tega upravljalca SKZG in SiDG včasih </w:t>
      </w:r>
      <w:r w:rsidRPr="00CB5050">
        <w:rPr>
          <w:rFonts w:eastAsia="Calibri"/>
          <w:bCs/>
          <w:szCs w:val="22"/>
        </w:rPr>
        <w:t>zahtevata razdružitve v naravi kljub neznatnim deležem, poleg tega pa želita še točno določene dele nepremičnin in sta običajno usmerjena</w:t>
      </w:r>
      <w:r w:rsidRPr="00CB5050">
        <w:rPr>
          <w:rFonts w:eastAsia="Calibri"/>
          <w:szCs w:val="22"/>
        </w:rPr>
        <w:t xml:space="preserve"> k pridobivanju deležev nepremičnin, ki so kvalitetnejši ali imajo druge prednosti, </w:t>
      </w:r>
      <w:r w:rsidRPr="00CB5050">
        <w:rPr>
          <w:rFonts w:eastAsia="Calibri"/>
          <w:bCs/>
          <w:szCs w:val="22"/>
        </w:rPr>
        <w:t xml:space="preserve">kar vse ima za posledico tudi večje stroške postopka.  </w:t>
      </w:r>
      <w:r w:rsidRPr="00CB5050">
        <w:rPr>
          <w:rFonts w:eastAsia="Calibri"/>
          <w:szCs w:val="22"/>
        </w:rPr>
        <w:t xml:space="preserve">Njihova stališča so toga, neživljenjska in tudi neupravičena, poleg tega </w:t>
      </w:r>
      <w:r w:rsidRPr="00CB5050">
        <w:rPr>
          <w:rFonts w:eastAsia="Calibri"/>
          <w:bCs/>
          <w:szCs w:val="22"/>
        </w:rPr>
        <w:t>upravljalci</w:t>
      </w:r>
      <w:r w:rsidRPr="00CB5050">
        <w:rPr>
          <w:rFonts w:eastAsia="Calibri"/>
          <w:szCs w:val="22"/>
        </w:rPr>
        <w:t xml:space="preserve"> o</w:t>
      </w:r>
      <w:r w:rsidRPr="00CB5050">
        <w:rPr>
          <w:rFonts w:eastAsia="Calibri"/>
          <w:bCs/>
          <w:szCs w:val="22"/>
        </w:rPr>
        <w:t>d svojih stališč ne odstopajo in pri tem spregledajo, da v teh postopkih nastopajo enakovredne stranke in da Republika Slovenija ni upravičena do močnejše pravice, ki jo želijo uveljaviti preko Državnega odvetništva RS.</w:t>
      </w:r>
      <w:r w:rsidRPr="00CB5050">
        <w:rPr>
          <w:rFonts w:eastAsia="Calibri"/>
          <w:szCs w:val="22"/>
        </w:rPr>
        <w:t xml:space="preserve"> </w:t>
      </w:r>
    </w:p>
    <w:p w14:paraId="5BA87D58" w14:textId="77777777" w:rsidR="00695AE2" w:rsidRPr="00CB5050" w:rsidRDefault="00695AE2" w:rsidP="00695AE2">
      <w:pPr>
        <w:spacing w:line="240" w:lineRule="auto"/>
        <w:jc w:val="both"/>
        <w:rPr>
          <w:rFonts w:eastAsia="Calibri"/>
          <w:szCs w:val="22"/>
        </w:rPr>
      </w:pPr>
    </w:p>
    <w:p w14:paraId="69DD731B"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V nepravdnih postopkih, predvsem pa v postopkih razdružitve solastnine, se zaradi obravnavanja strokovnih in dejanskih vprašanj, ki zahtevajo tudi podrobno poznavanje terena (predvsem pri zasliševanju izvedenca in cenilca kmetijske stroke), včasih pokaže tudi potreba po udeležbi strokovnjaka, ki dobro pozna kmetijsko stroko in teren, ki je predmet postopka razdružitve, saj državni odvetniki nimamo potrebnega strokovnega znanja iz tega področja.  Državno odvetništvo RS je SKZG tako že večkrat predlagalo, da bi se njihov strokovnjak udeležil naroka, na katerem se bo razčiščevalo dejansko stanje strokovne narave in na katerem bo izvedenec podajal strokovno mnenje. V letu 2025 je bilo s SKZG dogovorjeno, da kadar državni odvetnik oceni, da </w:t>
      </w:r>
      <w:r w:rsidRPr="00CB5050">
        <w:rPr>
          <w:rFonts w:eastAsia="Calibri"/>
          <w:color w:val="000000"/>
          <w:szCs w:val="22"/>
        </w:rPr>
        <w:t>gre za dejanska vprašanja ali vprašanja izrazito kmetijske stroke, ki jih bo potrebno razčistiti na samem naroku</w:t>
      </w:r>
      <w:r w:rsidRPr="00CB5050">
        <w:rPr>
          <w:rFonts w:eastAsia="Times New Roman"/>
          <w:lang w:eastAsia="sl-SI"/>
        </w:rPr>
        <w:t xml:space="preserve"> oziroma ogledu na terenu, SKZG poskrbi, da se naroka, </w:t>
      </w:r>
      <w:r w:rsidRPr="00CB5050">
        <w:rPr>
          <w:rFonts w:eastAsia="Calibri"/>
          <w:color w:val="000000"/>
          <w:szCs w:val="22"/>
        </w:rPr>
        <w:t>poznavajoč konkretno zadevo,</w:t>
      </w:r>
      <w:r w:rsidRPr="00CB5050">
        <w:rPr>
          <w:rFonts w:eastAsia="Times New Roman"/>
          <w:lang w:eastAsia="sl-SI"/>
        </w:rPr>
        <w:t xml:space="preserve"> udeleži tudi njihov predstavnik kot </w:t>
      </w:r>
      <w:r w:rsidRPr="00CB5050">
        <w:rPr>
          <w:rFonts w:eastAsia="Calibri"/>
          <w:color w:val="000000"/>
          <w:szCs w:val="22"/>
        </w:rPr>
        <w:t xml:space="preserve">»pomočnik« državnega odvetnika; za procesna in pravna vprašanja, tudi ob prisotnosti predstavnika SKZG, pa seveda  še vedno poskrbi državni odvetnik. </w:t>
      </w:r>
    </w:p>
    <w:p w14:paraId="6F95C05A" w14:textId="77777777" w:rsidR="00695AE2" w:rsidRPr="00CB5050" w:rsidRDefault="00695AE2" w:rsidP="00695AE2">
      <w:pPr>
        <w:widowControl w:val="0"/>
        <w:tabs>
          <w:tab w:val="left" w:pos="1954"/>
        </w:tabs>
        <w:kinsoku w:val="0"/>
        <w:overflowPunct w:val="0"/>
        <w:autoSpaceDE w:val="0"/>
        <w:autoSpaceDN w:val="0"/>
        <w:adjustRightInd w:val="0"/>
        <w:spacing w:line="240" w:lineRule="auto"/>
        <w:jc w:val="both"/>
        <w:rPr>
          <w:rFonts w:eastAsia="Times New Roman"/>
          <w:highlight w:val="lightGray"/>
          <w:lang w:eastAsia="sl-SI"/>
        </w:rPr>
      </w:pPr>
      <w:r w:rsidRPr="00CB5050">
        <w:rPr>
          <w:rFonts w:eastAsia="Times New Roman"/>
          <w:highlight w:val="lightGray"/>
          <w:lang w:eastAsia="sl-SI"/>
        </w:rPr>
        <w:t xml:space="preserve">   </w:t>
      </w:r>
    </w:p>
    <w:p w14:paraId="5F012BF6" w14:textId="77777777" w:rsidR="00695AE2" w:rsidRPr="00CB5050" w:rsidRDefault="00695AE2" w:rsidP="00695AE2">
      <w:pPr>
        <w:spacing w:line="240" w:lineRule="auto"/>
        <w:jc w:val="both"/>
        <w:rPr>
          <w:rFonts w:eastAsia="Calibri"/>
          <w:bCs/>
          <w:szCs w:val="22"/>
        </w:rPr>
      </w:pPr>
      <w:r w:rsidRPr="00CB5050">
        <w:rPr>
          <w:rFonts w:eastAsia="Calibri"/>
          <w:bCs/>
          <w:szCs w:val="22"/>
        </w:rPr>
        <w:t xml:space="preserve">Državno odvetništvo RS je opazilo tudi oviro za reševanje spornih zadev v predhodnih postopkih po 27. členu ZDOdv, postopkih mediacije in sodnih postopkih, če se zahtevek nanaša na zemljišča v lasti Republike Slovenije, ko so v upravljanju SiDG, d. o. o., saj le-ta odgovarja, da veljavni predpisi, tj. Zakon o gospodarjenju z gozdovi v lasti Republike Slovenije, Pogodba o razpolaganju z gozdovi v lasti Republike Slovenije in pridobivanju gozdov št. 2330-16-000114 </w:t>
      </w:r>
      <w:r w:rsidRPr="00CB5050">
        <w:rPr>
          <w:rFonts w:eastAsia="Calibri"/>
          <w:bCs/>
          <w:szCs w:val="22"/>
        </w:rPr>
        <w:lastRenderedPageBreak/>
        <w:t xml:space="preserve">z dne 30. 6. 2016 in dodatek št. 1 k Pogodbi o razpolaganju z gozdovi v lasti Republike Slovenije in pridobivanju gozdov št. 2330-16-000114 z dne 29. 3. 2017, ter na njihovi podlagi sprejeta Pravila o izvedbi postopka razpolaganja in pridobivanja gozdov z dne 2. 8. 2019 družbi SiDG, d. o. o., ne omogočajo sklepanja pravnih poslov oziroma urejanja prenosa lastninske pravice na nepremičninah, </w:t>
      </w:r>
      <w:r w:rsidRPr="00CB5050">
        <w:rPr>
          <w:rFonts w:eastAsia="Calibri"/>
          <w:szCs w:val="22"/>
        </w:rPr>
        <w:t>saj z nepremičninami lahko razpolagajo le v skladu s predvidenim letnim načrtom, ki pa ne vključuje morebitnih navedenih postopkov</w:t>
      </w:r>
      <w:r w:rsidRPr="00CB5050">
        <w:rPr>
          <w:rFonts w:eastAsia="Calibri"/>
          <w:bCs/>
          <w:szCs w:val="22"/>
        </w:rPr>
        <w:t>. Navedeno pomeni, da je sporno zadevo, kadar gre za zemljišča v lasti Republike Slovenije, ki so v upravljanju SiDG, d. o. o., dejansko nemogoče rešiti na miren način.</w:t>
      </w:r>
      <w:r w:rsidRPr="00CB5050">
        <w:rPr>
          <w:rFonts w:eastAsia="Calibri"/>
          <w:szCs w:val="22"/>
        </w:rPr>
        <w:t xml:space="preserve"> </w:t>
      </w:r>
    </w:p>
    <w:p w14:paraId="4B007287" w14:textId="77777777" w:rsidR="00695AE2" w:rsidRPr="00CB5050" w:rsidRDefault="00695AE2" w:rsidP="00695AE2">
      <w:pPr>
        <w:spacing w:line="240" w:lineRule="auto"/>
        <w:jc w:val="both"/>
        <w:rPr>
          <w:rFonts w:eastAsia="Calibri"/>
          <w:bCs/>
          <w:szCs w:val="22"/>
          <w:u w:val="single"/>
        </w:rPr>
      </w:pPr>
    </w:p>
    <w:p w14:paraId="6B36900A" w14:textId="77777777" w:rsidR="00695AE2" w:rsidRPr="00CB5050" w:rsidRDefault="00695AE2" w:rsidP="00695AE2">
      <w:pPr>
        <w:tabs>
          <w:tab w:val="left" w:pos="283"/>
          <w:tab w:val="left" w:pos="360"/>
          <w:tab w:val="left" w:pos="720"/>
        </w:tabs>
        <w:spacing w:line="240" w:lineRule="auto"/>
        <w:jc w:val="both"/>
        <w:rPr>
          <w:rFonts w:eastAsia="Calibri"/>
        </w:rPr>
      </w:pPr>
      <w:r w:rsidRPr="00CB5050">
        <w:rPr>
          <w:rFonts w:eastAsia="Calibri"/>
        </w:rPr>
        <w:t>Državno odvetništvo RS sicer pričakuje, da bo postopkov razdružitve solastnine v prihodnosti še več, saj je Republika Slovenija v zemljiški knjigi še vedno v mnogih primerih vpisana kot solastnica nepremičnin v idealnem deležu, takšno solastništvo pa onemogoča izključne rabe posameznega dela nepremičnine in tudi pogosto onemogoča</w:t>
      </w:r>
      <w:r w:rsidRPr="00CB5050">
        <w:rPr>
          <w:rFonts w:eastAsia="Calibri"/>
          <w:lang w:bidi="ar-YE"/>
        </w:rPr>
        <w:t xml:space="preserve"> morebitno razpolaganje s</w:t>
      </w:r>
      <w:r w:rsidRPr="00CB5050">
        <w:rPr>
          <w:rFonts w:eastAsia="Calibri"/>
        </w:rPr>
        <w:t xml:space="preserve"> solastniškimi deleži, od katerih pa Republika Slovenija največkrat nima materialnih koristi. Težave v teh postopkih se pojavljajo predvsem zaradi velikega števila nepremičnin, ki se razdružujejo, in velikega števila solastnikov, zaradi česar prihaja do sprememb na nasprotni strani (dedovanja, prodaje). V času poteka postopka razdružitve prihaja do sklepanja kupoprodajnih pogodb, s katerimi SKZG od določenih solastnikov pridobiva solastne deleže na teh nepremičninah in si s tem povečuje solastninski delež, kar pomeni spreminjanje solastnih deležev, s čimer pa so nato povezane še dodatne težave.</w:t>
      </w:r>
    </w:p>
    <w:p w14:paraId="2740B829" w14:textId="77777777" w:rsidR="00695AE2" w:rsidRPr="00CB5050" w:rsidRDefault="00695AE2" w:rsidP="00695AE2">
      <w:pPr>
        <w:tabs>
          <w:tab w:val="left" w:pos="283"/>
          <w:tab w:val="left" w:pos="360"/>
          <w:tab w:val="left" w:pos="720"/>
        </w:tabs>
        <w:spacing w:line="240" w:lineRule="auto"/>
        <w:jc w:val="both"/>
        <w:rPr>
          <w:rFonts w:eastAsia="Calibri"/>
        </w:rPr>
      </w:pPr>
    </w:p>
    <w:p w14:paraId="78E5BF5A" w14:textId="77777777" w:rsidR="00695AE2" w:rsidRPr="00CB5050" w:rsidRDefault="00695AE2" w:rsidP="00695AE2">
      <w:pPr>
        <w:pStyle w:val="Naslov4"/>
      </w:pPr>
      <w:bookmarkStart w:id="901" w:name="_Toc95149809"/>
      <w:bookmarkStart w:id="902" w:name="_Toc168845037"/>
      <w:bookmarkStart w:id="903" w:name="_Toc191562026"/>
      <w:bookmarkStart w:id="904" w:name="_Toc223094024"/>
      <w:r w:rsidRPr="00CB5050">
        <w:t>Zemljiškoknjižni postopki</w:t>
      </w:r>
      <w:bookmarkEnd w:id="901"/>
      <w:bookmarkEnd w:id="902"/>
      <w:bookmarkEnd w:id="903"/>
      <w:bookmarkEnd w:id="904"/>
    </w:p>
    <w:p w14:paraId="20EAE452" w14:textId="77777777" w:rsidR="00695AE2" w:rsidRPr="00CB5050" w:rsidRDefault="00695AE2" w:rsidP="00695AE2">
      <w:pPr>
        <w:spacing w:line="240" w:lineRule="auto"/>
        <w:jc w:val="both"/>
        <w:rPr>
          <w:rFonts w:eastAsia="Calibri"/>
        </w:rPr>
      </w:pPr>
    </w:p>
    <w:p w14:paraId="6E45E4BE" w14:textId="77777777" w:rsidR="00695AE2" w:rsidRPr="00CB5050" w:rsidRDefault="00695AE2" w:rsidP="00695AE2">
      <w:pPr>
        <w:pStyle w:val="Naslov5"/>
      </w:pPr>
      <w:bookmarkStart w:id="905" w:name="_Toc168845038"/>
      <w:bookmarkStart w:id="906" w:name="_Toc191562027"/>
      <w:bookmarkStart w:id="907" w:name="_Toc223094025"/>
      <w:r w:rsidRPr="00CB5050">
        <w:t>Splošno</w:t>
      </w:r>
      <w:bookmarkEnd w:id="905"/>
      <w:bookmarkEnd w:id="906"/>
      <w:bookmarkEnd w:id="907"/>
    </w:p>
    <w:p w14:paraId="0A654DC1" w14:textId="77777777" w:rsidR="00695AE2" w:rsidRPr="00CB5050" w:rsidRDefault="00695AE2" w:rsidP="00695AE2">
      <w:pPr>
        <w:spacing w:line="240" w:lineRule="auto"/>
        <w:jc w:val="both"/>
        <w:rPr>
          <w:rFonts w:eastAsia="Calibri"/>
        </w:rPr>
      </w:pPr>
    </w:p>
    <w:p w14:paraId="6B649AFC" w14:textId="77777777" w:rsidR="00695AE2" w:rsidRPr="00CB5050" w:rsidRDefault="00695AE2" w:rsidP="00695AE2">
      <w:pPr>
        <w:spacing w:line="240" w:lineRule="auto"/>
        <w:jc w:val="both"/>
        <w:rPr>
          <w:rFonts w:eastAsia="Calibri"/>
        </w:rPr>
      </w:pPr>
      <w:r w:rsidRPr="00CB5050">
        <w:rPr>
          <w:rFonts w:eastAsia="Calibri"/>
        </w:rPr>
        <w:t xml:space="preserve">Tovrstni postopki že vrsto let sestavljajo pomemben delež pri obsegu dela </w:t>
      </w:r>
      <w:r w:rsidRPr="00CB5050">
        <w:rPr>
          <w:rFonts w:eastAsia="Calibri"/>
          <w:bCs/>
        </w:rPr>
        <w:t>na Državnem odvetništvu RS.</w:t>
      </w:r>
      <w:r w:rsidRPr="00CB5050">
        <w:rPr>
          <w:rFonts w:eastAsia="Calibri"/>
        </w:rPr>
        <w:t xml:space="preserve"> Državno odvetništvo RS vse tovrstne vpise opravlja prek e-ZK. Postopek vpisa je izredno formaliziran, zaradi česar je zadeve mogoče obravnavati le ob dobrem poznavanju posameznih šifer postopkov. Zaradi pogostih tehničnih težav portala E-sodstvo pa je izvedba teh dejavnosti pogosto nemogoča oziroma jo je treba večkrat ponoviti. </w:t>
      </w:r>
    </w:p>
    <w:p w14:paraId="0D9AA664" w14:textId="77777777" w:rsidR="00695AE2" w:rsidRPr="00CB5050" w:rsidRDefault="00695AE2" w:rsidP="00695AE2">
      <w:pPr>
        <w:spacing w:line="240" w:lineRule="auto"/>
        <w:jc w:val="both"/>
        <w:rPr>
          <w:rFonts w:eastAsia="Calibri"/>
        </w:rPr>
      </w:pPr>
    </w:p>
    <w:p w14:paraId="00EE1316" w14:textId="77777777" w:rsidR="00695AE2" w:rsidRPr="00CB5050" w:rsidRDefault="00695AE2" w:rsidP="00695AE2">
      <w:pPr>
        <w:spacing w:line="240" w:lineRule="auto"/>
        <w:jc w:val="both"/>
        <w:rPr>
          <w:rFonts w:eastAsia="Calibri"/>
        </w:rPr>
      </w:pPr>
      <w:r w:rsidRPr="00CB5050">
        <w:rPr>
          <w:rFonts w:eastAsia="Calibri"/>
        </w:rPr>
        <w:t xml:space="preserve">Poleg tega se je v praksi pokazalo, da v veliki večini primerov listinska dokumentacija za vknjižbo posamezne pravice, s katero razpolaga zastopani subjekt, ni ustrezna. Tako je treba še pred samo vknjižbo lastninske pravice izvesti postopek za vzpostavitev listine, ki bo kasneje ustrezna podlaga za vknjižbo lastninske pravice v zemljiško knjigo. </w:t>
      </w:r>
    </w:p>
    <w:p w14:paraId="485EF4C7" w14:textId="77777777" w:rsidR="00695AE2" w:rsidRPr="00CB5050" w:rsidRDefault="00695AE2" w:rsidP="00695AE2">
      <w:pPr>
        <w:spacing w:line="240" w:lineRule="auto"/>
        <w:jc w:val="both"/>
        <w:rPr>
          <w:rFonts w:eastAsia="Calibri"/>
        </w:rPr>
      </w:pPr>
    </w:p>
    <w:p w14:paraId="7DE16290" w14:textId="77777777" w:rsidR="00695AE2" w:rsidRPr="00CB5050" w:rsidRDefault="00695AE2" w:rsidP="00695AE2">
      <w:pPr>
        <w:spacing w:line="240" w:lineRule="auto"/>
        <w:jc w:val="both"/>
        <w:rPr>
          <w:rFonts w:eastAsia="Calibri"/>
          <w:bCs/>
          <w:szCs w:val="22"/>
        </w:rPr>
      </w:pPr>
      <w:r w:rsidRPr="00CB5050">
        <w:rPr>
          <w:rFonts w:eastAsia="Calibri"/>
          <w:bCs/>
          <w:szCs w:val="22"/>
        </w:rPr>
        <w:t>Nadalje Državno odvetništvo RS tudi opaža, da so pogodbe, ki jih predložijo naše stranke in na podlagi katerih vlagamo zemljiškoknjižne predloge, večkrat nepopolne, pomanjkljive (nepravilna EMŠO številka, nepravilen ID nepremičnine, manjkajo listine,…). Enako velja tudi za odločbe (odločbe o lastninjenju in vpisu zaznambe javnega dobra, o izbrisu javnega dobra) drugih državnih organov (Direkcije RS za infrastrukturo). Tudi pri teh listinah zaznavamo, da so slednje nepopolne (manjkajo žigi o pravnomočnosti), oziroma v določenih primerih celo »brezpredmetne« (npr. vpis na določeni nepremičnini je že bil vknjižen na podlagi druge odločbe).</w:t>
      </w:r>
    </w:p>
    <w:p w14:paraId="4A8F25AC" w14:textId="77777777" w:rsidR="00695AE2" w:rsidRPr="00CB5050" w:rsidRDefault="00695AE2" w:rsidP="00695AE2">
      <w:pPr>
        <w:spacing w:line="240" w:lineRule="auto"/>
        <w:jc w:val="both"/>
        <w:rPr>
          <w:rFonts w:eastAsia="Calibri"/>
        </w:rPr>
      </w:pPr>
    </w:p>
    <w:p w14:paraId="70A51EF5" w14:textId="77777777" w:rsidR="00695AE2" w:rsidRPr="00CB5050" w:rsidRDefault="00695AE2" w:rsidP="00695AE2">
      <w:pPr>
        <w:spacing w:line="240" w:lineRule="auto"/>
        <w:jc w:val="both"/>
        <w:rPr>
          <w:rFonts w:eastAsia="Calibri"/>
          <w:bCs/>
          <w:szCs w:val="22"/>
        </w:rPr>
      </w:pPr>
      <w:r w:rsidRPr="00CB5050">
        <w:rPr>
          <w:rFonts w:eastAsia="Calibri"/>
          <w:bCs/>
          <w:szCs w:val="22"/>
        </w:rPr>
        <w:t xml:space="preserve">Državno odvetništvo RS že nekaj let v poročilih opozarja na pomanjkljivosti v zemljiškoknjižnih zadevah glede vpisa lastninske pravice Republike Slovenije pri nepremičninah, kjer je še vedno </w:t>
      </w:r>
      <w:r w:rsidRPr="00CB5050">
        <w:rPr>
          <w:rFonts w:eastAsia="Calibri"/>
          <w:bCs/>
          <w:szCs w:val="22"/>
        </w:rPr>
        <w:lastRenderedPageBreak/>
        <w:t xml:space="preserve">vpisana družbena lastnina. Vpise bi bilo potrebno generalno urediti, saj zemljiškoknjižna sodišča ne sledijo našim predlogom v primerih, kjer je zraven družbene lastnine naveden subjekt s pravico uporabe, ki pa ne obstaja več in nima pravnih naslednikov, ki bi lahko sodelovali pri »prenosu« lastninske pravice na Republiko Slovenijo. </w:t>
      </w:r>
    </w:p>
    <w:p w14:paraId="09A1974A" w14:textId="77777777" w:rsidR="00695AE2" w:rsidRPr="00CB5050" w:rsidRDefault="00695AE2" w:rsidP="00695AE2">
      <w:pPr>
        <w:spacing w:line="240" w:lineRule="auto"/>
        <w:jc w:val="both"/>
        <w:rPr>
          <w:rFonts w:eastAsia="Calibri"/>
        </w:rPr>
      </w:pPr>
    </w:p>
    <w:p w14:paraId="1735B625" w14:textId="77777777" w:rsidR="00695AE2" w:rsidRPr="00CB5050" w:rsidRDefault="00695AE2" w:rsidP="00695AE2">
      <w:pPr>
        <w:spacing w:line="240" w:lineRule="auto"/>
        <w:jc w:val="both"/>
        <w:rPr>
          <w:rFonts w:eastAsia="Calibri"/>
        </w:rPr>
      </w:pPr>
      <w:r w:rsidRPr="00CB5050">
        <w:rPr>
          <w:rFonts w:eastAsia="Calibri"/>
        </w:rPr>
        <w:t xml:space="preserve">Državno odvetništvo RS zaznava tudi problematiko, ki se nanaša na parcele, ki so v zemljiški knjigi vpisane kot javno dobro, vendar za te ni (več) pravne podlage za lastninjenje po nobenem področnem predpisu. Po mnenju Državnega odvetništva RS bi bila za tovrstne primere potrebna sistemska zakonska rešitev na način, kot je to urejeno v Zakonu o lastninjenju nepremičnin v družbeni lastnini za lastninjenje nepremičnin, vpisanih v zemljiško knjigo kot družbena lastnina. Do takrat pa je reševanje tovrstnih primerov možno le individualno, in sicer na način, da se uredijo pretekli zmotni materialnopravni vpisi v okviru tekočega urejanja zemljiške knjige, ki ga Državno odvetništvo RS izvaja na tem področju. </w:t>
      </w:r>
    </w:p>
    <w:p w14:paraId="02996F21" w14:textId="77777777" w:rsidR="00695AE2" w:rsidRPr="00CB5050" w:rsidRDefault="00695AE2" w:rsidP="00695AE2">
      <w:pPr>
        <w:tabs>
          <w:tab w:val="center" w:pos="2340"/>
        </w:tabs>
        <w:spacing w:line="240" w:lineRule="auto"/>
        <w:contextualSpacing/>
        <w:jc w:val="both"/>
        <w:rPr>
          <w:rFonts w:eastAsia="Times New Roman"/>
          <w:lang w:eastAsia="sl-SI"/>
        </w:rPr>
      </w:pPr>
    </w:p>
    <w:p w14:paraId="5348F59E" w14:textId="77777777" w:rsidR="00695AE2" w:rsidRPr="00CB5050" w:rsidRDefault="00695AE2" w:rsidP="00695AE2">
      <w:pPr>
        <w:pStyle w:val="Naslov5"/>
        <w:ind w:left="0" w:firstLine="0"/>
      </w:pPr>
      <w:bookmarkStart w:id="908" w:name="_Toc168845039"/>
      <w:bookmarkStart w:id="909" w:name="_Toc191562028"/>
      <w:bookmarkStart w:id="910" w:name="_Toc223094026"/>
      <w:r w:rsidRPr="00CB5050">
        <w:t>Problematika vknjižbe lastninske pravice v korist Republike Slovenije pri nepremičninah, ki so po namenski rabi kmetijska zemljišča</w:t>
      </w:r>
      <w:bookmarkEnd w:id="908"/>
      <w:bookmarkEnd w:id="909"/>
      <w:bookmarkEnd w:id="910"/>
      <w:r w:rsidRPr="00CB5050">
        <w:t xml:space="preserve"> </w:t>
      </w:r>
    </w:p>
    <w:p w14:paraId="310383D2" w14:textId="77777777" w:rsidR="00695AE2" w:rsidRPr="00CB5050" w:rsidRDefault="00695AE2" w:rsidP="00695AE2">
      <w:pPr>
        <w:spacing w:line="240" w:lineRule="auto"/>
        <w:jc w:val="both"/>
        <w:rPr>
          <w:rFonts w:eastAsia="Calibri"/>
          <w:bCs/>
          <w:szCs w:val="22"/>
        </w:rPr>
      </w:pPr>
    </w:p>
    <w:p w14:paraId="6EE4DC76" w14:textId="77777777" w:rsidR="00695AE2" w:rsidRPr="00CB5050" w:rsidRDefault="00695AE2" w:rsidP="00695AE2">
      <w:pPr>
        <w:spacing w:line="240" w:lineRule="auto"/>
        <w:jc w:val="both"/>
        <w:rPr>
          <w:rFonts w:eastAsia="Calibri"/>
        </w:rPr>
      </w:pPr>
      <w:r w:rsidRPr="00CB5050">
        <w:rPr>
          <w:rFonts w:eastAsia="Calibri"/>
        </w:rPr>
        <w:t>Državno odvetništvo RS zaznava težave tudi pri obravnavi predlogov za vknjižbo lastninske pravice v korist Republike Slovenije pri nepremičninah, ki so po namenski rabi kmetijska zemljišča, v zemljiški knjigi pa je vpisana družbena lastnina.</w:t>
      </w:r>
    </w:p>
    <w:p w14:paraId="5CEA9E84" w14:textId="77777777" w:rsidR="00695AE2" w:rsidRPr="00CB5050" w:rsidRDefault="00695AE2" w:rsidP="00695AE2">
      <w:pPr>
        <w:spacing w:line="240" w:lineRule="auto"/>
        <w:jc w:val="both"/>
        <w:rPr>
          <w:rFonts w:eastAsia="Calibri"/>
        </w:rPr>
      </w:pPr>
    </w:p>
    <w:p w14:paraId="2FD00D57" w14:textId="77777777" w:rsidR="00695AE2" w:rsidRPr="00CB5050" w:rsidRDefault="00695AE2" w:rsidP="00695AE2">
      <w:pPr>
        <w:spacing w:line="240" w:lineRule="auto"/>
        <w:jc w:val="both"/>
        <w:rPr>
          <w:rFonts w:eastAsia="Calibri"/>
        </w:rPr>
      </w:pPr>
      <w:r w:rsidRPr="00CB5050">
        <w:rPr>
          <w:rFonts w:eastAsia="Calibri"/>
        </w:rPr>
        <w:t>Čeprav koncept družbene lastnine že dolga leta ne obstaja več, je v zemljiški knjigi pri posameznih nepremičninah še zmeraj kot imetnik lastninske pravice vpisano splošno ljudsko premoženje in podobni titularji, dejansko pa gre za nepremičnine, ki so v lasti Republike Slovenije. Težave z ureditvijo zemljiškoknjižnega stanja se pojavljajo pri nepremičninah, ki so kmetijska zemljišča in so v upravljanju Sklada kmetijskih zemljišč in gozdov.</w:t>
      </w:r>
    </w:p>
    <w:p w14:paraId="5B9C7ED9" w14:textId="77777777" w:rsidR="00695AE2" w:rsidRPr="00CB5050" w:rsidRDefault="00695AE2" w:rsidP="00695AE2">
      <w:pPr>
        <w:spacing w:line="240" w:lineRule="auto"/>
        <w:jc w:val="both"/>
        <w:rPr>
          <w:rFonts w:eastAsia="Calibri"/>
        </w:rPr>
      </w:pPr>
    </w:p>
    <w:p w14:paraId="1DBB262C" w14:textId="77777777" w:rsidR="00695AE2" w:rsidRPr="00CB5050" w:rsidRDefault="00695AE2" w:rsidP="00695AE2">
      <w:pPr>
        <w:spacing w:line="240" w:lineRule="auto"/>
        <w:jc w:val="both"/>
        <w:rPr>
          <w:rFonts w:eastAsia="Calibri"/>
        </w:rPr>
      </w:pPr>
      <w:r w:rsidRPr="00CB5050">
        <w:rPr>
          <w:rFonts w:eastAsia="Calibri"/>
        </w:rPr>
        <w:t>Dne 23. 2. 1993 sprejeti Zakon o skladu kmetijskih zemljišč in gozdov Republike Slovenije (v nadaljevanju: ZSKZ), ki je začel veljati 11. 3. 1993, v 14. členu določa, da kmetijska zemljišča, kmetije in gozdovi v družbeni lastnini, ki niso postali last Republike Slovenije oziroma občin po zakonu o lastninskem preoblikovanju podjetij oziroma po zakonu o zadrugah, ter kmetijska zemljišča in gozdovi, ki so jih temeljne organizacije kooperantov dobile v upravljanje in razpolaganje na neodplačen način, postanejo z dnem uveljavitve tega zakona last Republike Slovenije oziroma občin in se po stanju ob uveljavitvi tega zakona prenesejo na sklad oziroma na občino. Zakon glede prenosa teh zemljišč v 16. členu določa, da upravljavci prenesejo kmetijska zemljišča, kmetije in gozdove na sklad oziroma občino in predložijo skladu oziroma občini bilanco po stanju na dan 31. 12. 1992 skupaj z urejeno dokumentacijo za ta kmetijska zemljišča, kmetije in gozdove najpozneje v šestih mesecih po uveljavitvi tega zakona. Če upravljavci ne prenesejo kmetijskih zemljišč, kmetij in gozdov na sklad oziroma občino v roku, poskrbi za izvedbo prenosa sklad oziroma občina. Zakon glede prenosa teh nepremičnin tudi napotuje na smiselno uporabo Navodila o izvedbi prenosa kmetijskih zemljišč od družbenih pravnih oseb, ki niso kmetijske organizacije, v kmetijski zemljiški sklad (Uradni list SRS, št. 15/79).</w:t>
      </w:r>
    </w:p>
    <w:p w14:paraId="2FB42992" w14:textId="77777777" w:rsidR="00695AE2" w:rsidRPr="00CB5050" w:rsidRDefault="00695AE2" w:rsidP="00695AE2">
      <w:pPr>
        <w:spacing w:line="240" w:lineRule="auto"/>
        <w:jc w:val="both"/>
        <w:rPr>
          <w:rFonts w:eastAsia="Calibri"/>
        </w:rPr>
      </w:pPr>
    </w:p>
    <w:p w14:paraId="2DAB99BC" w14:textId="77777777" w:rsidR="00695AE2" w:rsidRPr="00CB5050" w:rsidRDefault="00695AE2" w:rsidP="00695AE2">
      <w:pPr>
        <w:spacing w:line="240" w:lineRule="auto"/>
        <w:jc w:val="both"/>
        <w:rPr>
          <w:rFonts w:eastAsia="Calibri"/>
          <w:i/>
          <w:iCs/>
        </w:rPr>
      </w:pPr>
      <w:r w:rsidRPr="00CB5050">
        <w:rPr>
          <w:rFonts w:eastAsia="Calibri"/>
        </w:rPr>
        <w:t xml:space="preserve">Kljub časovni oddaljenosti sprejetja ZSKZ, ki je izrecno uredil način prenosa kmetijskih zemljišč v družbeni lastnini na Republiko Slovenijo in v upravljanje Sklada kmetijskih zemljišč in gozdov, Državno odvetništvo RS ugotavlja, da prenos teh zemljišč še ni v celoti urejen, tudi ne v </w:t>
      </w:r>
      <w:r w:rsidRPr="00CB5050">
        <w:rPr>
          <w:rFonts w:eastAsia="Calibri"/>
        </w:rPr>
        <w:lastRenderedPageBreak/>
        <w:t>zemljiški knjigi. Državno odvetništvo RS namreč od sklada še zmeraj prejema predloge za vknjižbo lastninske pravice Republike Slovenije na nepremičninah, pri katerih je v zemljiški knjigi vpisana družbena lastnina</w:t>
      </w:r>
      <w:r w:rsidRPr="00CB5050">
        <w:rPr>
          <w:rFonts w:eastAsia="Calibri"/>
          <w:i/>
          <w:iCs/>
        </w:rPr>
        <w:t xml:space="preserve">. </w:t>
      </w:r>
    </w:p>
    <w:p w14:paraId="2B359704" w14:textId="77777777" w:rsidR="00695AE2" w:rsidRPr="00CB5050" w:rsidRDefault="00695AE2" w:rsidP="00695AE2">
      <w:pPr>
        <w:spacing w:line="240" w:lineRule="auto"/>
        <w:jc w:val="both"/>
        <w:rPr>
          <w:rFonts w:eastAsia="Calibri"/>
          <w:i/>
          <w:iCs/>
        </w:rPr>
      </w:pPr>
    </w:p>
    <w:p w14:paraId="41EF4680" w14:textId="77777777" w:rsidR="00695AE2" w:rsidRPr="00CB5050" w:rsidRDefault="00695AE2" w:rsidP="00695AE2">
      <w:pPr>
        <w:spacing w:line="240" w:lineRule="auto"/>
        <w:jc w:val="both"/>
        <w:rPr>
          <w:rFonts w:eastAsia="Calibri"/>
        </w:rPr>
      </w:pPr>
      <w:r w:rsidRPr="00CB5050">
        <w:rPr>
          <w:rFonts w:eastAsia="Calibri"/>
        </w:rPr>
        <w:t xml:space="preserve">Težava ureditve zemljiškoknjižnega vpisa je v tem, da nekdanji upravljavci družbenih zemljišč ne obstajajo več, zato sklad nima več pogodbene stranke, s katero bi lahko sklenil ustrezno pogodbo o prenosu lastninske pravice, kot to določajo 16. člen ZSKZ in navodila, ter tako pridobil potrebno listino, ki jo 40. člen Zakona o zemljiški knjigi (ZZK-1) zahteva za vknjižbo lastninske pravice. </w:t>
      </w:r>
    </w:p>
    <w:p w14:paraId="1370725F" w14:textId="77777777" w:rsidR="00695AE2" w:rsidRPr="00CB5050" w:rsidRDefault="00695AE2" w:rsidP="00695AE2">
      <w:pPr>
        <w:spacing w:line="240" w:lineRule="auto"/>
        <w:jc w:val="both"/>
        <w:rPr>
          <w:rFonts w:eastAsia="Calibri"/>
        </w:rPr>
      </w:pPr>
    </w:p>
    <w:p w14:paraId="5BE06021" w14:textId="77777777" w:rsidR="00695AE2" w:rsidRPr="00CB5050" w:rsidRDefault="00695AE2" w:rsidP="00695AE2">
      <w:pPr>
        <w:spacing w:line="240" w:lineRule="auto"/>
        <w:jc w:val="both"/>
        <w:rPr>
          <w:rFonts w:eastAsia="Calibri"/>
        </w:rPr>
      </w:pPr>
      <w:r w:rsidRPr="00CB5050">
        <w:rPr>
          <w:rFonts w:eastAsia="Calibri"/>
        </w:rPr>
        <w:t xml:space="preserve">Sklad zato v teh primerih deluje tako, da Državnemu odvetništvu RS pošilja predloge za vložitev zemljiškoknjižnega predloga za vknjižbo lastninske pravice »na podlagi zakona«, sklicujoč se na historične izpise iz zemljiške knjige in potrdila o namenski rabi nepremičnin/lokacijske informacije, ki izkazujejo izpolnitev pogojev iz 14. člena ZSKZ. </w:t>
      </w:r>
    </w:p>
    <w:p w14:paraId="49D4C5FA" w14:textId="77777777" w:rsidR="00695AE2" w:rsidRPr="00CB5050" w:rsidRDefault="00695AE2" w:rsidP="00695AE2">
      <w:pPr>
        <w:spacing w:line="240" w:lineRule="auto"/>
        <w:jc w:val="both"/>
        <w:rPr>
          <w:rFonts w:eastAsia="Calibri"/>
        </w:rPr>
      </w:pPr>
    </w:p>
    <w:p w14:paraId="02BBE88F" w14:textId="77777777" w:rsidR="00695AE2" w:rsidRPr="00CB5050" w:rsidRDefault="00695AE2" w:rsidP="00695AE2">
      <w:pPr>
        <w:spacing w:line="240" w:lineRule="auto"/>
        <w:jc w:val="both"/>
        <w:rPr>
          <w:rFonts w:eastAsia="Calibri"/>
        </w:rPr>
      </w:pPr>
      <w:r w:rsidRPr="00CB5050">
        <w:rPr>
          <w:rFonts w:eastAsia="Calibri"/>
        </w:rPr>
        <w:t xml:space="preserve">Čeprav so posamezna zemljiškoknjižna sodišča v preteklosti takšne vpise dopuščala in je bila tudi praksa višjih sodišč v teh zadevah različna, je zdaj stališče Višjega sodišča v Kopru, ki je v skladu z določili 126. člena ZZK-1 kot sodišče druge stopnje izključno pristojno za odločanje o vseh pritožbah v zemljiškoknjižnih zadevah, enotno. Tako iz novejših odločitev izhaja enotno stališče sodišča, da je v tudi primeru lastninjenja kmetijskih zemljišč v družbeni lastnini za vknjižbo lastninske pravice Republike Slovenije v zemljiško knjigo potrebna ustrezna listina, kot to določa 40. člen ZZK-1, ki je matični predpis na tem področju. Tako upoštevajoč v zemljiškoknjižnem postopku uveljavljeno načelo formalnosti določil o obveznosti predložitve ustrezne listine ni mogoče obiti. </w:t>
      </w:r>
    </w:p>
    <w:p w14:paraId="7DD5562A" w14:textId="77777777" w:rsidR="00695AE2" w:rsidRPr="00CB5050" w:rsidRDefault="00695AE2" w:rsidP="00695AE2">
      <w:pPr>
        <w:spacing w:line="240" w:lineRule="auto"/>
        <w:jc w:val="both"/>
        <w:rPr>
          <w:rFonts w:eastAsia="Calibri"/>
        </w:rPr>
      </w:pPr>
    </w:p>
    <w:p w14:paraId="7C578D81" w14:textId="77777777" w:rsidR="00695AE2" w:rsidRPr="00CB5050" w:rsidRDefault="00695AE2" w:rsidP="00695AE2">
      <w:pPr>
        <w:spacing w:line="240" w:lineRule="auto"/>
        <w:jc w:val="both"/>
        <w:rPr>
          <w:rFonts w:eastAsia="Calibri"/>
        </w:rPr>
      </w:pPr>
      <w:r w:rsidRPr="00CB5050">
        <w:rPr>
          <w:rFonts w:eastAsia="Calibri"/>
        </w:rPr>
        <w:t>Državno odvetništvo RS meni, da bi bilo treba v teh zadevah, za katere ocenjujemo, da jih ni zanemarljivo malo, poiskati sistemsko rešitev (po vzoru Zakona o vodah).</w:t>
      </w:r>
    </w:p>
    <w:p w14:paraId="45DC958F" w14:textId="77777777" w:rsidR="00695AE2" w:rsidRPr="00CB5050" w:rsidRDefault="00695AE2" w:rsidP="00695AE2">
      <w:pPr>
        <w:spacing w:line="240" w:lineRule="auto"/>
        <w:jc w:val="both"/>
        <w:rPr>
          <w:rFonts w:eastAsia="Calibri"/>
        </w:rPr>
      </w:pPr>
    </w:p>
    <w:p w14:paraId="3A6266FE" w14:textId="77777777" w:rsidR="00695AE2" w:rsidRPr="00CB5050" w:rsidRDefault="00695AE2" w:rsidP="00695AE2">
      <w:pPr>
        <w:spacing w:line="240" w:lineRule="auto"/>
        <w:jc w:val="both"/>
        <w:rPr>
          <w:rFonts w:eastAsia="Calibri"/>
        </w:rPr>
      </w:pPr>
      <w:r w:rsidRPr="00CB5050">
        <w:rPr>
          <w:rFonts w:eastAsia="Calibri"/>
        </w:rPr>
        <w:t>V skladu z 8. točko prvega odstavka 40. člena ZZK-1 se namreč vknjižba lastninske pravice lahko dovoli tudi na podlagi pravnomočne ali dokončne odločbe državnega organa, če zakon (materialnopravni predpis) določa, da se stvarne pravice lahko pridobijo na njeni podlagi, pri čemer ZSKZ v obstoječem besedilu takšne podlage trenutno ne daje.</w:t>
      </w:r>
    </w:p>
    <w:p w14:paraId="6C15E228" w14:textId="77777777" w:rsidR="00695AE2" w:rsidRPr="00CB5050" w:rsidRDefault="00695AE2" w:rsidP="00695AE2">
      <w:pPr>
        <w:spacing w:line="240" w:lineRule="auto"/>
        <w:jc w:val="both"/>
        <w:rPr>
          <w:rFonts w:eastAsia="Calibri"/>
        </w:rPr>
      </w:pPr>
    </w:p>
    <w:p w14:paraId="1E92081A" w14:textId="77777777" w:rsidR="00695AE2" w:rsidRPr="00CB5050" w:rsidRDefault="00695AE2" w:rsidP="00695AE2">
      <w:pPr>
        <w:spacing w:line="240" w:lineRule="auto"/>
        <w:jc w:val="both"/>
        <w:rPr>
          <w:rFonts w:eastAsia="Calibri"/>
        </w:rPr>
      </w:pPr>
      <w:r w:rsidRPr="00CB5050">
        <w:rPr>
          <w:rFonts w:eastAsia="Calibri"/>
        </w:rPr>
        <w:t>Glede na navedeno Državno odvetništvo RS meni, da bi bilo za sistemsko in celovito ureditev zemljiškoknjižnega stanja kmetijskih zemljišč v lasti Republike Sloveniji, pri katerih je še zmeraj vpisana družbena lastnina oziroma nekdanji upravljavci ali imetniki pravice uporabe, ki ne obstojijo več, treba spremeniti določila ZSKZ tako, da se za potrebe prenosa teh nepremičnin določi pristojno ministrstvo kot državni organ, ki lahko izda odločbo iz 8. točke prvega odstavka 40. člena ZZK-1, ki vsebuje ugotovitev izpolnitve pogojev iz 14. člena ZSKZ in kot takšna pomeni veljavno listino za vknjižbo lastninske pravice v korist RS.</w:t>
      </w:r>
    </w:p>
    <w:p w14:paraId="634D92C1" w14:textId="77777777" w:rsidR="00695AE2" w:rsidRPr="00CB5050" w:rsidRDefault="00695AE2" w:rsidP="00695AE2">
      <w:pPr>
        <w:spacing w:line="240" w:lineRule="auto"/>
        <w:jc w:val="both"/>
        <w:rPr>
          <w:rFonts w:eastAsia="Calibri"/>
        </w:rPr>
      </w:pPr>
    </w:p>
    <w:p w14:paraId="3203D0A1" w14:textId="77777777" w:rsidR="00695AE2" w:rsidRPr="00CB5050" w:rsidRDefault="00695AE2" w:rsidP="00695AE2">
      <w:pPr>
        <w:pStyle w:val="Naslov5"/>
        <w:ind w:left="0" w:firstLine="0"/>
        <w:rPr>
          <w:u w:val="single"/>
          <w:lang w:eastAsia="sl-SI"/>
        </w:rPr>
      </w:pPr>
      <w:bookmarkStart w:id="911" w:name="_Toc223094027"/>
      <w:r w:rsidRPr="00CB5050">
        <w:t>Vpis lastninske pravice na podlagi izvensodne poravnave, ki jo v predhodnem postopku sklene državni odvetnik</w:t>
      </w:r>
      <w:bookmarkEnd w:id="911"/>
      <w:r w:rsidRPr="00CB5050">
        <w:t xml:space="preserve">  </w:t>
      </w:r>
    </w:p>
    <w:p w14:paraId="57677426" w14:textId="77777777" w:rsidR="00695AE2" w:rsidRPr="00CB5050" w:rsidRDefault="00695AE2" w:rsidP="00695AE2">
      <w:pPr>
        <w:spacing w:line="240" w:lineRule="auto"/>
        <w:jc w:val="both"/>
        <w:rPr>
          <w:rFonts w:eastAsia="Times New Roman"/>
          <w:lang w:eastAsia="sl-SI"/>
        </w:rPr>
      </w:pPr>
    </w:p>
    <w:p w14:paraId="36DFB078"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Predlagateljica je vložila predlog za mirno rešitev spora glede lastništva nepremičnine, za katero je zatrjevala, da je njena dejanska lastnica ter da jo je v preteklosti že priposestvovala, zato je želela urediti zemljiškoknjižno stanje z dejanskim. Na podlagi navedb in predloženih </w:t>
      </w:r>
      <w:r w:rsidRPr="00CB5050">
        <w:rPr>
          <w:rFonts w:eastAsia="Times New Roman"/>
          <w:lang w:eastAsia="sl-SI"/>
        </w:rPr>
        <w:lastRenderedPageBreak/>
        <w:t xml:space="preserve">dokazov smo ugotovili, da je predlagateljica izkazala pogoje za priposestvovanje, zato se je tudi zastopani subjekt strinjal, da se v zadevi sklene izvensodna poravnava, na podlagi katere bo predlagateljica postala tudi zemljiškoknjižna lastnica sporne nepremičnine. Glede na to, da se nepremičnina nahaja na območju kmetijskih zemljišč, je bila poravnava skladno z določbo v poravnavi, skladno z Zakonom o kmetijskih zemljiščih, dana v presojo tudi pristojni upravni enoti, ki je v zvezi s tem poslom izdala odločbo, s katero je pravni posel odobrila.  Izvensodno poravnavo je Republika Slovenija sklenila po zastopniku, višji državni odvetnici, ki jo je tudi podpisala. Taka poravnava je skladno z določbo 107. člena ZDOdv in 8. točko prvega odstavka 40. člena Zakona o zemljiški knjigi (v nadaljevanju: ZZK-1) listina, ki je podlaga za vknjižbo lastninske pravice v zemljiško knjigo. </w:t>
      </w:r>
    </w:p>
    <w:p w14:paraId="3E81BD31" w14:textId="77777777" w:rsidR="00695AE2" w:rsidRPr="00CB5050" w:rsidRDefault="00695AE2" w:rsidP="00695AE2">
      <w:pPr>
        <w:spacing w:line="240" w:lineRule="auto"/>
        <w:jc w:val="both"/>
        <w:rPr>
          <w:rFonts w:eastAsia="Times New Roman"/>
          <w:lang w:eastAsia="sl-SI"/>
        </w:rPr>
      </w:pPr>
    </w:p>
    <w:p w14:paraId="1243D33A"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Kljub temu se dogaja, da zemljiškoknjižni referenti vpis lastninske pravice v zemljiško knjigo na podlagi tako podpisane listine ne dovolijo (kar se je zgodilo tudi v tem konkretnem primeru), ker taka listina naj ne bi ustrezala pogojem, ki jih zahteva ZZK-1 za listine, ki so podlaga za vpis, saj podpis zakonite zastopnice Republike Slovenije ni notarsko overjen. V takih primerih je potrebno vlagati ugovore, s katerimi je Državno odvetništvo RS sicer uspešno, vendar je to povezano z dodatnim angažmajem nosilca spisa in stroški, ki pri odločanju o ugovorih nastajajo, kljub jasni zakonski določbi.</w:t>
      </w:r>
    </w:p>
    <w:p w14:paraId="4F0B040D" w14:textId="77777777" w:rsidR="00695AE2" w:rsidRPr="00CB5050" w:rsidRDefault="00695AE2" w:rsidP="00695AE2">
      <w:pPr>
        <w:spacing w:line="240" w:lineRule="auto"/>
        <w:jc w:val="both"/>
        <w:rPr>
          <w:rFonts w:eastAsia="Times New Roman"/>
          <w:lang w:eastAsia="sl-SI"/>
        </w:rPr>
      </w:pPr>
    </w:p>
    <w:p w14:paraId="74A75876" w14:textId="77777777" w:rsidR="00695AE2" w:rsidRPr="00CB5050" w:rsidRDefault="00695AE2" w:rsidP="00695AE2">
      <w:pPr>
        <w:spacing w:line="240" w:lineRule="auto"/>
        <w:jc w:val="both"/>
        <w:rPr>
          <w:rFonts w:eastAsia="Times New Roman"/>
          <w:i/>
          <w:iCs/>
          <w:lang w:eastAsia="sl-SI"/>
        </w:rPr>
      </w:pPr>
      <w:r w:rsidRPr="00CB5050">
        <w:rPr>
          <w:rFonts w:eastAsia="Times New Roman"/>
          <w:lang w:eastAsia="sl-SI"/>
        </w:rPr>
        <w:t xml:space="preserve">V konkretni zadevi je sodišče svojo odločitev o ugovoru utemeljilo: </w:t>
      </w:r>
      <w:r w:rsidRPr="00CB5050">
        <w:rPr>
          <w:rFonts w:eastAsia="Times New Roman"/>
          <w:i/>
          <w:iCs/>
          <w:lang w:eastAsia="sl-SI"/>
        </w:rPr>
        <w:t xml:space="preserve">»V 64. členu Zakona o notariatu je določeno, da se podpis osebe, katere pravico, ki se vpisuje v zemljiško knjigo,  prenaša, spreminja, obremenjuje ali preneha, lahko na zemljiškoknjižnem dovolilu kot zasebni listini overi samo notar. Sodišče se zato strinja z ugovornimi navedbami predlagateljice, da notar overja podpise na zasebnih listinah, vendar zgoraj citirana izvensodna poravnava to zagotovo ni, ker je bila sklenjena v predhodnem postopku pred Državnim odvetništvom RS kot državnim organom v skladu z določili ZDOdv, v okviru zakonskih pristojnosti, ki jih ima Državno odvetništvo RS.« </w:t>
      </w:r>
    </w:p>
    <w:p w14:paraId="52F99CBB" w14:textId="77777777" w:rsidR="00695AE2" w:rsidRPr="00CB5050" w:rsidRDefault="00695AE2" w:rsidP="00695AE2">
      <w:pPr>
        <w:spacing w:line="240" w:lineRule="auto"/>
        <w:jc w:val="both"/>
        <w:rPr>
          <w:rFonts w:eastAsia="Calibri"/>
        </w:rPr>
      </w:pPr>
    </w:p>
    <w:p w14:paraId="4CFE8122" w14:textId="77777777" w:rsidR="00695AE2" w:rsidRPr="00CB5050" w:rsidRDefault="00695AE2" w:rsidP="00695AE2">
      <w:pPr>
        <w:pStyle w:val="Naslov4"/>
      </w:pPr>
      <w:bookmarkStart w:id="912" w:name="_Toc95149810"/>
      <w:bookmarkStart w:id="913" w:name="_Toc168845041"/>
      <w:bookmarkStart w:id="914" w:name="_Toc191562032"/>
      <w:bookmarkStart w:id="915" w:name="_Toc223094028"/>
      <w:r w:rsidRPr="00CB5050">
        <w:t>Odškodninski postopki za razlaščena zemljišča</w:t>
      </w:r>
      <w:bookmarkEnd w:id="912"/>
      <w:bookmarkEnd w:id="913"/>
      <w:bookmarkEnd w:id="914"/>
      <w:bookmarkEnd w:id="915"/>
    </w:p>
    <w:p w14:paraId="5AACCEF7" w14:textId="77777777" w:rsidR="00695AE2" w:rsidRPr="00CB5050" w:rsidRDefault="00695AE2" w:rsidP="00695AE2">
      <w:pPr>
        <w:spacing w:line="240" w:lineRule="auto"/>
        <w:rPr>
          <w:rFonts w:eastAsia="Calibri"/>
        </w:rPr>
      </w:pPr>
    </w:p>
    <w:p w14:paraId="328CBCDD" w14:textId="77777777" w:rsidR="00695AE2" w:rsidRPr="00CB5050" w:rsidRDefault="00695AE2" w:rsidP="00695AE2">
      <w:pPr>
        <w:pStyle w:val="Naslov5"/>
      </w:pPr>
      <w:bookmarkStart w:id="916" w:name="_Toc223094029"/>
      <w:r w:rsidRPr="00CB5050">
        <w:t>Splošno</w:t>
      </w:r>
      <w:bookmarkEnd w:id="916"/>
    </w:p>
    <w:p w14:paraId="5C3629AC" w14:textId="77777777" w:rsidR="00695AE2" w:rsidRPr="00CB5050" w:rsidRDefault="00695AE2" w:rsidP="00695AE2">
      <w:pPr>
        <w:spacing w:line="240" w:lineRule="auto"/>
        <w:jc w:val="both"/>
        <w:rPr>
          <w:rFonts w:eastAsia="Calibri"/>
        </w:rPr>
      </w:pPr>
    </w:p>
    <w:p w14:paraId="24E99EF3" w14:textId="77777777" w:rsidR="00695AE2" w:rsidRPr="00CB5050" w:rsidRDefault="00695AE2" w:rsidP="00695AE2">
      <w:pPr>
        <w:spacing w:line="240" w:lineRule="auto"/>
        <w:jc w:val="both"/>
        <w:rPr>
          <w:rFonts w:eastAsia="Calibri"/>
        </w:rPr>
      </w:pPr>
      <w:r w:rsidRPr="00CB5050">
        <w:rPr>
          <w:rFonts w:eastAsia="Calibri"/>
        </w:rPr>
        <w:t xml:space="preserve">Državno odvetništvo RS ocenjuje, da sodni postopki za določitev odškodnine za razlaščena zemljišča sicer potekajo </w:t>
      </w:r>
      <w:r w:rsidRPr="00CB5050">
        <w:rPr>
          <w:rFonts w:eastAsia="Calibri"/>
          <w:bCs/>
        </w:rPr>
        <w:t>tekoče, vendar so dolgotrajni</w:t>
      </w:r>
      <w:r w:rsidRPr="00CB5050">
        <w:rPr>
          <w:rFonts w:eastAsia="Calibri"/>
        </w:rPr>
        <w:t xml:space="preserve">, saj mora vrednost nepremičnine oceniti izvedenec, udeleženci pa imajo pravico, da se o tako izdelani cenitvi ustrezno opredelijo. </w:t>
      </w:r>
    </w:p>
    <w:p w14:paraId="3183A699" w14:textId="77777777" w:rsidR="00695AE2" w:rsidRPr="00CB5050" w:rsidRDefault="00695AE2" w:rsidP="00695AE2">
      <w:pPr>
        <w:spacing w:line="240" w:lineRule="auto"/>
        <w:jc w:val="both"/>
        <w:rPr>
          <w:rFonts w:eastAsia="Calibri"/>
        </w:rPr>
      </w:pPr>
    </w:p>
    <w:p w14:paraId="229AF8A7" w14:textId="77777777" w:rsidR="00695AE2" w:rsidRPr="00CB5050" w:rsidRDefault="00695AE2" w:rsidP="00695AE2">
      <w:pPr>
        <w:spacing w:line="240" w:lineRule="auto"/>
        <w:jc w:val="both"/>
        <w:rPr>
          <w:rFonts w:eastAsia="Calibri"/>
        </w:rPr>
      </w:pPr>
      <w:r w:rsidRPr="00CB5050">
        <w:rPr>
          <w:rFonts w:eastAsia="Calibri"/>
        </w:rPr>
        <w:t xml:space="preserve">Državno odvetništvo RS opozarja, da bi bilo postopkov za določitev odškodnine še bistveno več, če si Državno odvetništvo RS že v razlastitvenih postopkih ne bi prizadevalo za sklenitev sporazumov o višini odškodnine. </w:t>
      </w:r>
    </w:p>
    <w:p w14:paraId="2E41D392" w14:textId="77777777" w:rsidR="00695AE2" w:rsidRPr="00CB5050" w:rsidRDefault="00695AE2" w:rsidP="00695AE2">
      <w:pPr>
        <w:spacing w:line="240" w:lineRule="auto"/>
        <w:jc w:val="both"/>
        <w:rPr>
          <w:rFonts w:eastAsia="Calibri"/>
        </w:rPr>
      </w:pPr>
    </w:p>
    <w:p w14:paraId="2E5E44A8" w14:textId="77777777" w:rsidR="00695AE2" w:rsidRPr="00CB5050" w:rsidRDefault="00695AE2" w:rsidP="00695AE2">
      <w:pPr>
        <w:pStyle w:val="Naslov5"/>
        <w:ind w:left="0" w:firstLine="0"/>
        <w:rPr>
          <w:lang w:eastAsia="sl-SI"/>
        </w:rPr>
      </w:pPr>
      <w:bookmarkStart w:id="917" w:name="_Toc223094030"/>
      <w:r w:rsidRPr="00CB5050">
        <w:rPr>
          <w:lang w:eastAsia="sl-SI"/>
        </w:rPr>
        <w:t>Problematika plačila zakonskih zamudnih obresti v postopku določitve odškodnine zaradi razlastitve</w:t>
      </w:r>
      <w:bookmarkStart w:id="918" w:name="_Hlk159845243"/>
      <w:bookmarkEnd w:id="917"/>
    </w:p>
    <w:p w14:paraId="717CB8D8" w14:textId="77777777" w:rsidR="00695AE2" w:rsidRPr="00CB5050" w:rsidRDefault="00695AE2" w:rsidP="00695AE2">
      <w:pPr>
        <w:shd w:val="clear" w:color="auto" w:fill="FFFFFF"/>
        <w:spacing w:line="240" w:lineRule="auto"/>
        <w:jc w:val="both"/>
        <w:rPr>
          <w:rFonts w:eastAsia="Times New Roman"/>
          <w:color w:val="000000"/>
          <w:lang w:eastAsia="sl-SI"/>
        </w:rPr>
      </w:pPr>
    </w:p>
    <w:p w14:paraId="58CC322D" w14:textId="77777777" w:rsidR="00695AE2" w:rsidRPr="00CB5050" w:rsidRDefault="00695AE2" w:rsidP="00695AE2">
      <w:pPr>
        <w:shd w:val="clear" w:color="auto" w:fill="FFFFFF"/>
        <w:spacing w:line="240" w:lineRule="auto"/>
        <w:jc w:val="both"/>
        <w:rPr>
          <w:rFonts w:eastAsia="Times New Roman"/>
          <w:color w:val="000000"/>
          <w:lang w:eastAsia="sl-SI"/>
        </w:rPr>
      </w:pPr>
      <w:r w:rsidRPr="00CB5050">
        <w:rPr>
          <w:rFonts w:eastAsia="Times New Roman"/>
          <w:color w:val="000000"/>
          <w:lang w:eastAsia="sl-SI"/>
        </w:rPr>
        <w:t xml:space="preserve">ZUrep-3, ki se je začel uporabljati 1. 6. 2022 in v osmem odstavku 109. člena glede plačila denarnega nadomestila zaradi omejitve uporabe nepremičnine določa, da če investitor pridobi pravico, ki mu omogoča gradnjo na podlagi dokazil iz tretje do osme alineje šestega odstavka tega člena, </w:t>
      </w:r>
      <w:r w:rsidRPr="00CB5050">
        <w:rPr>
          <w:rFonts w:eastAsia="Times New Roman"/>
          <w:i/>
          <w:iCs/>
          <w:color w:val="000000"/>
          <w:lang w:eastAsia="sl-SI"/>
        </w:rPr>
        <w:t xml:space="preserve">pripada lastniku nepremičnine denarno nadomestilo zaradi omejitev </w:t>
      </w:r>
      <w:r w:rsidRPr="00CB5050">
        <w:rPr>
          <w:rFonts w:eastAsia="Times New Roman"/>
          <w:i/>
          <w:iCs/>
          <w:color w:val="000000"/>
          <w:lang w:eastAsia="sl-SI"/>
        </w:rPr>
        <w:lastRenderedPageBreak/>
        <w:t>uporabe nepremičnine za čas od njene dejanske uporabe za gradnjo do takrat, ko investitor pridobi lastninsko, drugo stvarno ali obligacijsko pravico na zadevnih nepremičninah; denarno nadomestilo lahko pomeni uporabnino za čas od dejanskega posega do pravnomočne razlastitve ali zamudne obresti za to obdobje, pri čemer se v obeh primerih upošteva, da to nadomestilo ne more presegati višine odškodnine za razlaščeno nepremičnino.</w:t>
      </w:r>
      <w:r w:rsidRPr="00CB5050">
        <w:rPr>
          <w:rFonts w:eastAsia="Times New Roman"/>
          <w:color w:val="000000"/>
          <w:lang w:eastAsia="sl-SI"/>
        </w:rPr>
        <w:t xml:space="preserve"> </w:t>
      </w:r>
    </w:p>
    <w:p w14:paraId="2CADBDFE" w14:textId="77777777" w:rsidR="00695AE2" w:rsidRPr="00CB5050" w:rsidRDefault="00695AE2" w:rsidP="00695AE2">
      <w:pPr>
        <w:shd w:val="clear" w:color="auto" w:fill="FFFFFF"/>
        <w:spacing w:line="240" w:lineRule="auto"/>
        <w:jc w:val="both"/>
        <w:rPr>
          <w:rFonts w:eastAsia="Times New Roman"/>
          <w:color w:val="000000"/>
          <w:lang w:eastAsia="sl-SI"/>
        </w:rPr>
      </w:pPr>
    </w:p>
    <w:p w14:paraId="205E845B" w14:textId="77777777" w:rsidR="00695AE2" w:rsidRPr="00CB5050" w:rsidRDefault="00695AE2" w:rsidP="00695AE2">
      <w:pPr>
        <w:shd w:val="clear" w:color="auto" w:fill="FFFFFF"/>
        <w:spacing w:line="240" w:lineRule="auto"/>
        <w:jc w:val="both"/>
        <w:rPr>
          <w:rFonts w:eastAsia="Times New Roman"/>
          <w:color w:val="000000"/>
          <w:lang w:eastAsia="sl-SI"/>
        </w:rPr>
      </w:pPr>
      <w:r w:rsidRPr="00CB5050">
        <w:rPr>
          <w:rFonts w:eastAsia="Times New Roman"/>
          <w:color w:val="000000"/>
          <w:lang w:eastAsia="sl-SI"/>
        </w:rPr>
        <w:t xml:space="preserve">Denarno nadomestilo za nezmožnost uporabe je sicer urejal že peti odstavek 105. člena ZUreP-2, vendar se ureditev po sedaj veljavnem ZUreP- 3 v bistvenem razlikuje, ker določa tudi omejitev denarnega nadomestila v smislu </w:t>
      </w:r>
      <w:r w:rsidRPr="00CB5050">
        <w:rPr>
          <w:rFonts w:eastAsia="Times New Roman"/>
          <w:i/>
          <w:iCs/>
          <w:color w:val="000000"/>
          <w:lang w:eastAsia="sl-SI"/>
        </w:rPr>
        <w:t>ne ultra alterum tantum</w:t>
      </w:r>
      <w:r w:rsidRPr="00CB5050">
        <w:rPr>
          <w:rFonts w:eastAsia="Times New Roman"/>
          <w:color w:val="000000"/>
          <w:vertAlign w:val="superscript"/>
          <w:lang w:eastAsia="sl-SI"/>
        </w:rPr>
        <w:footnoteReference w:id="29"/>
      </w:r>
      <w:r w:rsidRPr="00CB5050">
        <w:rPr>
          <w:rFonts w:eastAsia="Times New Roman"/>
          <w:color w:val="000000"/>
          <w:lang w:eastAsia="sl-SI"/>
        </w:rPr>
        <w:t xml:space="preserve">, saj predpisuje, da </w:t>
      </w:r>
      <w:r w:rsidRPr="00CB5050">
        <w:rPr>
          <w:rFonts w:eastAsia="Times New Roman"/>
          <w:i/>
          <w:iCs/>
          <w:color w:val="000000"/>
          <w:lang w:eastAsia="sl-SI"/>
        </w:rPr>
        <w:t xml:space="preserve">višina denarnega nadomestila zaradi omejitve uporabe nepremičnine ne more presegati višine odškodnine za razlaščeno nepremičnino. </w:t>
      </w:r>
      <w:r w:rsidRPr="00CB5050">
        <w:rPr>
          <w:rFonts w:eastAsia="Times New Roman"/>
          <w:color w:val="000000"/>
          <w:lang w:eastAsia="sl-SI"/>
        </w:rPr>
        <w:t>Te omejitve pa prej veljavni ZUreP-2 ni vseboval.</w:t>
      </w:r>
    </w:p>
    <w:p w14:paraId="65084AAF" w14:textId="77777777" w:rsidR="00695AE2" w:rsidRPr="00CB5050" w:rsidRDefault="00695AE2" w:rsidP="00695AE2">
      <w:pPr>
        <w:shd w:val="clear" w:color="auto" w:fill="FFFFFF"/>
        <w:spacing w:line="240" w:lineRule="auto"/>
        <w:jc w:val="both"/>
        <w:rPr>
          <w:rFonts w:eastAsia="Times New Roman"/>
          <w:color w:val="000000"/>
          <w:lang w:eastAsia="sl-SI"/>
        </w:rPr>
      </w:pPr>
    </w:p>
    <w:p w14:paraId="0A25FB30" w14:textId="77777777" w:rsidR="00695AE2" w:rsidRPr="00CB5050" w:rsidRDefault="00695AE2" w:rsidP="00695AE2">
      <w:pPr>
        <w:shd w:val="clear" w:color="auto" w:fill="FFFFFF"/>
        <w:spacing w:line="240" w:lineRule="auto"/>
        <w:jc w:val="both"/>
        <w:rPr>
          <w:rFonts w:eastAsia="Times New Roman"/>
          <w:color w:val="000000"/>
          <w:lang w:eastAsia="sl-SI"/>
        </w:rPr>
      </w:pPr>
      <w:r w:rsidRPr="00CB5050">
        <w:rPr>
          <w:rFonts w:eastAsia="Times New Roman"/>
          <w:color w:val="000000"/>
          <w:lang w:eastAsia="sl-SI"/>
        </w:rPr>
        <w:t xml:space="preserve">Res sicer je, da 1. alineja prvega odstavka 338. člena ZUreP-3 določa, da z dnem uveljavitve tega zakona preneha veljati ZUreP-2 in se tudi za postopke, ki so bili začeti na njegovi podlagi, ne uporablja več, vendar uporaba navedene določbe v zvezi z določitvijo denarnega nadomestila  zaradi omejitve uporabe nepremičnine za čas od njene dejanske uporabe do pravnomočne razlastitve,  ni enotna.  V  sklepu Višjega sodišča v Ljubljani, opr. št. I Cp 147/2023 z dne 20. 6. 2023 je sodišče druge stopnje zavzelo stališče, da ZureP-3 predstavlja pravno podlago za določitev odškodnine zaradi razlastitve in z dnem njegove uveljavitve preneha veljati ZUreP-2. Torej se ZUreP-3 uporablja  tudi v postopku za določitev odškodnine, ki se je začel pred njegovo uveljavitvijo, torej še v času, ko je veljal ZureP-2. Nasprotno stališče  je zavzelo sodišče druge stopnje v sklepu, opr. št. I Cp 328/2025 z dne 23. 4. 2025, v katerem je  v postopku za določitev odškodnine, ki se je sicer začel že v času veljavnosti ZUreP-3, vendar se je obdobje plačila nadomestila za nezmožnost uporabe nanašalo na obdobje, ko sta bila v veljavnosti ZUreP-2 in ZUreP-1, ki omejitve odškodnine nista predpisovala, zavzelo stališče, da sta za odločanje o višini denarnega nadomestila še naprej merodajna ZUreP-1 in ZUreP-2. </w:t>
      </w:r>
    </w:p>
    <w:p w14:paraId="6E220B38" w14:textId="77777777" w:rsidR="00695AE2" w:rsidRPr="00CB5050" w:rsidRDefault="00695AE2" w:rsidP="00695AE2">
      <w:pPr>
        <w:shd w:val="clear" w:color="auto" w:fill="FFFFFF"/>
        <w:spacing w:line="240" w:lineRule="auto"/>
        <w:jc w:val="both"/>
        <w:rPr>
          <w:rFonts w:eastAsia="Times New Roman"/>
          <w:color w:val="000000"/>
          <w:lang w:eastAsia="sl-SI"/>
        </w:rPr>
      </w:pPr>
    </w:p>
    <w:p w14:paraId="2B1558AF" w14:textId="77777777" w:rsidR="00695AE2" w:rsidRPr="00CB5050" w:rsidRDefault="00695AE2" w:rsidP="00695AE2">
      <w:pPr>
        <w:shd w:val="clear" w:color="auto" w:fill="FFFFFF"/>
        <w:spacing w:line="240" w:lineRule="auto"/>
        <w:jc w:val="both"/>
        <w:rPr>
          <w:rFonts w:eastAsia="Times New Roman"/>
          <w:lang w:eastAsia="sl-SI"/>
        </w:rPr>
      </w:pPr>
      <w:r w:rsidRPr="00CB5050">
        <w:rPr>
          <w:rFonts w:eastAsia="Times New Roman"/>
          <w:color w:val="000000"/>
          <w:lang w:eastAsia="sl-SI"/>
        </w:rPr>
        <w:t>V eni od razlastitvenih zadev je p</w:t>
      </w:r>
      <w:r w:rsidRPr="00CB5050">
        <w:rPr>
          <w:rFonts w:eastAsia="Times New Roman"/>
          <w:lang w:eastAsia="sl-SI"/>
        </w:rPr>
        <w:t xml:space="preserve">redlagatelj vložil predlog za določitev odškodnine za nepremičnini, ki sta bili v korist Republike Slovenije (v nadaljevanju: nasprotna udeleženka) razlaščeni predlagatelju na podlagi odločbe upravne enote, ki je postala pravnomočna. </w:t>
      </w:r>
    </w:p>
    <w:p w14:paraId="6CF7F66E" w14:textId="77777777" w:rsidR="00695AE2" w:rsidRPr="00CB5050" w:rsidRDefault="00695AE2" w:rsidP="00695AE2">
      <w:pPr>
        <w:spacing w:line="240" w:lineRule="auto"/>
        <w:jc w:val="both"/>
        <w:rPr>
          <w:rFonts w:eastAsia="Times New Roman"/>
          <w:lang w:eastAsia="sl-SI"/>
        </w:rPr>
      </w:pPr>
    </w:p>
    <w:p w14:paraId="7FB5D763"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Sodišče prve stopnje je s sklepom nasprotni udeleženki naložilo plačilo odškodnine in zamudnih obresti. </w:t>
      </w:r>
    </w:p>
    <w:p w14:paraId="7E14F3DC" w14:textId="77777777" w:rsidR="00695AE2" w:rsidRPr="00CB5050" w:rsidRDefault="00695AE2" w:rsidP="00695AE2">
      <w:pPr>
        <w:spacing w:line="240" w:lineRule="auto"/>
        <w:jc w:val="both"/>
        <w:rPr>
          <w:rFonts w:eastAsia="Times New Roman"/>
          <w:b/>
          <w:bCs/>
          <w:lang w:eastAsia="sl-SI"/>
        </w:rPr>
      </w:pPr>
    </w:p>
    <w:p w14:paraId="04DC4BB7" w14:textId="77777777" w:rsidR="00695AE2" w:rsidRPr="00CB5050" w:rsidRDefault="00695AE2" w:rsidP="00695AE2">
      <w:pPr>
        <w:spacing w:line="240" w:lineRule="auto"/>
        <w:jc w:val="both"/>
        <w:rPr>
          <w:rFonts w:eastAsia="Aptos"/>
        </w:rPr>
      </w:pPr>
      <w:r w:rsidRPr="00CB5050">
        <w:rPr>
          <w:rFonts w:eastAsia="Aptos"/>
        </w:rPr>
        <w:t>Sodišče prve stopnje</w:t>
      </w:r>
      <w:r w:rsidRPr="00CB5050">
        <w:rPr>
          <w:rFonts w:eastAsia="Aptos"/>
          <w:color w:val="FF0000"/>
        </w:rPr>
        <w:t xml:space="preserve"> </w:t>
      </w:r>
      <w:r w:rsidRPr="00CB5050">
        <w:rPr>
          <w:rFonts w:eastAsia="Aptos"/>
        </w:rPr>
        <w:t xml:space="preserve">je predlagatelju priznalo zakonske zamudne obresti od valoriziranega zneska odškodnine, in sicer od dneva odvzema iz posesti, pri čemer je v skladu z osmim odstavkom 109. člena ZUreP-3 omejilo tek zamudnih obresti do izdaje odločbe sodišča prve stopnje oziroma do višine odmerjene odškodnine. Neplačane zakonske zamudne obresti od zneska odškodnine so na dan izdaje sklepa o odmeri odškodnine namreč že presegle znesek odmerjene odškodnine, zato je sodišče prve stopnje te priznalo zgolj v višini priznane odškodnine. </w:t>
      </w:r>
    </w:p>
    <w:p w14:paraId="12516AA6" w14:textId="77777777" w:rsidR="00695AE2" w:rsidRPr="00CB5050" w:rsidRDefault="00695AE2" w:rsidP="00695AE2">
      <w:pPr>
        <w:spacing w:line="240" w:lineRule="auto"/>
        <w:jc w:val="both"/>
        <w:rPr>
          <w:rFonts w:eastAsia="Aptos"/>
        </w:rPr>
      </w:pPr>
    </w:p>
    <w:p w14:paraId="58751A80" w14:textId="77777777" w:rsidR="00695AE2" w:rsidRPr="00CB5050" w:rsidRDefault="00695AE2" w:rsidP="00695AE2">
      <w:pPr>
        <w:spacing w:line="240" w:lineRule="auto"/>
        <w:jc w:val="both"/>
        <w:rPr>
          <w:rFonts w:eastAsia="Aptos"/>
          <w:color w:val="000000"/>
        </w:rPr>
      </w:pPr>
      <w:r w:rsidRPr="00CB5050">
        <w:rPr>
          <w:rFonts w:eastAsia="Aptos"/>
          <w:color w:val="000000"/>
        </w:rPr>
        <w:t xml:space="preserve">Sodišče druge stopnje je delno ugodilo pritožbi predlagatelja, in sicer mu je priznalo zamudne obresti od odškodnine za čas od odvzema iz posesti do konca veljavnosti ZUreP-2 ter pojasnilo, </w:t>
      </w:r>
      <w:r w:rsidRPr="00CB5050">
        <w:rPr>
          <w:rFonts w:eastAsia="Aptos"/>
          <w:color w:val="000000"/>
        </w:rPr>
        <w:lastRenderedPageBreak/>
        <w:t xml:space="preserve">da ker te dosegajo oziroma presegajo glavnico, so z dnem uporabe ZUreP-3 (s 1. 6. 2022), ki je uveljavil načelo </w:t>
      </w:r>
      <w:r w:rsidRPr="00CB5050">
        <w:rPr>
          <w:rFonts w:eastAsia="Aptos"/>
          <w:i/>
          <w:iCs/>
          <w:color w:val="000000"/>
        </w:rPr>
        <w:t>ne ultra alterum tantum</w:t>
      </w:r>
      <w:r w:rsidRPr="00CB5050">
        <w:rPr>
          <w:rFonts w:eastAsia="Aptos"/>
          <w:color w:val="000000"/>
        </w:rPr>
        <w:t xml:space="preserve">, prenehale teči. </w:t>
      </w:r>
    </w:p>
    <w:p w14:paraId="1F86832F" w14:textId="77777777" w:rsidR="00695AE2" w:rsidRPr="00CB5050" w:rsidRDefault="00695AE2" w:rsidP="00695AE2">
      <w:pPr>
        <w:spacing w:line="240" w:lineRule="auto"/>
        <w:jc w:val="both"/>
        <w:rPr>
          <w:rFonts w:eastAsia="Aptos"/>
          <w:color w:val="FF0000"/>
        </w:rPr>
      </w:pPr>
    </w:p>
    <w:p w14:paraId="06635E05" w14:textId="77777777" w:rsidR="00695AE2" w:rsidRPr="00CB5050" w:rsidRDefault="00695AE2" w:rsidP="00695AE2">
      <w:pPr>
        <w:spacing w:line="240" w:lineRule="auto"/>
        <w:jc w:val="both"/>
        <w:rPr>
          <w:rFonts w:eastAsia="Aptos"/>
        </w:rPr>
      </w:pPr>
      <w:r w:rsidRPr="00CB5050">
        <w:rPr>
          <w:rFonts w:eastAsia="Times New Roman"/>
          <w:color w:val="000000"/>
          <w:lang w:eastAsia="sl-SI"/>
        </w:rPr>
        <w:t>Zaradi neenotne sodne prakse je Državno odvetništvo RS v</w:t>
      </w:r>
      <w:r w:rsidRPr="00CB5050">
        <w:rPr>
          <w:rFonts w:eastAsia="Aptos"/>
        </w:rPr>
        <w:t xml:space="preserve">ložilo predlog za dopustitev revizije. </w:t>
      </w:r>
    </w:p>
    <w:p w14:paraId="2D1AA548" w14:textId="77777777" w:rsidR="00695AE2" w:rsidRPr="00CB5050" w:rsidRDefault="00695AE2" w:rsidP="00695AE2">
      <w:pPr>
        <w:spacing w:line="240" w:lineRule="auto"/>
        <w:jc w:val="both"/>
        <w:rPr>
          <w:rFonts w:eastAsia="Aptos"/>
        </w:rPr>
      </w:pPr>
    </w:p>
    <w:p w14:paraId="72438F39"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Vrhovno sodišče RS je s sklepom, opr. št. II DoR 245/2025 z dne 20. 8. 2025 dopustilo revizijo na naslednje revizijsko vprašanje:</w:t>
      </w:r>
    </w:p>
    <w:p w14:paraId="24DA7645" w14:textId="77777777" w:rsidR="00695AE2" w:rsidRPr="00CB5050" w:rsidRDefault="00695AE2" w:rsidP="00695AE2">
      <w:pPr>
        <w:spacing w:line="240" w:lineRule="auto"/>
        <w:jc w:val="both"/>
        <w:rPr>
          <w:rFonts w:eastAsia="Times New Roman"/>
          <w:color w:val="000000"/>
          <w:lang w:eastAsia="sl-SI"/>
        </w:rPr>
      </w:pPr>
    </w:p>
    <w:p w14:paraId="6BF7F295" w14:textId="77777777" w:rsidR="00695AE2" w:rsidRPr="00CB5050" w:rsidRDefault="00695AE2" w:rsidP="00695AE2">
      <w:pPr>
        <w:spacing w:line="240" w:lineRule="auto"/>
        <w:jc w:val="both"/>
        <w:rPr>
          <w:rFonts w:eastAsia="Times New Roman"/>
          <w:lang w:eastAsia="sl-SI"/>
        </w:rPr>
      </w:pPr>
      <w:r w:rsidRPr="00CB5050">
        <w:rPr>
          <w:rFonts w:eastAsia="Times New Roman"/>
          <w:i/>
          <w:iCs/>
          <w:color w:val="000000"/>
          <w:lang w:eastAsia="sl-SI"/>
        </w:rPr>
        <w:t>»Ali je pri odločanju o zahtevku za plačilo zamudnih obresti v postopku določitve odškodnine zaradi razlastitve, začetem po uveljavitvi ZUreP-3, sodišče dolžno uporabiti ZUreP-3 kot veljavno materialnopravno podlago, zlasti glede določbe osmega odstavka 109. člena, ki določa omejitev višine nadomestila za čas med dejansko in pravno razlastitvijo, ali pa je dopustna uporaba prej veljavnih zakonov (ZureP-1 i nZureP-2), čeprav so ti prenehali veljati že pred začetkom postopka?«.</w:t>
      </w:r>
    </w:p>
    <w:p w14:paraId="22221CD7" w14:textId="77777777" w:rsidR="00695AE2" w:rsidRPr="00CB5050" w:rsidRDefault="00695AE2" w:rsidP="00695AE2">
      <w:pPr>
        <w:shd w:val="clear" w:color="auto" w:fill="FFFFFF"/>
        <w:spacing w:line="240" w:lineRule="auto"/>
        <w:jc w:val="both"/>
        <w:rPr>
          <w:rFonts w:eastAsia="Times New Roman"/>
          <w:color w:val="000000"/>
          <w:lang w:eastAsia="sl-SI"/>
        </w:rPr>
      </w:pPr>
    </w:p>
    <w:p w14:paraId="11B92E5D" w14:textId="77777777" w:rsidR="00695AE2" w:rsidRPr="00CB5050" w:rsidRDefault="00695AE2" w:rsidP="00695AE2">
      <w:pPr>
        <w:shd w:val="clear" w:color="auto" w:fill="FFFFFF"/>
        <w:spacing w:line="240" w:lineRule="auto"/>
        <w:jc w:val="both"/>
        <w:rPr>
          <w:rFonts w:eastAsia="Times New Roman"/>
          <w:color w:val="000000"/>
          <w:lang w:eastAsia="sl-SI"/>
        </w:rPr>
      </w:pPr>
      <w:r w:rsidRPr="00CB5050">
        <w:rPr>
          <w:rFonts w:eastAsia="Times New Roman"/>
          <w:color w:val="000000"/>
          <w:lang w:eastAsia="sl-SI"/>
        </w:rPr>
        <w:t>O reviziji Vrhovno sodišče RS še ni odločilo.</w:t>
      </w:r>
      <w:r w:rsidRPr="00CB5050">
        <w:rPr>
          <w:rFonts w:ascii="Segoe UI" w:eastAsia="Calibri" w:hAnsi="Segoe UI" w:cs="Segoe UI"/>
          <w:sz w:val="18"/>
          <w:szCs w:val="18"/>
        </w:rPr>
        <w:t xml:space="preserve"> </w:t>
      </w:r>
    </w:p>
    <w:p w14:paraId="0834597D" w14:textId="77777777" w:rsidR="00695AE2" w:rsidRPr="00CB5050" w:rsidRDefault="00695AE2" w:rsidP="00695AE2">
      <w:pPr>
        <w:spacing w:line="240" w:lineRule="auto"/>
        <w:jc w:val="both"/>
        <w:rPr>
          <w:rFonts w:eastAsia="Calibri"/>
          <w:b/>
          <w:bCs/>
        </w:rPr>
      </w:pPr>
    </w:p>
    <w:p w14:paraId="5B59D09F"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V predmetni zadevi je časovni razkorak med dejansko razlastitvijo in pravno razlastitvijo trajal od 1. 2. 2009 do 19. 5. 2022. Ob dejanskem posegu v nepremičnini predlagatelja je pravni okvir navedenega področja urejal ZUreP-1, ki se je uporabljal od 1. 1. 2003 do 31. 5. 2018. Sledil je ZUreP-2, ki se je uporabljal od 1. 6. 2018 do 31. 5. 2022, nato pa je stopil v veljavo ZUreP-3, ki se je pričel uporabljati 1. 6. 2022. ZUreP-2 je v petem odstavku 105. člena izrecno predvidel nadomestilo za čas od dejanske uporabe nepremičnine za gradnjo do pravne razlastitve. ZUreP-3 je nadomestilo za čas od dejanske do pravne razlastitve konkretiziral ter zamejil s pravilom, ki je po vsebini enako pravilu </w:t>
      </w:r>
      <w:r w:rsidRPr="00CB5050">
        <w:rPr>
          <w:rFonts w:eastAsia="Times New Roman"/>
          <w:bCs/>
          <w:i/>
          <w:iCs/>
          <w:lang w:eastAsia="sl-SI"/>
        </w:rPr>
        <w:t>ne ultra alterum tantum</w:t>
      </w:r>
      <w:r w:rsidRPr="00CB5050">
        <w:rPr>
          <w:rFonts w:eastAsia="Times New Roman"/>
          <w:bCs/>
          <w:lang w:eastAsia="sl-SI"/>
        </w:rPr>
        <w:t xml:space="preserve">. </w:t>
      </w:r>
    </w:p>
    <w:p w14:paraId="1FA55727" w14:textId="77777777" w:rsidR="00695AE2" w:rsidRPr="00CB5050" w:rsidRDefault="00695AE2" w:rsidP="00695AE2">
      <w:pPr>
        <w:spacing w:line="240" w:lineRule="auto"/>
        <w:jc w:val="both"/>
        <w:rPr>
          <w:rFonts w:eastAsia="Times New Roman"/>
          <w:bCs/>
          <w:lang w:eastAsia="sl-SI"/>
        </w:rPr>
      </w:pPr>
    </w:p>
    <w:p w14:paraId="250D4285" w14:textId="77777777" w:rsidR="00695AE2" w:rsidRPr="00CB5050" w:rsidRDefault="00695AE2" w:rsidP="00695AE2">
      <w:pPr>
        <w:spacing w:line="240" w:lineRule="auto"/>
        <w:jc w:val="both"/>
        <w:rPr>
          <w:rFonts w:eastAsia="Aptos"/>
        </w:rPr>
      </w:pPr>
      <w:r w:rsidRPr="00CB5050">
        <w:rPr>
          <w:rFonts w:eastAsia="Aptos"/>
        </w:rPr>
        <w:t xml:space="preserve">Nasprotna udeleženka meni, da je sodišče druge stopnje zmotno presodilo, da v predmetni zadevi pri presoji teka zakonskih zamudnih obresti ni mogoče za celotno obdobje uporabiti določb ZUreP-3, ker naj se ta ne bi uporabljal v času pravnomočnosti odločbe o razlastitvi. Čeprav pravilno ugotavlja, da se je ZUreP-3 začel uporabljati 1. 6. 2022, napačno sklepa, da sta v zvezi z obrestnim delom zahtevka enako merodajna tudi ZUreP-2 (veljaven od 1. 6. 2018 do 31. 5. 2022) in pred njim ZUreP-1 (veljaven od 1. 3. 2003), pri čemer svojega stališča niti ne obrazloži. </w:t>
      </w:r>
    </w:p>
    <w:p w14:paraId="08BDA982" w14:textId="77777777" w:rsidR="00695AE2" w:rsidRPr="00CB5050" w:rsidRDefault="00695AE2" w:rsidP="00695AE2">
      <w:pPr>
        <w:spacing w:line="240" w:lineRule="auto"/>
        <w:jc w:val="both"/>
        <w:rPr>
          <w:rFonts w:eastAsia="Aptos"/>
        </w:rPr>
      </w:pPr>
    </w:p>
    <w:p w14:paraId="6F1C94C0" w14:textId="77777777" w:rsidR="00695AE2" w:rsidRPr="00CB5050" w:rsidRDefault="00695AE2" w:rsidP="00695AE2">
      <w:pPr>
        <w:spacing w:line="240" w:lineRule="auto"/>
        <w:jc w:val="both"/>
        <w:rPr>
          <w:rFonts w:eastAsia="Aptos"/>
        </w:rPr>
      </w:pPr>
      <w:r w:rsidRPr="00CB5050">
        <w:rPr>
          <w:rFonts w:eastAsia="Aptos"/>
        </w:rPr>
        <w:t xml:space="preserve">Takšno stališče je materialnopravno napačno, saj temelji na napačni uporabi pravila o časovni veljavnosti predpisov. V predmetni zadevi je bil postopek začet 19. 9. 2022, odločitev sodišča prve stopnje pa je bila izdana 17. 12. 2024, torej v času, ko je bil že v veljavi in uporabi ZUreP-3. Po ustaljenem pravnem načelu </w:t>
      </w:r>
      <w:r w:rsidRPr="00CB5050">
        <w:rPr>
          <w:rFonts w:eastAsia="Aptos"/>
          <w:i/>
          <w:iCs/>
        </w:rPr>
        <w:t>tempus regit actum</w:t>
      </w:r>
      <w:r w:rsidRPr="00CB5050">
        <w:rPr>
          <w:rFonts w:eastAsia="Aptos"/>
        </w:rPr>
        <w:t xml:space="preserve"> se materialno pravo uporablja po zakonu, veljavnem v času odločanja, razen če zakon ne določa drugače – česar ZUreP-3 ne določa. ZUreP-3 v prehodnih in končnih določbah namreč ni določil, da se za tista dejanska stanja, ki so nastala pred njegovo uveljavitvijo, uporabljajo določbe ZUreP-2 ali ZUreP-1, temveč ravno nasprotno, v prvem odstavku 338. člena je izrecno določil, da z dnem uveljavitve ZUreP-3 preneha veljati ZUreP-2. </w:t>
      </w:r>
    </w:p>
    <w:p w14:paraId="36837041" w14:textId="77777777" w:rsidR="00695AE2" w:rsidRPr="00CB5050" w:rsidRDefault="00695AE2" w:rsidP="00695AE2">
      <w:pPr>
        <w:spacing w:line="240" w:lineRule="auto"/>
        <w:jc w:val="both"/>
        <w:rPr>
          <w:rFonts w:eastAsia="Calibri"/>
        </w:rPr>
      </w:pPr>
    </w:p>
    <w:p w14:paraId="6B7633AB" w14:textId="77777777" w:rsidR="00695AE2" w:rsidRPr="00CB5050" w:rsidRDefault="00695AE2" w:rsidP="00695AE2">
      <w:pPr>
        <w:spacing w:line="240" w:lineRule="auto"/>
        <w:jc w:val="both"/>
        <w:rPr>
          <w:rFonts w:eastAsia="Aptos"/>
        </w:rPr>
      </w:pPr>
      <w:r w:rsidRPr="00CB5050">
        <w:rPr>
          <w:rFonts w:eastAsia="Aptos"/>
        </w:rPr>
        <w:t>Ker torej ZUreP-3 ne vsebuje prehodnih določb, ki bi dopuščale uporabo ZUreP-2 ali ZUreP-1 (ta je bil razveljavljen že z uveljavitvijo ZUreP-2)</w:t>
      </w:r>
      <w:r w:rsidRPr="00CB5050">
        <w:rPr>
          <w:rFonts w:eastAsia="Aptos"/>
          <w:b/>
          <w:bCs/>
        </w:rPr>
        <w:t>,</w:t>
      </w:r>
      <w:r w:rsidRPr="00CB5050">
        <w:rPr>
          <w:rFonts w:eastAsia="Aptos"/>
        </w:rPr>
        <w:t xml:space="preserve"> je uporaba teh zakonov po mnenju nasprotne udeleženke v celoti brez zakonske podlage. </w:t>
      </w:r>
    </w:p>
    <w:p w14:paraId="30A920F5" w14:textId="77777777" w:rsidR="00695AE2" w:rsidRPr="00CB5050" w:rsidRDefault="00695AE2" w:rsidP="00695AE2">
      <w:pPr>
        <w:spacing w:line="240" w:lineRule="auto"/>
        <w:jc w:val="both"/>
        <w:rPr>
          <w:rFonts w:eastAsia="Aptos"/>
        </w:rPr>
      </w:pPr>
    </w:p>
    <w:p w14:paraId="636217F7" w14:textId="77777777" w:rsidR="00695AE2" w:rsidRPr="00CB5050" w:rsidRDefault="00695AE2" w:rsidP="00695AE2">
      <w:pPr>
        <w:spacing w:line="240" w:lineRule="auto"/>
        <w:jc w:val="both"/>
        <w:rPr>
          <w:rFonts w:eastAsia="Aptos"/>
        </w:rPr>
      </w:pPr>
      <w:r w:rsidRPr="00CB5050">
        <w:rPr>
          <w:rFonts w:eastAsia="Aptos"/>
        </w:rPr>
        <w:t>Sodišče druge stopnje je napačno razlagalo medsebojno razmerje med ZUreP-3 in prejšnjimi zakoni, saj je prezrlo, da je zakonodajalec z uveljavitvijo nove ureditve želel vzpostaviti enotna in jasna pravila, ki odpravljajo pravno negotovost glede višine in obsega nadomestila.</w:t>
      </w:r>
    </w:p>
    <w:p w14:paraId="453E4B14" w14:textId="77777777" w:rsidR="00695AE2" w:rsidRPr="00CB5050" w:rsidRDefault="00695AE2" w:rsidP="00695AE2">
      <w:pPr>
        <w:spacing w:line="240" w:lineRule="auto"/>
        <w:jc w:val="both"/>
        <w:rPr>
          <w:rFonts w:eastAsia="Calibri"/>
        </w:rPr>
      </w:pPr>
    </w:p>
    <w:p w14:paraId="01D30AC6" w14:textId="77777777" w:rsidR="00695AE2" w:rsidRPr="00CB5050" w:rsidRDefault="00695AE2" w:rsidP="00695AE2">
      <w:pPr>
        <w:spacing w:line="240" w:lineRule="auto"/>
        <w:jc w:val="both"/>
        <w:rPr>
          <w:rFonts w:eastAsia="Aptos"/>
        </w:rPr>
      </w:pPr>
      <w:r w:rsidRPr="00CB5050">
        <w:rPr>
          <w:rFonts w:eastAsia="Aptos"/>
        </w:rPr>
        <w:t>ZUreP-3 vzpostavlja pravico do zakonskih zamudnih obresti za čas med dejansko in pravno razlastitvijo ter hkrati določa pravila o njihovem obsegu in dopustni višini. Zato v postopkih, ki so se začeli po uveljavitvi ZUreP-3 (po 1. 6. 2022), ni mogoče uporabiti predhodnih zakonov (ZUreP-1 ali ZUreP-2) kot podlage za odločitev. Ta sta namreč s samim zakonom prenehala veljati (1. alineja prvega odstavka 338. člena ZUreP-3), ZUreP-3 pa vsebuje popolno in izrecno ureditev tudi glede obrestnega dela nadomestila. Sodišče bi moralo uporabiti zakon, ki je veljal v času odločanja, še posebej ker ZUreP-3 vsebuje neposredno in celovito ureditev tudi za ta element nadomestila.</w:t>
      </w:r>
    </w:p>
    <w:p w14:paraId="1850EC81" w14:textId="77777777" w:rsidR="00695AE2" w:rsidRPr="00CB5050" w:rsidRDefault="00695AE2" w:rsidP="00695AE2">
      <w:pPr>
        <w:spacing w:line="240" w:lineRule="auto"/>
        <w:jc w:val="both"/>
        <w:rPr>
          <w:rFonts w:eastAsia="Aptos"/>
        </w:rPr>
      </w:pPr>
    </w:p>
    <w:p w14:paraId="738DC889" w14:textId="77777777" w:rsidR="00695AE2" w:rsidRPr="00CB5050" w:rsidRDefault="00695AE2" w:rsidP="00695AE2">
      <w:pPr>
        <w:spacing w:line="240" w:lineRule="auto"/>
        <w:jc w:val="both"/>
        <w:rPr>
          <w:rFonts w:eastAsia="Calibri"/>
        </w:rPr>
      </w:pPr>
      <w:r w:rsidRPr="00CB5050">
        <w:rPr>
          <w:rFonts w:eastAsia="Calibri"/>
        </w:rPr>
        <w:t xml:space="preserve">V predmetni zadevi gre za pravno vprašanje, ki je pomembno za zagotovitev pravne varnosti in enotne uporabe prava. Odločitev o vprašanju bo imela neposreden vpliv na pravilno uporabo materialnega prava v zvezi s postopki določitve odškodnine zaradi razlastitve, prav tako pa je vprašanje pomembno za zagotovitev pravne varnosti v razmerju med razlastitvenim upravičencem in razlastitvenim zavezancem. </w:t>
      </w:r>
    </w:p>
    <w:bookmarkEnd w:id="918"/>
    <w:p w14:paraId="21531F0A" w14:textId="77777777" w:rsidR="00695AE2" w:rsidRPr="00CB5050" w:rsidRDefault="00695AE2" w:rsidP="00695AE2">
      <w:pPr>
        <w:spacing w:line="240" w:lineRule="auto"/>
        <w:jc w:val="both"/>
        <w:rPr>
          <w:rFonts w:eastAsia="Calibri"/>
          <w:color w:val="FF0000"/>
        </w:rPr>
      </w:pPr>
    </w:p>
    <w:p w14:paraId="0CDA926F" w14:textId="77777777" w:rsidR="00695AE2" w:rsidRPr="00CB5050" w:rsidRDefault="00695AE2" w:rsidP="00695AE2">
      <w:pPr>
        <w:pStyle w:val="Naslov4"/>
      </w:pPr>
      <w:bookmarkStart w:id="919" w:name="_Toc168845042"/>
      <w:bookmarkStart w:id="920" w:name="_Toc191562033"/>
      <w:bookmarkStart w:id="921" w:name="_Toc223094031"/>
      <w:r w:rsidRPr="00CB5050">
        <w:t>Postopki razglasitve pogrešanca za mrtvega</w:t>
      </w:r>
      <w:bookmarkEnd w:id="919"/>
      <w:bookmarkEnd w:id="920"/>
      <w:bookmarkEnd w:id="921"/>
    </w:p>
    <w:p w14:paraId="383070F6" w14:textId="77777777" w:rsidR="00695AE2" w:rsidRPr="00CB5050" w:rsidRDefault="00695AE2" w:rsidP="00695AE2">
      <w:pPr>
        <w:spacing w:line="240" w:lineRule="auto"/>
        <w:jc w:val="both"/>
        <w:rPr>
          <w:rFonts w:eastAsia="Calibri"/>
          <w:szCs w:val="22"/>
        </w:rPr>
      </w:pPr>
    </w:p>
    <w:p w14:paraId="356A4F88" w14:textId="77777777" w:rsidR="00695AE2" w:rsidRPr="00CB5050" w:rsidRDefault="00695AE2" w:rsidP="00695AE2">
      <w:pPr>
        <w:widowControl w:val="0"/>
        <w:autoSpaceDE w:val="0"/>
        <w:autoSpaceDN w:val="0"/>
        <w:adjustRightInd w:val="0"/>
        <w:spacing w:line="240" w:lineRule="auto"/>
        <w:jc w:val="both"/>
        <w:rPr>
          <w:rFonts w:eastAsia="Calibri"/>
          <w:szCs w:val="22"/>
        </w:rPr>
      </w:pPr>
      <w:r w:rsidRPr="00CB5050">
        <w:rPr>
          <w:rFonts w:eastAsia="Times New Roman"/>
          <w:lang w:eastAsia="sl-SI"/>
        </w:rPr>
        <w:t>Državno odvetništvo RS meni, da je večje število zadev na tem področju posledica intenzivnejšega urejanja državne infrastrukture na nekaterih območjih.</w:t>
      </w:r>
      <w:r w:rsidRPr="00CB5050">
        <w:rPr>
          <w:rFonts w:eastAsia="Calibri"/>
          <w:szCs w:val="22"/>
        </w:rPr>
        <w:t xml:space="preserve"> Gre za primere, ko Direkcija za infrastrukturo ali drug upravljavec zaradi ureditve premoženjskopravnih razmerij na cestah, ki so v upravljanju državnih organov, teh razmerij ne more urediti, preden ni speljan postopek proglasitve za mrtvega, kadar iz zemljiške knjige izhaja, da je lastništvo vpisano na osebo, za katero se predvideva, da je že več let mrtva. V nadaljevanju, po pravnomočnosti sklepa o razglasitvi pogrešanega za mrtvega, sledi predlog za uvedbo zapuščinskega postopka. </w:t>
      </w:r>
    </w:p>
    <w:p w14:paraId="4A79D6CB"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p>
    <w:p w14:paraId="3F32010A"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r w:rsidRPr="00CB5050">
        <w:rPr>
          <w:rFonts w:eastAsia="Times New Roman"/>
          <w:lang w:eastAsia="sl-SI"/>
        </w:rPr>
        <w:t xml:space="preserve">V teh primerih se pogosto naleti na nepremičnine, pri katerih so v zemljiški knjigi navedeni pomanjkljivi podatki, na podlagi katerih osebe ni mogoče identificirati, z drugimi podatki pa običajno ne razpolagamo. Problematika, ki jo pri tem zaznavamo, je torej pomanjkanje podatkov, ki nam jih za potrebe vložitve predloga za razglasitev pogrešanca za mrtvega v zvezi s pogrešanimi pošljejo zastopani subjekti. V večini primerov dobimo le odgovor upravne enote in na primer škofijskega arhiva, s katerim sporočajo, da na podlagi pomanjkljivih podatkov, ki so jim bili poslani, osebe ne morejo identificirati. </w:t>
      </w:r>
      <w:r w:rsidRPr="00CB5050">
        <w:rPr>
          <w:rFonts w:eastAsia="Calibri"/>
        </w:rPr>
        <w:t xml:space="preserve">V zemljiški knjigi so pri starejših vpisih dejansko navedeni pomanjkljivi osebni podatki lastnika oziroma podatki, na podlagi katerih osebe dejansko ni mogoče identificirati, z drugimi podatki pa praviloma ne razpolagamo oziroma do njih ne moremo priti. Osebne podatke teh oseb je tako mogoče najti le na podlagi kakšnih geodetskih odločb, vendar le, če je bila nepremičnina predmet tega postopka. </w:t>
      </w:r>
      <w:r w:rsidRPr="00CB5050">
        <w:rPr>
          <w:rFonts w:eastAsia="Times New Roman"/>
          <w:lang w:eastAsia="sl-SI"/>
        </w:rPr>
        <w:t xml:space="preserve">V večini primerov gre sicer za osebe, ki izpolnjujejo pogoj iz </w:t>
      </w:r>
      <w:r w:rsidRPr="00CB5050">
        <w:rPr>
          <w:rFonts w:eastAsia="Calibri"/>
        </w:rPr>
        <w:t xml:space="preserve">1. in 2. točke prvega odstavka 123. člena ZNP-1, in sicer da o pogrešanem v zadnjih petih letih ni nobenega poročila ter da je od njegovega rojstva preteklo 70 let. Težava pa lahko nastane, ko po uspešno zaključenem postopku razglasitve pogrešanca za mrtvega nepremičnina na podlagi kaducitete postane last Republike Slovenije, dejansko pa se kasneje izkaže, da je bil v preteklosti po tej osebi že izveden zapuščinski postopek z znanimi dediči, zadevna nepremičnina pa ni bila predmet tega </w:t>
      </w:r>
      <w:r w:rsidRPr="00CB5050">
        <w:rPr>
          <w:rFonts w:eastAsia="Calibri"/>
        </w:rPr>
        <w:lastRenderedPageBreak/>
        <w:t xml:space="preserve">postopka. </w:t>
      </w:r>
    </w:p>
    <w:p w14:paraId="7C5EA78F"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p>
    <w:p w14:paraId="564F0B5D"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r w:rsidRPr="00CB5050">
        <w:rPr>
          <w:rFonts w:eastAsia="Times New Roman"/>
          <w:lang w:eastAsia="sl-SI"/>
        </w:rPr>
        <w:t xml:space="preserve">Prav tako v primeru pomanjkljivih podatkov, s katerimi razpolagamo v teh postopkih, obstaja tudi bojazen, da bi sodišče predlogu za razglasitev pogrešanega za mrtvega ugodilo in bi bila posledično za mrtvo razglašena oseba, ki to dejansko ni. </w:t>
      </w:r>
    </w:p>
    <w:p w14:paraId="3173D6B6"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p>
    <w:p w14:paraId="4400DB7C"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r w:rsidRPr="00CB5050">
        <w:rPr>
          <w:rFonts w:eastAsia="Times New Roman"/>
          <w:lang w:eastAsia="sl-SI"/>
        </w:rPr>
        <w:t xml:space="preserve">V teh postopkih je praksa sodišč pri uporabi 126. člena ZNP-1 glede opravljanja poizvedb različna, poleg tega prič običajno v teh postopkih ni.  </w:t>
      </w:r>
    </w:p>
    <w:p w14:paraId="6FF0F5F1" w14:textId="77777777" w:rsidR="00695AE2" w:rsidRPr="00CB5050" w:rsidRDefault="00695AE2" w:rsidP="00695AE2">
      <w:pPr>
        <w:widowControl w:val="0"/>
        <w:autoSpaceDE w:val="0"/>
        <w:autoSpaceDN w:val="0"/>
        <w:adjustRightInd w:val="0"/>
        <w:spacing w:line="240" w:lineRule="auto"/>
        <w:jc w:val="both"/>
        <w:rPr>
          <w:rFonts w:eastAsia="Times New Roman"/>
          <w:lang w:eastAsia="sl-SI"/>
        </w:rPr>
      </w:pPr>
    </w:p>
    <w:p w14:paraId="0A180CD9" w14:textId="77777777" w:rsidR="00695AE2" w:rsidRDefault="00695AE2" w:rsidP="00695AE2">
      <w:pPr>
        <w:widowControl w:val="0"/>
        <w:autoSpaceDE w:val="0"/>
        <w:autoSpaceDN w:val="0"/>
        <w:adjustRightInd w:val="0"/>
        <w:spacing w:line="240" w:lineRule="auto"/>
        <w:jc w:val="both"/>
        <w:rPr>
          <w:rFonts w:eastAsia="Calibri"/>
          <w:shd w:val="clear" w:color="auto" w:fill="FFFFFF"/>
        </w:rPr>
      </w:pPr>
      <w:r w:rsidRPr="00CB5050">
        <w:rPr>
          <w:rFonts w:eastAsia="Times New Roman"/>
          <w:lang w:eastAsia="sl-SI"/>
        </w:rPr>
        <w:t>Od zadnje spremembe ZNP (</w:t>
      </w:r>
      <w:r w:rsidRPr="00CB5050">
        <w:rPr>
          <w:rFonts w:eastAsia="Calibri"/>
          <w:shd w:val="clear" w:color="auto" w:fill="FFFFFF"/>
        </w:rPr>
        <w:t>Uradni list RS, št. </w:t>
      </w:r>
      <w:hyperlink r:id="rId75" w:tooltip="Zakon o nepravdnem postopku (ZNP-1) (Uradni list RS, št. 16-613/2019)" w:history="1">
        <w:r w:rsidRPr="00CB5050">
          <w:rPr>
            <w:rFonts w:eastAsia="Calibri"/>
            <w:szCs w:val="22"/>
            <w:shd w:val="clear" w:color="auto" w:fill="FFFFFF"/>
          </w:rPr>
          <w:t>16/19</w:t>
        </w:r>
      </w:hyperlink>
      <w:r w:rsidRPr="00CB5050">
        <w:rPr>
          <w:rFonts w:eastAsia="Calibri"/>
          <w:shd w:val="clear" w:color="auto" w:fill="FFFFFF"/>
        </w:rPr>
        <w:t xml:space="preserve">, </w:t>
      </w:r>
      <w:r w:rsidRPr="00CB5050">
        <w:rPr>
          <w:rFonts w:eastAsia="Times New Roman"/>
          <w:lang w:eastAsia="sl-SI"/>
        </w:rPr>
        <w:t>ZNP-1</w:t>
      </w:r>
      <w:r w:rsidRPr="00CB5050">
        <w:rPr>
          <w:rFonts w:eastAsia="Calibri"/>
          <w:shd w:val="clear" w:color="auto" w:fill="FFFFFF"/>
        </w:rPr>
        <w:t xml:space="preserve">), gre za spremembo drugega odstavka 126. člena glede postavitve skrbnika za poseben primer pogrešancu, ki ga sodišče izbere med odvetniki ali notarji, se v smislu pridobivanja osebnih podatkov o pogrešancih ni spremenilo nič na bolje, je pa te postopke znatno podražilo (odvetnikom pripada nagrada skladno z odvetniško tarifo). </w:t>
      </w:r>
    </w:p>
    <w:p w14:paraId="57B1A2B1" w14:textId="77777777" w:rsidR="00695AE2" w:rsidRDefault="00695AE2" w:rsidP="00695AE2">
      <w:pPr>
        <w:widowControl w:val="0"/>
        <w:autoSpaceDE w:val="0"/>
        <w:autoSpaceDN w:val="0"/>
        <w:adjustRightInd w:val="0"/>
        <w:spacing w:line="240" w:lineRule="auto"/>
        <w:jc w:val="both"/>
        <w:rPr>
          <w:rFonts w:eastAsia="Calibri"/>
          <w:shd w:val="clear" w:color="auto" w:fill="FFFFFF"/>
        </w:rPr>
      </w:pPr>
    </w:p>
    <w:p w14:paraId="54BB538A" w14:textId="77777777" w:rsidR="00695AE2" w:rsidRDefault="00695AE2" w:rsidP="00695AE2">
      <w:pPr>
        <w:pStyle w:val="Naslov4"/>
        <w:ind w:left="0" w:firstLine="0"/>
        <w:rPr>
          <w:rFonts w:cstheme="minorHAnsi"/>
        </w:rPr>
      </w:pPr>
      <w:bookmarkStart w:id="922" w:name="_Toc223094032"/>
      <w:r w:rsidRPr="008A1E31">
        <w:t>Nepravdni postopek d</w:t>
      </w:r>
      <w:r w:rsidRPr="006D33C0">
        <w:rPr>
          <w:rFonts w:cstheme="minorHAnsi"/>
        </w:rPr>
        <w:t>oločitve funkcionalnega zemljišča k stavbi na podlagi ZVetL-1</w:t>
      </w:r>
      <w:bookmarkEnd w:id="922"/>
      <w:r w:rsidRPr="006D33C0">
        <w:rPr>
          <w:rFonts w:cstheme="minorHAnsi"/>
        </w:rPr>
        <w:t xml:space="preserve"> </w:t>
      </w:r>
    </w:p>
    <w:p w14:paraId="3180BCE9" w14:textId="77777777" w:rsidR="00695AE2" w:rsidRPr="006D33C0" w:rsidRDefault="00695AE2" w:rsidP="00695AE2"/>
    <w:p w14:paraId="32DC0013" w14:textId="77777777" w:rsidR="00695AE2" w:rsidRPr="00E314A2" w:rsidRDefault="00695AE2" w:rsidP="00695AE2">
      <w:pPr>
        <w:spacing w:line="240" w:lineRule="auto"/>
        <w:jc w:val="both"/>
        <w:rPr>
          <w:rFonts w:cstheme="minorHAnsi"/>
          <w:bCs/>
        </w:rPr>
      </w:pPr>
      <w:r w:rsidRPr="00E314A2">
        <w:rPr>
          <w:rFonts w:cstheme="minorHAnsi"/>
          <w:bCs/>
        </w:rPr>
        <w:t>Predlagateljica je v predmetnem postopku zahtevala, da sodišče ugotovi, da predstavljajo določene nepremičnine (med njimi tudi dve nepremičnini v lasti Republike Slovenije) pripadajoče zemljišče k stavbi. Navajala je, da so etažni lastniki te parcele vselej nemoteno koristili kot svoje</w:t>
      </w:r>
      <w:r>
        <w:rPr>
          <w:rFonts w:cstheme="minorHAnsi"/>
          <w:bCs/>
        </w:rPr>
        <w:t xml:space="preserve">, </w:t>
      </w:r>
      <w:r w:rsidRPr="00E314A2">
        <w:rPr>
          <w:rFonts w:cstheme="minorHAnsi"/>
          <w:bCs/>
        </w:rPr>
        <w:t>in sicer naj bi ta zemljišča predstavljala prostore za igro in druženje, vrtove, zelenice, otroška igrala, parkirišča  in podobno. Trdila je, da gre torej za zemljišča, ki so nujno potrebna za redno funkcionalno rabo stavbe. Nasprotni udeleženci, med njimi Republika Slovenija, so predlogu nasprotovali iz razlogov, kot bo podrobneje pojasnjeno v nadaljevanju.</w:t>
      </w:r>
    </w:p>
    <w:p w14:paraId="3CFBB30B" w14:textId="77777777" w:rsidR="00695AE2" w:rsidRPr="00E314A2" w:rsidRDefault="00695AE2" w:rsidP="00695AE2">
      <w:pPr>
        <w:spacing w:line="240" w:lineRule="auto"/>
        <w:jc w:val="both"/>
        <w:rPr>
          <w:rFonts w:cstheme="minorHAnsi"/>
          <w:bCs/>
        </w:rPr>
      </w:pPr>
    </w:p>
    <w:p w14:paraId="1F10742E" w14:textId="77777777" w:rsidR="00695AE2" w:rsidRPr="00E314A2" w:rsidRDefault="00695AE2" w:rsidP="00695AE2">
      <w:pPr>
        <w:spacing w:line="240" w:lineRule="auto"/>
        <w:jc w:val="both"/>
        <w:rPr>
          <w:rFonts w:cstheme="minorHAnsi"/>
          <w:bCs/>
        </w:rPr>
      </w:pPr>
      <w:r>
        <w:rPr>
          <w:rFonts w:cstheme="minorHAnsi"/>
          <w:bCs/>
        </w:rPr>
        <w:t>V p</w:t>
      </w:r>
      <w:r w:rsidRPr="00E314A2">
        <w:rPr>
          <w:rFonts w:cstheme="minorHAnsi"/>
          <w:bCs/>
        </w:rPr>
        <w:t>ostopk</w:t>
      </w:r>
      <w:r>
        <w:rPr>
          <w:rFonts w:cstheme="minorHAnsi"/>
          <w:bCs/>
        </w:rPr>
        <w:t>u</w:t>
      </w:r>
      <w:r w:rsidRPr="00E314A2">
        <w:rPr>
          <w:rFonts w:cstheme="minorHAnsi"/>
          <w:bCs/>
        </w:rPr>
        <w:t xml:space="preserve"> pred</w:t>
      </w:r>
      <w:r>
        <w:rPr>
          <w:rFonts w:cstheme="minorHAnsi"/>
          <w:bCs/>
        </w:rPr>
        <w:t xml:space="preserve"> sodiščem prve stopnje</w:t>
      </w:r>
      <w:r w:rsidRPr="00E314A2">
        <w:rPr>
          <w:rFonts w:cstheme="minorHAnsi"/>
          <w:bCs/>
        </w:rPr>
        <w:t xml:space="preserve"> je bil </w:t>
      </w:r>
      <w:r>
        <w:rPr>
          <w:rFonts w:cstheme="minorHAnsi"/>
          <w:bCs/>
        </w:rPr>
        <w:t xml:space="preserve">najprej </w:t>
      </w:r>
      <w:r w:rsidRPr="00E314A2">
        <w:rPr>
          <w:rFonts w:cstheme="minorHAnsi"/>
          <w:bCs/>
        </w:rPr>
        <w:t xml:space="preserve">izdan sklep, s katerim je sodišče ugotovilo, da sta nepremičnini v lasti Republike Slovenije individualno pripadajoče zemljišče stavbe, torej splošni skupni del navedene stavbe v etažni lastnini in da lastninska pravica učinkuje v korist vsakokratnih lastnikov stavbe. Zoper naveden del sklepa </w:t>
      </w:r>
      <w:r>
        <w:rPr>
          <w:rFonts w:cstheme="minorHAnsi"/>
          <w:bCs/>
        </w:rPr>
        <w:t xml:space="preserve">je Državno </w:t>
      </w:r>
      <w:r w:rsidRPr="006D33C0">
        <w:rPr>
          <w:rFonts w:cstheme="minorHAnsi"/>
          <w:bCs/>
        </w:rPr>
        <w:t>odvetništvo RS vložilo pritožbo, ki jo je Višje sodišč</w:t>
      </w:r>
      <w:r>
        <w:rPr>
          <w:rFonts w:cstheme="minorHAnsi"/>
          <w:bCs/>
        </w:rPr>
        <w:t>e</w:t>
      </w:r>
      <w:r w:rsidRPr="006D33C0">
        <w:rPr>
          <w:rFonts w:cstheme="minorHAnsi"/>
          <w:bCs/>
        </w:rPr>
        <w:t xml:space="preserve"> v Kopru</w:t>
      </w:r>
      <w:r>
        <w:rPr>
          <w:rFonts w:cstheme="minorHAnsi"/>
          <w:bCs/>
        </w:rPr>
        <w:t xml:space="preserve"> s sklepom</w:t>
      </w:r>
      <w:r w:rsidRPr="006D33C0">
        <w:rPr>
          <w:rFonts w:cstheme="minorHAnsi"/>
          <w:bCs/>
        </w:rPr>
        <w:t xml:space="preserve">, opr. št. I Cp 378/2024 z dne 29. 4. 2025 zavrnilo ter v izpodbijanem delu potrdilo sklep sodišča prve </w:t>
      </w:r>
      <w:r w:rsidRPr="00E314A2">
        <w:rPr>
          <w:rFonts w:cstheme="minorHAnsi"/>
          <w:bCs/>
        </w:rPr>
        <w:t xml:space="preserve">stopnje. Zoper navedeni sklep </w:t>
      </w:r>
      <w:r>
        <w:rPr>
          <w:rFonts w:cstheme="minorHAnsi"/>
          <w:bCs/>
        </w:rPr>
        <w:t xml:space="preserve">je Državno odvetništvo RS </w:t>
      </w:r>
      <w:r w:rsidRPr="00E314A2">
        <w:rPr>
          <w:rFonts w:cstheme="minorHAnsi"/>
          <w:bCs/>
        </w:rPr>
        <w:t>podal</w:t>
      </w:r>
      <w:r>
        <w:rPr>
          <w:rFonts w:cstheme="minorHAnsi"/>
          <w:bCs/>
        </w:rPr>
        <w:t>o</w:t>
      </w:r>
      <w:r w:rsidRPr="00E314A2">
        <w:rPr>
          <w:rFonts w:cstheme="minorHAnsi"/>
          <w:bCs/>
        </w:rPr>
        <w:t xml:space="preserve"> predlog za dopustitev revizije</w:t>
      </w:r>
      <w:r>
        <w:rPr>
          <w:rFonts w:cstheme="minorHAnsi"/>
          <w:bCs/>
        </w:rPr>
        <w:t>,</w:t>
      </w:r>
      <w:r w:rsidRPr="00E314A2">
        <w:rPr>
          <w:rFonts w:cstheme="minorHAnsi"/>
          <w:bCs/>
        </w:rPr>
        <w:t xml:space="preserve"> Vrhovno sodišče </w:t>
      </w:r>
      <w:r>
        <w:rPr>
          <w:rFonts w:cstheme="minorHAnsi"/>
          <w:bCs/>
        </w:rPr>
        <w:t xml:space="preserve">RS pa </w:t>
      </w:r>
      <w:r w:rsidRPr="00E314A2">
        <w:rPr>
          <w:rFonts w:cstheme="minorHAnsi"/>
          <w:bCs/>
        </w:rPr>
        <w:t>je s sklepom</w:t>
      </w:r>
      <w:r>
        <w:rPr>
          <w:rFonts w:cstheme="minorHAnsi"/>
          <w:bCs/>
        </w:rPr>
        <w:t>, št.</w:t>
      </w:r>
      <w:r w:rsidRPr="00E314A2">
        <w:rPr>
          <w:rFonts w:cstheme="minorHAnsi"/>
          <w:bCs/>
        </w:rPr>
        <w:t xml:space="preserve"> II DoR 251/2025 z dne 3.</w:t>
      </w:r>
      <w:r>
        <w:rPr>
          <w:rFonts w:cstheme="minorHAnsi"/>
          <w:bCs/>
        </w:rPr>
        <w:t xml:space="preserve"> </w:t>
      </w:r>
      <w:r w:rsidRPr="00E314A2">
        <w:rPr>
          <w:rFonts w:cstheme="minorHAnsi"/>
          <w:bCs/>
        </w:rPr>
        <w:t>9.</w:t>
      </w:r>
      <w:r>
        <w:rPr>
          <w:rFonts w:cstheme="minorHAnsi"/>
          <w:bCs/>
        </w:rPr>
        <w:t xml:space="preserve"> </w:t>
      </w:r>
      <w:r w:rsidRPr="00E314A2">
        <w:rPr>
          <w:rFonts w:cstheme="minorHAnsi"/>
          <w:bCs/>
        </w:rPr>
        <w:t xml:space="preserve">2025 odločilo, da se predlog za dopustitev revizije zavrne. </w:t>
      </w:r>
    </w:p>
    <w:p w14:paraId="5545D19D" w14:textId="77777777" w:rsidR="00695AE2" w:rsidRPr="00E314A2" w:rsidRDefault="00695AE2" w:rsidP="00695AE2">
      <w:pPr>
        <w:spacing w:line="240" w:lineRule="auto"/>
        <w:jc w:val="both"/>
        <w:rPr>
          <w:rFonts w:cstheme="minorHAnsi"/>
          <w:bCs/>
        </w:rPr>
      </w:pPr>
    </w:p>
    <w:p w14:paraId="72876A1F" w14:textId="77777777" w:rsidR="00695AE2" w:rsidRPr="00E314A2" w:rsidRDefault="00695AE2" w:rsidP="00695AE2">
      <w:pPr>
        <w:spacing w:line="240" w:lineRule="auto"/>
        <w:jc w:val="both"/>
        <w:rPr>
          <w:rFonts w:cstheme="minorHAnsi"/>
          <w:bCs/>
        </w:rPr>
      </w:pPr>
      <w:r w:rsidRPr="00E314A2">
        <w:rPr>
          <w:rFonts w:cstheme="minorHAnsi"/>
          <w:bCs/>
        </w:rPr>
        <w:t xml:space="preserve">Zadeva je bila specifična predvsem zaradi dejstva, ker je bilo funkcionalno zemljišče k obravnavani stavbi z upravno odločbo predhodno že odmerjeno ter ker je tudi v sodnem postopku imenovana izvedenka potrdila, da zemljišči v lasti Republike Slovenije nista bili zajeti v funkcionalno zemljišče stavbe in za redno rabo stavbe nista nujno potrebni, pa je kljub sodišče </w:t>
      </w:r>
      <w:r>
        <w:rPr>
          <w:rFonts w:cstheme="minorHAnsi"/>
          <w:bCs/>
        </w:rPr>
        <w:t xml:space="preserve">kljub temu </w:t>
      </w:r>
      <w:r w:rsidRPr="00E314A2">
        <w:rPr>
          <w:rFonts w:cstheme="minorHAnsi"/>
          <w:bCs/>
        </w:rPr>
        <w:t xml:space="preserve">sledilo navedbam predlagateljice in dalo prednost določitvi obsega pripadajočega zemljišča po določilih 3. točke prvega odstavka 43. člena ZVetL-1. Tekom postopka </w:t>
      </w:r>
      <w:r>
        <w:rPr>
          <w:rFonts w:cstheme="minorHAnsi"/>
          <w:bCs/>
        </w:rPr>
        <w:t xml:space="preserve">je Državno odvetništvo RS </w:t>
      </w:r>
      <w:r w:rsidRPr="00E314A2">
        <w:rPr>
          <w:rFonts w:cstheme="minorHAnsi"/>
          <w:bCs/>
        </w:rPr>
        <w:t>opozarjal</w:t>
      </w:r>
      <w:r>
        <w:rPr>
          <w:rFonts w:cstheme="minorHAnsi"/>
          <w:bCs/>
        </w:rPr>
        <w:t>o</w:t>
      </w:r>
      <w:r w:rsidRPr="00E314A2">
        <w:rPr>
          <w:rFonts w:cstheme="minorHAnsi"/>
          <w:bCs/>
        </w:rPr>
        <w:t xml:space="preserve">, da sodišče nikjer ni pojasnilo, zakaj bi bila pretekla raba v konkretnem primeru močnejši argument kot vsi uradni dokumenti, ki so pripadajoče zemljišče in rabo prostora že ustrezno določili in na podlagi katerih je strokovno mnenje podala tudi sodna izvedenka. Prav tako se </w:t>
      </w:r>
      <w:r>
        <w:rPr>
          <w:rFonts w:cstheme="minorHAnsi"/>
          <w:bCs/>
        </w:rPr>
        <w:t xml:space="preserve">Državno odvetništvo RS </w:t>
      </w:r>
      <w:r w:rsidRPr="00E314A2">
        <w:rPr>
          <w:rFonts w:cstheme="minorHAnsi"/>
          <w:bCs/>
        </w:rPr>
        <w:t>ni strinjal</w:t>
      </w:r>
      <w:r>
        <w:rPr>
          <w:rFonts w:cstheme="minorHAnsi"/>
          <w:bCs/>
        </w:rPr>
        <w:t>o</w:t>
      </w:r>
      <w:r w:rsidRPr="00E314A2">
        <w:rPr>
          <w:rFonts w:cstheme="minorHAnsi"/>
          <w:bCs/>
        </w:rPr>
        <w:t xml:space="preserve"> z navedbo sodišča, da upravna odločba ni razlog, ki bi onemogočal ali preprečeval sodišču, da ugotovi pripadajoče zemljišče v širšem obsegu. </w:t>
      </w:r>
    </w:p>
    <w:p w14:paraId="4FFF0B4A" w14:textId="77777777" w:rsidR="00695AE2" w:rsidRPr="00E314A2" w:rsidRDefault="00695AE2" w:rsidP="00695AE2">
      <w:pPr>
        <w:spacing w:line="240" w:lineRule="auto"/>
        <w:jc w:val="both"/>
        <w:rPr>
          <w:rFonts w:cstheme="minorHAnsi"/>
          <w:bCs/>
        </w:rPr>
      </w:pPr>
    </w:p>
    <w:p w14:paraId="0661029C" w14:textId="77777777" w:rsidR="00695AE2" w:rsidRPr="00E314A2" w:rsidRDefault="00695AE2" w:rsidP="00695AE2">
      <w:pPr>
        <w:pStyle w:val="Bodytext10"/>
        <w:spacing w:after="0" w:line="240" w:lineRule="auto"/>
        <w:contextualSpacing/>
        <w:jc w:val="both"/>
        <w:rPr>
          <w:rFonts w:cstheme="minorHAnsi"/>
          <w:bCs/>
        </w:rPr>
      </w:pPr>
      <w:r>
        <w:rPr>
          <w:rFonts w:eastAsia="Arial" w:cstheme="minorHAnsi"/>
          <w:bCs/>
        </w:rPr>
        <w:t xml:space="preserve">Po mnenju Državnega odvetništva RS lahko </w:t>
      </w:r>
      <w:r w:rsidRPr="00E314A2">
        <w:rPr>
          <w:rFonts w:eastAsia="Arial" w:cstheme="minorHAnsi"/>
          <w:bCs/>
        </w:rPr>
        <w:t xml:space="preserve">tovrstna praksa privede do situacije, v kateri bi si lastniki stavb zgolj z uzurpacijo, to pomeni </w:t>
      </w:r>
      <w:r w:rsidRPr="00E314A2">
        <w:rPr>
          <w:rFonts w:cstheme="minorHAnsi"/>
          <w:bCs/>
        </w:rPr>
        <w:t>brez dovoljenja lastnika in v popolnem zavedanju, da parcele niso v njihovi lasti, torej nedobroverno,</w:t>
      </w:r>
      <w:r w:rsidRPr="00E314A2">
        <w:rPr>
          <w:rFonts w:eastAsia="Arial" w:cstheme="minorHAnsi"/>
          <w:bCs/>
        </w:rPr>
        <w:t xml:space="preserve"> prilaščali okoliška zemljišča, ki pa dejansko niso potrebna za redno rabo stavbe.</w:t>
      </w:r>
      <w:r w:rsidRPr="00E314A2">
        <w:rPr>
          <w:rFonts w:cstheme="minorHAnsi"/>
          <w:bCs/>
        </w:rPr>
        <w:t xml:space="preserve"> Tovrstno prilaščanje zemljišč oziroma samovoljna uzurpacija predstavlja izigravanje samega namena določanja pripadajočega zemljišča k stavbi. </w:t>
      </w:r>
      <w:r w:rsidRPr="00E314A2">
        <w:rPr>
          <w:rFonts w:eastAsia="Arial" w:cstheme="minorHAnsi"/>
          <w:bCs/>
        </w:rPr>
        <w:t xml:space="preserve">Vsekakor ni moč zanikati potrebe po </w:t>
      </w:r>
      <w:r w:rsidRPr="00E314A2">
        <w:rPr>
          <w:rFonts w:cstheme="minorHAnsi"/>
          <w:bCs/>
        </w:rPr>
        <w:t xml:space="preserve">ureditvi stanja pripadajočih zemljišč k stavbam, ki jim to ni bilo odmerjeno in urejeno, vendar pri tem </w:t>
      </w:r>
      <w:r>
        <w:rPr>
          <w:rFonts w:cstheme="minorHAnsi"/>
          <w:bCs/>
        </w:rPr>
        <w:t xml:space="preserve">Državno odvetništvo RS </w:t>
      </w:r>
      <w:r w:rsidRPr="00E314A2">
        <w:rPr>
          <w:rFonts w:cstheme="minorHAnsi"/>
          <w:bCs/>
        </w:rPr>
        <w:t>opozarja, da je v največji možni meri treb</w:t>
      </w:r>
      <w:r>
        <w:rPr>
          <w:rFonts w:cstheme="minorHAnsi"/>
          <w:bCs/>
        </w:rPr>
        <w:t>a</w:t>
      </w:r>
      <w:r w:rsidRPr="00E314A2">
        <w:rPr>
          <w:rFonts w:cstheme="minorHAnsi"/>
          <w:bCs/>
        </w:rPr>
        <w:t xml:space="preserve"> zaščititi tudi lastninsko pravico lastnikov zemljišč. </w:t>
      </w:r>
    </w:p>
    <w:p w14:paraId="52ADBD4A" w14:textId="77777777" w:rsidR="00695AE2" w:rsidRPr="00E314A2" w:rsidRDefault="00695AE2" w:rsidP="00695AE2">
      <w:pPr>
        <w:pStyle w:val="Bodytext10"/>
        <w:spacing w:after="0" w:line="240" w:lineRule="auto"/>
        <w:contextualSpacing/>
        <w:jc w:val="both"/>
        <w:rPr>
          <w:rFonts w:cstheme="minorHAnsi"/>
          <w:bCs/>
        </w:rPr>
      </w:pPr>
    </w:p>
    <w:p w14:paraId="6E439693" w14:textId="77777777" w:rsidR="00695AE2" w:rsidRPr="00CB5050" w:rsidRDefault="00695AE2" w:rsidP="00695AE2">
      <w:pPr>
        <w:pStyle w:val="Bodytext10"/>
        <w:spacing w:after="0" w:line="240" w:lineRule="auto"/>
        <w:contextualSpacing/>
        <w:jc w:val="both"/>
        <w:rPr>
          <w:rFonts w:eastAsia="Calibri"/>
          <w:shd w:val="clear" w:color="auto" w:fill="FFFFFF"/>
        </w:rPr>
      </w:pPr>
      <w:r>
        <w:rPr>
          <w:rFonts w:cstheme="minorHAnsi"/>
          <w:bCs/>
        </w:rPr>
        <w:t>Po mnenju Državnega odvetništva RS se s</w:t>
      </w:r>
      <w:r w:rsidRPr="00E314A2">
        <w:rPr>
          <w:rFonts w:cstheme="minorHAnsi"/>
          <w:bCs/>
        </w:rPr>
        <w:t xml:space="preserve">odna praksa trenutno razvija v smeri dajanja (pre)velikega poudarka na kriterij pretekle rabe zemljišča, kar pa lahko pripelje do absurdnih situacij, kot je </w:t>
      </w:r>
      <w:r>
        <w:rPr>
          <w:rFonts w:cstheme="minorHAnsi"/>
          <w:bCs/>
        </w:rPr>
        <w:t>opisana v zgornjem konkretnem primeru</w:t>
      </w:r>
      <w:r w:rsidRPr="00E314A2">
        <w:rPr>
          <w:rFonts w:cstheme="minorHAnsi"/>
          <w:bCs/>
        </w:rPr>
        <w:t xml:space="preserve">. V konkretnem primeru sicer </w:t>
      </w:r>
      <w:r>
        <w:rPr>
          <w:rFonts w:cstheme="minorHAnsi"/>
          <w:bCs/>
        </w:rPr>
        <w:t xml:space="preserve">Državno odvetništvo RS </w:t>
      </w:r>
      <w:r w:rsidRPr="00E314A2">
        <w:rPr>
          <w:rFonts w:cstheme="minorHAnsi"/>
          <w:bCs/>
        </w:rPr>
        <w:t>ni uspel</w:t>
      </w:r>
      <w:r>
        <w:rPr>
          <w:rFonts w:cstheme="minorHAnsi"/>
          <w:bCs/>
        </w:rPr>
        <w:t>o</w:t>
      </w:r>
      <w:r w:rsidRPr="00E314A2">
        <w:rPr>
          <w:rFonts w:cstheme="minorHAnsi"/>
          <w:bCs/>
        </w:rPr>
        <w:t xml:space="preserve"> s predlogom za dopustitev revizije, vendar je </w:t>
      </w:r>
      <w:r w:rsidRPr="00E314A2">
        <w:rPr>
          <w:rFonts w:eastAsia="Arial" w:cstheme="minorHAnsi"/>
          <w:bCs/>
        </w:rPr>
        <w:t>podobnih p</w:t>
      </w:r>
      <w:r w:rsidRPr="00E314A2">
        <w:rPr>
          <w:rFonts w:cstheme="minorHAnsi"/>
          <w:bCs/>
        </w:rPr>
        <w:t xml:space="preserve">rimerov več, zato bo, ker bi bila odločitev o izpostavljenem spornem vprašanju pomembna tudi z vidika preprečitve nadaljnjega neutemeljenega prilaščanja državnega premoženja, tudi v </w:t>
      </w:r>
      <w:r>
        <w:rPr>
          <w:rFonts w:cstheme="minorHAnsi"/>
          <w:bCs/>
        </w:rPr>
        <w:t xml:space="preserve">morebitnih </w:t>
      </w:r>
      <w:r w:rsidRPr="00E314A2">
        <w:rPr>
          <w:rFonts w:cstheme="minorHAnsi"/>
          <w:bCs/>
        </w:rPr>
        <w:t>drugih primerih vztrajal</w:t>
      </w:r>
      <w:r>
        <w:rPr>
          <w:rFonts w:cstheme="minorHAnsi"/>
          <w:bCs/>
        </w:rPr>
        <w:t>o</w:t>
      </w:r>
      <w:r w:rsidRPr="00E314A2">
        <w:rPr>
          <w:rFonts w:cstheme="minorHAnsi"/>
          <w:bCs/>
        </w:rPr>
        <w:t xml:space="preserve"> z vlaganjem ustreznih pravnih sredstev</w:t>
      </w:r>
      <w:r>
        <w:rPr>
          <w:rFonts w:cstheme="minorHAnsi"/>
          <w:bCs/>
        </w:rPr>
        <w:t xml:space="preserve"> in s tem vsaj</w:t>
      </w:r>
      <w:r w:rsidRPr="00E314A2">
        <w:rPr>
          <w:rFonts w:cstheme="minorHAnsi"/>
          <w:bCs/>
        </w:rPr>
        <w:t xml:space="preserve"> posku</w:t>
      </w:r>
      <w:r>
        <w:rPr>
          <w:rFonts w:cstheme="minorHAnsi"/>
          <w:bCs/>
        </w:rPr>
        <w:t>šalo</w:t>
      </w:r>
      <w:r w:rsidRPr="00E314A2">
        <w:rPr>
          <w:rFonts w:cstheme="minorHAnsi"/>
          <w:bCs/>
        </w:rPr>
        <w:t xml:space="preserve"> spremeniti </w:t>
      </w:r>
      <w:r>
        <w:rPr>
          <w:rFonts w:cstheme="minorHAnsi"/>
          <w:bCs/>
        </w:rPr>
        <w:t xml:space="preserve">oziroma drugače </w:t>
      </w:r>
      <w:r w:rsidRPr="00E314A2">
        <w:rPr>
          <w:rFonts w:cstheme="minorHAnsi"/>
          <w:bCs/>
        </w:rPr>
        <w:t>usmeriti razvoj sodne prakse.</w:t>
      </w:r>
    </w:p>
    <w:p w14:paraId="31F46550" w14:textId="77777777" w:rsidR="00695AE2" w:rsidRPr="00CB5050" w:rsidRDefault="00695AE2" w:rsidP="00695AE2">
      <w:pPr>
        <w:spacing w:line="240" w:lineRule="auto"/>
        <w:jc w:val="both"/>
        <w:rPr>
          <w:rFonts w:eastAsia="Times New Roman"/>
          <w:lang w:eastAsia="sl-SI"/>
        </w:rPr>
      </w:pPr>
    </w:p>
    <w:p w14:paraId="07DF74B9" w14:textId="77777777" w:rsidR="00695AE2" w:rsidRPr="00CB5050" w:rsidRDefault="00695AE2" w:rsidP="00695AE2">
      <w:pPr>
        <w:pStyle w:val="Naslov4"/>
      </w:pPr>
      <w:bookmarkStart w:id="923" w:name="_Toc191562034"/>
      <w:bookmarkStart w:id="924" w:name="_Toc223094033"/>
      <w:r w:rsidRPr="00CB5050">
        <w:t>Ukrepi za varstvo otrokove koristi</w:t>
      </w:r>
      <w:bookmarkEnd w:id="923"/>
      <w:bookmarkEnd w:id="924"/>
    </w:p>
    <w:p w14:paraId="228D9BB3" w14:textId="77777777" w:rsidR="00695AE2" w:rsidRPr="00CB5050" w:rsidRDefault="00695AE2" w:rsidP="00695AE2">
      <w:pPr>
        <w:spacing w:line="240" w:lineRule="auto"/>
        <w:jc w:val="both"/>
        <w:rPr>
          <w:rFonts w:eastAsia="Calibri"/>
        </w:rPr>
      </w:pPr>
    </w:p>
    <w:p w14:paraId="2D9AE83D" w14:textId="77777777" w:rsidR="00695AE2" w:rsidRPr="00CB5050" w:rsidRDefault="00695AE2" w:rsidP="00695AE2">
      <w:pPr>
        <w:pStyle w:val="Naslov5"/>
        <w:rPr>
          <w:b/>
        </w:rPr>
      </w:pPr>
      <w:bookmarkStart w:id="925" w:name="_Toc191562035"/>
      <w:bookmarkStart w:id="926" w:name="_Toc223094034"/>
      <w:r w:rsidRPr="00CB5050">
        <w:t>Splošno</w:t>
      </w:r>
      <w:bookmarkEnd w:id="925"/>
      <w:bookmarkEnd w:id="926"/>
    </w:p>
    <w:p w14:paraId="2ACC2735" w14:textId="77777777" w:rsidR="00695AE2" w:rsidRPr="00CB5050" w:rsidRDefault="00695AE2" w:rsidP="00695AE2">
      <w:pPr>
        <w:spacing w:line="240" w:lineRule="auto"/>
        <w:jc w:val="both"/>
        <w:rPr>
          <w:rFonts w:eastAsia="Calibri"/>
        </w:rPr>
      </w:pPr>
    </w:p>
    <w:p w14:paraId="7508D4D2" w14:textId="77777777" w:rsidR="00695AE2" w:rsidRPr="00CB5050" w:rsidRDefault="00695AE2" w:rsidP="00695AE2">
      <w:pPr>
        <w:spacing w:line="240" w:lineRule="auto"/>
        <w:jc w:val="both"/>
        <w:rPr>
          <w:rFonts w:eastAsia="Calibri"/>
        </w:rPr>
      </w:pPr>
      <w:r w:rsidRPr="00CB5050">
        <w:rPr>
          <w:rFonts w:eastAsia="Calibri"/>
        </w:rPr>
        <w:t>Drugi odstavek 46. člena Družinskega zakonika (v nadaljevanju: DZ) določa, da lahko v sodnih postopkih, ki se nanašajo na varovanje koristi otrok (kot tudi drugih ranljivih oseb), sodišče odloči, da zaradi zahtevnosti zadeve in potrebe po strokovnem zastopanju v zadevi pozove Državno odvetništvo RS, da prevzame vlogo zastopnika.</w:t>
      </w:r>
    </w:p>
    <w:p w14:paraId="6ED981CF" w14:textId="77777777" w:rsidR="00695AE2" w:rsidRPr="00CB5050" w:rsidRDefault="00695AE2" w:rsidP="00695AE2">
      <w:pPr>
        <w:spacing w:line="240" w:lineRule="auto"/>
        <w:jc w:val="both"/>
        <w:rPr>
          <w:rFonts w:eastAsia="Calibri"/>
        </w:rPr>
      </w:pPr>
    </w:p>
    <w:p w14:paraId="2955D66A" w14:textId="77777777" w:rsidR="00695AE2" w:rsidRPr="00CB5050" w:rsidRDefault="00695AE2" w:rsidP="00695AE2">
      <w:pPr>
        <w:spacing w:line="240" w:lineRule="auto"/>
        <w:jc w:val="both"/>
        <w:rPr>
          <w:rFonts w:eastAsia="Calibri"/>
        </w:rPr>
      </w:pPr>
      <w:r w:rsidRPr="00CB5050">
        <w:rPr>
          <w:rFonts w:eastAsia="Calibri"/>
        </w:rPr>
        <w:t>Postopki za odločanje o ukrepih za varstvo koristi otrok so nujni (105. člen ZNP-1). Vsi ukrepi za varstvo otrokove koristi temeljijo na načelu, da so otrokove pravice in koristi dolžni varovati predvsem otrokovi starši, šele kadar ti svojih pravic in obveznosti ne izvajajo v korist otroka, je za otrokovo korist dolžna poskrbeti država. To pomeni, da je vključitev Državnega odvetništva RS odvisna od presoje sodišča, ki oceni, ali zadeva zahteva dodatno pravno podporo za zaščito otrok.</w:t>
      </w:r>
    </w:p>
    <w:p w14:paraId="5D0F6FDB" w14:textId="77777777" w:rsidR="00695AE2" w:rsidRPr="00CB5050" w:rsidRDefault="00695AE2" w:rsidP="00695AE2">
      <w:pPr>
        <w:spacing w:line="240" w:lineRule="auto"/>
        <w:jc w:val="both"/>
        <w:rPr>
          <w:rFonts w:eastAsia="Calibri"/>
        </w:rPr>
      </w:pPr>
    </w:p>
    <w:p w14:paraId="34430C1C" w14:textId="77777777" w:rsidR="00695AE2" w:rsidRPr="00CB5050" w:rsidRDefault="00695AE2" w:rsidP="00695AE2">
      <w:pPr>
        <w:spacing w:line="240" w:lineRule="auto"/>
        <w:jc w:val="both"/>
        <w:rPr>
          <w:rFonts w:eastAsia="Calibri"/>
        </w:rPr>
      </w:pPr>
      <w:r w:rsidRPr="00CB5050">
        <w:rPr>
          <w:rFonts w:eastAsia="Calibri"/>
        </w:rPr>
        <w:t>Državno odvetništvo RS se ne vključi samodejno v vse družinske zadeve, temveč na poziv sodišča, kadar sodišče presodi, da je zadeva posebej zahtevna ali da obstajajo posebne okoliščine, kjer bi bilo strokovno zastopanje nujno za zaščito koristi otrok ali drugih ranljivih oseb.</w:t>
      </w:r>
    </w:p>
    <w:p w14:paraId="0B346910" w14:textId="77777777" w:rsidR="00695AE2" w:rsidRPr="00CB5050" w:rsidRDefault="00695AE2" w:rsidP="00695AE2">
      <w:pPr>
        <w:spacing w:line="240" w:lineRule="auto"/>
        <w:jc w:val="both"/>
        <w:rPr>
          <w:rFonts w:eastAsia="Calibri"/>
        </w:rPr>
      </w:pPr>
    </w:p>
    <w:p w14:paraId="74AF4AF3" w14:textId="77777777" w:rsidR="00695AE2" w:rsidRPr="00CB5050" w:rsidRDefault="00695AE2" w:rsidP="00695AE2">
      <w:pPr>
        <w:spacing w:line="240" w:lineRule="auto"/>
        <w:jc w:val="both"/>
        <w:rPr>
          <w:rFonts w:eastAsia="Calibri"/>
        </w:rPr>
      </w:pPr>
      <w:r w:rsidRPr="00CB5050">
        <w:rPr>
          <w:rFonts w:eastAsia="Calibri"/>
        </w:rPr>
        <w:t xml:space="preserve">Zahtevne zadeve lahko vključujejo primere, kot so spori glede skrbništva, odvzem starševskih pravic, odvzem otroka in namestitev otroka v rejništvo ali druge postopke, kjer je potrebno posebej skrbno varovanje otrokovih interesov. V primerih, ko je Državno odvetništvo RS pozvano, prevzame vlogo zastopnika, da zagotovi, da so pravice in koristi otroka ustrezno zaščitene. To vključuje pripravo pravnih dokumentov, zastopanje na obravnavah ter sodelovanje pri vseh postopkovnih korakih, ki so potrebni za uveljavitev pravic otroka. Na ta </w:t>
      </w:r>
      <w:r w:rsidRPr="00CB5050">
        <w:rPr>
          <w:rFonts w:eastAsia="Calibri"/>
        </w:rPr>
        <w:lastRenderedPageBreak/>
        <w:t>način Državno odvetništvo RS poskrbi, da ima otrok (ali druga ranljiva oseba) ustrezno pravno podporo tudi v kompleksnih ali posebej občutljivih zadevah.</w:t>
      </w:r>
    </w:p>
    <w:p w14:paraId="03DB38B4" w14:textId="77777777" w:rsidR="00695AE2" w:rsidRPr="00CB5050" w:rsidRDefault="00695AE2" w:rsidP="00695AE2">
      <w:pPr>
        <w:spacing w:line="240" w:lineRule="auto"/>
        <w:jc w:val="both"/>
        <w:rPr>
          <w:rFonts w:eastAsia="Calibri"/>
        </w:rPr>
      </w:pPr>
    </w:p>
    <w:p w14:paraId="0C1AFE93" w14:textId="77777777" w:rsidR="00695AE2" w:rsidRPr="00CB5050" w:rsidRDefault="00695AE2" w:rsidP="00695AE2">
      <w:pPr>
        <w:pStyle w:val="Naslov5"/>
      </w:pPr>
      <w:bookmarkStart w:id="927" w:name="_Toc223094035"/>
      <w:r w:rsidRPr="00CB5050">
        <w:t>Prevzem zastopanja C</w:t>
      </w:r>
      <w:r>
        <w:t xml:space="preserve">SD </w:t>
      </w:r>
      <w:r w:rsidRPr="00CB5050">
        <w:t>na podlagi 46. člena ZNP-1</w:t>
      </w:r>
      <w:bookmarkStart w:id="928" w:name="_Toc191562036"/>
      <w:bookmarkEnd w:id="927"/>
      <w:r w:rsidRPr="00CB5050">
        <w:t xml:space="preserve"> </w:t>
      </w:r>
      <w:bookmarkEnd w:id="928"/>
    </w:p>
    <w:p w14:paraId="02A51530" w14:textId="77777777" w:rsidR="00695AE2" w:rsidRPr="00CB5050" w:rsidRDefault="00695AE2" w:rsidP="00695AE2">
      <w:pPr>
        <w:spacing w:line="240" w:lineRule="auto"/>
        <w:jc w:val="both"/>
        <w:rPr>
          <w:rFonts w:eastAsia="Calibri"/>
        </w:rPr>
      </w:pPr>
    </w:p>
    <w:p w14:paraId="122A865E" w14:textId="77777777" w:rsidR="00695AE2" w:rsidRPr="00CB5050" w:rsidRDefault="00695AE2" w:rsidP="00695AE2">
      <w:pPr>
        <w:spacing w:line="240" w:lineRule="auto"/>
        <w:jc w:val="both"/>
        <w:rPr>
          <w:rFonts w:eastAsia="Calibri"/>
        </w:rPr>
      </w:pPr>
      <w:r w:rsidRPr="00CB5050">
        <w:rPr>
          <w:rFonts w:eastAsia="Calibri"/>
        </w:rPr>
        <w:t xml:space="preserve">Državno odvetništvo RS ugotavlja, da gre pri zadevah, v katerih na podlagi 46. člena ZNP-1 Državno odvetništvo RS prevzame zastopanje CSD, v vseh primerih za varstvo koristi otrok in za prevzem zadev, ki so z vidika družinskih razmerij najzahtevnejše, saj posegajo v zelo ranljive odnose med starši in mladoletnimi otroki. Državno odvetništvo RS tako zastopa CSD v postopkih odvzema starševske skrbi in postavitve otroka pod skrbništvo, rejništvo, v postopkih posvojitve otrok, namestitve v zavod ipd… S tem, ko sodišče angažira Državno odvetništvo RS, se zagotovi, da je zastopanje otrok v skladu z najvišjimi pravnimi standardi in da so v postopku obravnavane vse pravne možnosti, ki so v otrokovo korist. </w:t>
      </w:r>
    </w:p>
    <w:p w14:paraId="047172E9" w14:textId="77777777" w:rsidR="00695AE2" w:rsidRPr="00CB5050" w:rsidRDefault="00695AE2" w:rsidP="00695AE2">
      <w:pPr>
        <w:spacing w:line="240" w:lineRule="auto"/>
        <w:jc w:val="both"/>
        <w:rPr>
          <w:rFonts w:eastAsia="Calibri"/>
        </w:rPr>
      </w:pPr>
    </w:p>
    <w:p w14:paraId="0F5205F3" w14:textId="77777777" w:rsidR="00695AE2" w:rsidRPr="00CB5050" w:rsidRDefault="00695AE2" w:rsidP="00695AE2">
      <w:pPr>
        <w:spacing w:line="240" w:lineRule="auto"/>
        <w:jc w:val="both"/>
        <w:rPr>
          <w:rFonts w:eastAsia="Calibri"/>
        </w:rPr>
      </w:pPr>
      <w:r w:rsidRPr="00CB5050">
        <w:rPr>
          <w:rFonts w:eastAsia="Calibri"/>
        </w:rPr>
        <w:t xml:space="preserve">Izhajajoč iz obravnave navedenih zadev Državno odvetništvo RS ugotavlja, da je potrebno na CSD nasloviti pobude in v sodelovanju z njimi  izboljšati situacijo glede ugotavljanja celostne situacije družine, za katero v postopkih  ugotavljamo, da ni zadostno raziskana in posledično tudi korist otrok ni varovana v zadostni meri. V tej smeri bi po mnenju Državnega odvetništva RS lahko svoje aktivnosti povečali tudi razpravljajoči sodniki, ki v zadevah pogosto razpolagajo s podatki CSD, ki niso ažurirani in tako nimajo vpogleda v dejansko dogajanje v družini v času odločanja, glede na uzakonjeno načelo oficialnosti in preiskovalno načelo pa bi lahko delovali tudi samoiniciativno.  </w:t>
      </w:r>
    </w:p>
    <w:p w14:paraId="1962D163" w14:textId="77777777" w:rsidR="00695AE2" w:rsidRPr="00CB5050" w:rsidRDefault="00695AE2" w:rsidP="00695AE2">
      <w:pPr>
        <w:spacing w:line="240" w:lineRule="auto"/>
        <w:jc w:val="both"/>
        <w:rPr>
          <w:rFonts w:eastAsia="Calibri"/>
        </w:rPr>
      </w:pPr>
      <w:r w:rsidRPr="00CB5050">
        <w:rPr>
          <w:rFonts w:eastAsia="Calibri"/>
        </w:rPr>
        <w:t>Državno odvetništvo RS opozarja na dolgotrajno čakanje na izvedenska mnenja kliničnih psihologov, saj so le-ti zaradi pomanjkanja izvedencev omenjene stroke preobremenjeni. Vendar pa so po mnenju Državnega odvetništva RS le oni kompetentni, da izdelajo klinično-psihološko oceno staršev, torej za poglobljeno psihološko diagnostiko in podajo neodvisne strokovne ocene o kognitivnih in čustvenih lastnostih posameznika, ki vplivajo na njegovo vedenje. Po mnenju Državnega odvetništva RS ni primerno, da se sodišča v svojih odločitvah opirajo na ocene lečečih zdravnikov, na primer specialista pediatrije in specialista otroške in mladostniške psihiatrije.</w:t>
      </w:r>
    </w:p>
    <w:p w14:paraId="7F078652" w14:textId="77777777" w:rsidR="00695AE2" w:rsidRPr="00CB5050" w:rsidRDefault="00695AE2" w:rsidP="00695AE2">
      <w:pPr>
        <w:spacing w:line="240" w:lineRule="auto"/>
        <w:jc w:val="both"/>
        <w:rPr>
          <w:rFonts w:eastAsia="Calibri"/>
        </w:rPr>
      </w:pPr>
    </w:p>
    <w:p w14:paraId="5EB9034E" w14:textId="77777777" w:rsidR="00695AE2" w:rsidRPr="00CB5050" w:rsidRDefault="00695AE2" w:rsidP="00695AE2">
      <w:pPr>
        <w:spacing w:line="240" w:lineRule="auto"/>
        <w:jc w:val="both"/>
        <w:rPr>
          <w:rFonts w:eastAsia="Calibri"/>
        </w:rPr>
      </w:pPr>
      <w:r w:rsidRPr="00CB5050">
        <w:rPr>
          <w:rFonts w:eastAsia="Calibri"/>
        </w:rPr>
        <w:t xml:space="preserve">Državno odvetništvo RS kot problematično nadalje izpostavlja trajanje začasnih odredb. Začasne odredbe za varstvo koristi otrok se pod pogoji, ki jih določa DZ, izdajo po postopku, ki ga določa zakon, ki ureja zavarovanje (100. člen ZNP-1). Sodišče izda začasno odredbo, če je verjetno izkazano, da je otrok ogrožen (161. člen DZ), takšen ukrep pa sme po 160. členu DZ izreči tudi po uradni dolžnosti, če je utrpel ali je zelo verjetno, da bo utrpel škodo in je ta škoda oziroma verjetnost, da bo škoda nastala, posledica storitve ali opustitve staršev ali posledica otrokovih psihosocialnih težav, ki se kažejo kot vedenjske, čustvene, učne ali druge težave v njegovem odraščanju. Škoda obsega škodo na telesnem ali duševnem zdravju in razvoju otroka ali na otrokovem premoženju. Za varstvo koristi otroka sme sodišče izdati vsakršno začasno odredbo, s katero je mogoče otroka zavarovati. DZ v 174. in 175. členu določa, da ti trajajo maksimalno tri leta in večina predlogov CSD se tako tudi glasi. V pretežnem delu postopkov se sprva sprejme ukrep z začasno odredbo in potrdi s končno odločbo. Vprašanje, ki se poraja, je, od kdaj je potrebno šteti, da je ukrep uveljavljen (na primer, da je otrok nameščen v zavodu), oziroma ali morajo sodišča pri odločanju v končni odločbi všteti čas, ko je ukrep uveljavljen z začasno odredbo. Ker so ti postopki praviloma dolgotrajni, ukrep </w:t>
      </w:r>
      <w:r w:rsidRPr="00CB5050">
        <w:rPr>
          <w:rFonts w:eastAsia="Calibri"/>
        </w:rPr>
        <w:lastRenderedPageBreak/>
        <w:t>dejansko traja več let in je vprašanje, ali je to res v korist otroka ali bi moral CSD ukrepe tekom postopka prilagajati.</w:t>
      </w:r>
    </w:p>
    <w:p w14:paraId="7AC0A990" w14:textId="77777777" w:rsidR="00695AE2" w:rsidRPr="00CB5050" w:rsidRDefault="00695AE2" w:rsidP="00695AE2">
      <w:pPr>
        <w:spacing w:line="240" w:lineRule="auto"/>
        <w:jc w:val="both"/>
        <w:rPr>
          <w:rFonts w:eastAsia="Calibri"/>
        </w:rPr>
      </w:pPr>
    </w:p>
    <w:p w14:paraId="4C35FE89" w14:textId="77777777" w:rsidR="00695AE2" w:rsidRPr="00CB5050" w:rsidRDefault="00695AE2" w:rsidP="00695AE2">
      <w:pPr>
        <w:spacing w:line="240" w:lineRule="auto"/>
        <w:jc w:val="both"/>
        <w:rPr>
          <w:rFonts w:eastAsia="Calibri"/>
        </w:rPr>
      </w:pPr>
      <w:r w:rsidRPr="00CB5050">
        <w:rPr>
          <w:rFonts w:eastAsia="Calibri"/>
        </w:rPr>
        <w:t>Državno odvetništvo RS »na terenu« zapaža tudi razne druge probleme, kot na primer, da nekateri starši zalezujejo delavce varne hiše ali pa rejnike in jim grozijo; nekateri odvetniki staršev nad delavci varne hiše ali rejniki vršijo pritiske, da za otroke ni dovolj dobro poskrbljeno; vlagajo se pritožbe, kar podaljšuje postopke, s tem pa se ogroža varstvo otrokovih koristi; ni ustreznih kriznih centrov za otroke oziroma jih je premalo; težave so tudi zaradi pomanjkanja rejnikov.</w:t>
      </w:r>
    </w:p>
    <w:p w14:paraId="4E72A61C" w14:textId="77777777" w:rsidR="00695AE2" w:rsidRPr="00CB5050" w:rsidRDefault="00695AE2" w:rsidP="00695AE2">
      <w:pPr>
        <w:spacing w:line="240" w:lineRule="auto"/>
        <w:jc w:val="both"/>
        <w:rPr>
          <w:rFonts w:eastAsia="Calibri"/>
        </w:rPr>
      </w:pPr>
    </w:p>
    <w:p w14:paraId="1F5B5FEF" w14:textId="77777777" w:rsidR="00695AE2" w:rsidRPr="00CB5050" w:rsidRDefault="00695AE2" w:rsidP="00695AE2">
      <w:pPr>
        <w:spacing w:line="240" w:lineRule="auto"/>
        <w:jc w:val="both"/>
        <w:rPr>
          <w:rFonts w:eastAsia="Calibri"/>
        </w:rPr>
      </w:pPr>
      <w:r w:rsidRPr="00CB5050">
        <w:rPr>
          <w:rFonts w:eastAsia="Calibri"/>
        </w:rPr>
        <w:t xml:space="preserve">Državno odvetništvo RS se zaveda, da z navedenim še zdaleč niso izpostavljeni vsi problemi, s katerimi se soočajo akterji v postopkih varstva koristi otrok. Na tem mestu izpostavlja le nekatere s ciljem, da se nanje opozori tudi v okviru tega poročila o delu in v želji, da se konstruktivno pristopi k izboljšanju situacije na tem področju. Eden od razlogov za izpostavljeno stanje je zagotovo kadrovsko pomanjkanje, s katerim se soočajo vsi ključni akterji v teh postopkih, vendar pa razlog predstavlja tudi pomanjkanje strokovne usposobljenosti. </w:t>
      </w:r>
    </w:p>
    <w:p w14:paraId="0F7C0C8C" w14:textId="77777777" w:rsidR="00695AE2" w:rsidRPr="00CB5050" w:rsidRDefault="00695AE2" w:rsidP="00695AE2">
      <w:pPr>
        <w:spacing w:line="240" w:lineRule="auto"/>
        <w:jc w:val="both"/>
        <w:rPr>
          <w:rFonts w:eastAsia="Calibri"/>
        </w:rPr>
      </w:pPr>
    </w:p>
    <w:p w14:paraId="24FA1D98" w14:textId="77777777" w:rsidR="00695AE2" w:rsidRPr="00CB5050" w:rsidRDefault="00695AE2" w:rsidP="00695AE2">
      <w:pPr>
        <w:spacing w:line="240" w:lineRule="auto"/>
        <w:jc w:val="both"/>
        <w:rPr>
          <w:rFonts w:eastAsia="Calibri"/>
        </w:rPr>
      </w:pPr>
      <w:r w:rsidRPr="00CB5050">
        <w:rPr>
          <w:rFonts w:eastAsia="Calibri"/>
        </w:rPr>
        <w:t xml:space="preserve">Ker gre za pristojnost, ki je za Državno odvetništvo RS relativno nova, bi bila dobrodošla dodatna izobraževanja v zvezi z instituti DZ, uporabo Uredbe Bruselj IIb ter družinskimi postopki po ZNP-1. </w:t>
      </w:r>
    </w:p>
    <w:p w14:paraId="2A4E15AE" w14:textId="77777777" w:rsidR="00695AE2" w:rsidRPr="00CB5050" w:rsidRDefault="00695AE2" w:rsidP="00695AE2">
      <w:pPr>
        <w:spacing w:line="240" w:lineRule="auto"/>
        <w:jc w:val="both"/>
        <w:rPr>
          <w:rFonts w:eastAsia="Calibri"/>
        </w:rPr>
      </w:pPr>
    </w:p>
    <w:p w14:paraId="10A2764D" w14:textId="77777777" w:rsidR="00695AE2" w:rsidRPr="00CB5050" w:rsidRDefault="00695AE2" w:rsidP="00695AE2">
      <w:pPr>
        <w:pStyle w:val="Naslov5"/>
        <w:ind w:left="0" w:firstLine="0"/>
        <w:rPr>
          <w:rFonts w:eastAsia="Calibri"/>
        </w:rPr>
      </w:pPr>
      <w:bookmarkStart w:id="929" w:name="_Toc223094036"/>
      <w:r w:rsidRPr="00CB5050">
        <w:rPr>
          <w:rFonts w:eastAsia="Calibri"/>
        </w:rPr>
        <w:t>Delovna skupina za koordinacijo in oblikovanje stališč do pravnih vprašanj v zadevah, v katerih je državno odvetništvo v postopkih pred sodišči prevzelo zastopanje centrov za socialno delo po drugem odstavku 46. člena ZNP-1</w:t>
      </w:r>
      <w:bookmarkStart w:id="930" w:name="_Toc191562037"/>
      <w:bookmarkEnd w:id="929"/>
    </w:p>
    <w:bookmarkEnd w:id="930"/>
    <w:p w14:paraId="43A12364" w14:textId="77777777" w:rsidR="00695AE2" w:rsidRPr="00CB5050" w:rsidRDefault="00695AE2" w:rsidP="00695AE2">
      <w:pPr>
        <w:spacing w:line="240" w:lineRule="auto"/>
        <w:jc w:val="both"/>
        <w:rPr>
          <w:rFonts w:eastAsia="Calibri"/>
        </w:rPr>
      </w:pPr>
    </w:p>
    <w:p w14:paraId="17D78EBE" w14:textId="77777777" w:rsidR="00695AE2" w:rsidRPr="00CB5050" w:rsidRDefault="00695AE2" w:rsidP="00695AE2">
      <w:pPr>
        <w:spacing w:line="23" w:lineRule="atLeast"/>
        <w:jc w:val="both"/>
        <w:rPr>
          <w:rFonts w:eastAsia="Calibri"/>
        </w:rPr>
      </w:pPr>
      <w:r w:rsidRPr="00CB5050">
        <w:rPr>
          <w:rFonts w:eastAsia="Calibri"/>
        </w:rPr>
        <w:t>Zaradi nove pristojnosti, ki jo je Državnemu odvetništvu podelil 46. člen ZNP-1</w:t>
      </w:r>
      <w:r w:rsidRPr="00CB5050">
        <w:rPr>
          <w:rFonts w:eastAsia="Calibri"/>
          <w:vertAlign w:val="superscript"/>
        </w:rPr>
        <w:footnoteReference w:id="30"/>
      </w:r>
      <w:r w:rsidRPr="00CB5050">
        <w:rPr>
          <w:rFonts w:eastAsia="Calibri"/>
        </w:rPr>
        <w:t xml:space="preserve"> ter posledično dejstva, da izvajanje nove pristojnosti za državne odvetnike pomeni tudi potrebo po oblikovanju stališč v primeru pravnih vprašanj, ki se izpostavijo pri obravnavi konkretnih zadev, je bila na Državnem odvetništvu RS v začetku leta 2025 ustanovljena Delovna skupina za koordinacijo in oblikovanje stališč do pravnih vprašanj v zadevah, v katerih je državno odvetništvo v postopkih pred sodišči prevzelo zastopanje centrov za socialno delo (v nadaljevanju: CSD) po drugem odstavku 46. člena ZNP-1. </w:t>
      </w:r>
    </w:p>
    <w:p w14:paraId="438BD994" w14:textId="77777777" w:rsidR="00695AE2" w:rsidRPr="00CB5050" w:rsidRDefault="00695AE2" w:rsidP="00695AE2">
      <w:pPr>
        <w:spacing w:line="23" w:lineRule="atLeast"/>
        <w:jc w:val="both"/>
        <w:rPr>
          <w:rFonts w:eastAsia="Calibri"/>
        </w:rPr>
      </w:pPr>
    </w:p>
    <w:p w14:paraId="6726D256" w14:textId="77777777" w:rsidR="00695AE2" w:rsidRPr="00CB5050" w:rsidRDefault="00695AE2" w:rsidP="00695AE2">
      <w:pPr>
        <w:spacing w:line="23" w:lineRule="atLeast"/>
        <w:jc w:val="both"/>
        <w:rPr>
          <w:rFonts w:eastAsia="Calibri"/>
        </w:rPr>
      </w:pPr>
      <w:r w:rsidRPr="00CB5050">
        <w:rPr>
          <w:rFonts w:eastAsia="Calibri"/>
        </w:rPr>
        <w:t xml:space="preserve">Delovna skupina je z aktivnostmi začela takoj po ustanovitvi. Že v začetku leta 2025 je bilo namreč ugotovljeno, da število tovrstnih zadev narašča in da gre v teh primerih pogosto za zadeve z zelo zahtevno družinsko ter pravno problematiko in v tej povezavi za postopke za izrek ukrepov za varstvo koristi otrok trajnejšega značaja, nujne odvzeme otrok in predloge za začasne odredbe. Z namenom identifikacije pravnih problemov in ostalih težav, s katerimi se soočajo nosilci zadev, je delovna skupina pozvala nosilce zadev, v katerih je Državno </w:t>
      </w:r>
      <w:r w:rsidRPr="00CB5050">
        <w:rPr>
          <w:rFonts w:eastAsia="Calibri"/>
        </w:rPr>
        <w:lastRenderedPageBreak/>
        <w:t>odvetništvo RS na podlagi 46. člena ZNP-1 v sodnih postopkih prevzelo zastopanje CSD, da predstavijo kratko vsebino konkretne zadeve ter podajo mnenje o, za varstvo koristi otrok, relevantnih okoliščinah. V ta namen je delovna skupina nosilcem zadev posredovala tudi vprašanja, pri oblikovanju katerih je bila upoštevana sodba ESČP v pritožbeni zadevi X proti Sloveniji (št. 27746/22 in št. 28291/22 z dne 19. 12. 2024) kot tudi četrti odstavek 7. člena Družinskega zakonika</w:t>
      </w:r>
      <w:r w:rsidRPr="00CB5050">
        <w:rPr>
          <w:rFonts w:eastAsia="Calibri"/>
          <w:vertAlign w:val="superscript"/>
        </w:rPr>
        <w:footnoteReference w:id="31"/>
      </w:r>
      <w:r w:rsidRPr="00CB5050">
        <w:rPr>
          <w:rFonts w:eastAsia="Calibri"/>
        </w:rPr>
        <w:t xml:space="preserve"> (v nadaljevanju: DZ) ter jih na tej podlagi zaprosila tudi za informacije o aktivnostih sodišča, CSD, Državnega odvetništva RS in kolizijskih zastopnikov, če so bili otroku v postopku postavljeni, saj je korist otroka temeljni postulat, ki ga morajo zasledovati vsi, ki jim DZ nalaga skrb zanjo. </w:t>
      </w:r>
    </w:p>
    <w:p w14:paraId="576029B2" w14:textId="77777777" w:rsidR="00695AE2" w:rsidRPr="00CB5050" w:rsidRDefault="00695AE2" w:rsidP="00695AE2">
      <w:pPr>
        <w:spacing w:line="23" w:lineRule="atLeast"/>
        <w:jc w:val="both"/>
        <w:rPr>
          <w:rFonts w:eastAsia="Calibri"/>
        </w:rPr>
      </w:pPr>
    </w:p>
    <w:p w14:paraId="1F2C868E" w14:textId="77777777" w:rsidR="00695AE2" w:rsidRPr="00CB5050" w:rsidRDefault="00695AE2" w:rsidP="00695AE2">
      <w:pPr>
        <w:spacing w:line="23" w:lineRule="atLeast"/>
        <w:jc w:val="both"/>
        <w:rPr>
          <w:rFonts w:eastAsia="Calibri"/>
        </w:rPr>
      </w:pPr>
      <w:r w:rsidRPr="00CB5050">
        <w:rPr>
          <w:rFonts w:eastAsia="Calibri"/>
        </w:rPr>
        <w:t>Prav tako so bili nosilci zadev zaprošeni, da sporočijo svoja opažanja in podajo predloge v smeri izboljšanja varstva koristi otrok v sodnih postopkih, sporočijo probleme, ki so jih pri obravnavi zadev identificirali, ter posredujejo predloge tem izobraževanja.</w:t>
      </w:r>
    </w:p>
    <w:p w14:paraId="0A32B6DA" w14:textId="77777777" w:rsidR="00695AE2" w:rsidRPr="00CB5050" w:rsidRDefault="00695AE2" w:rsidP="00695AE2">
      <w:pPr>
        <w:spacing w:line="23" w:lineRule="atLeast"/>
        <w:jc w:val="both"/>
        <w:rPr>
          <w:rFonts w:eastAsia="Calibri"/>
        </w:rPr>
      </w:pPr>
    </w:p>
    <w:p w14:paraId="569D84B0" w14:textId="77777777" w:rsidR="00695AE2" w:rsidRPr="00CB5050" w:rsidRDefault="00695AE2" w:rsidP="00695AE2">
      <w:pPr>
        <w:spacing w:line="23" w:lineRule="atLeast"/>
        <w:jc w:val="both"/>
        <w:rPr>
          <w:rFonts w:eastAsia="Calibri"/>
        </w:rPr>
      </w:pPr>
      <w:r w:rsidRPr="00CB5050">
        <w:rPr>
          <w:rFonts w:eastAsia="Calibri"/>
        </w:rPr>
        <w:t xml:space="preserve">Na podlagi pregleda odprtih zadev ter pridobljenih mnenj in poročil nosilcev zadev je delovna skupina oblikovala skupne ugotovitve: </w:t>
      </w:r>
    </w:p>
    <w:p w14:paraId="73F83651"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sodišča neenotno odločajo o tem, kdaj otroku, katerega koristi je potrebno zavarovati, postavijo kolizijskega skrbnika, saj kriterijev za postavitev kolizijskih skrbnikov nimajo oblikovanih;</w:t>
      </w:r>
    </w:p>
    <w:p w14:paraId="1448AE3A"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so aktivnosti kolizijskih skrbnikov v konkretnih postopkih neenotne – nekateri so namreč zelo aktivni in se trudijo storiti vse, da se koristi otrok ugotovijo in zavarujejo, v nasprotju z drugimi, katerih aktivnosti ostanejo na ravni bolj ali manj pavšalnih vlog;</w:t>
      </w:r>
    </w:p>
    <w:p w14:paraId="435090A8"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je z vidika varstva koristi otrok v določenih primerih problematično tudi ravnanje pooblaščencev nasprotnih udeležencev (večinoma je to eden od staršev ali oba), ki v žaru varstva interesov svojega mandanta pogosto zanemarijo dolžnost varovanja koristi otrok iz 7. člena DZ in dolžnost obveščanja iz 180. člena DZ, k spoštovanju katerih so kot odvetniki zavezani;</w:t>
      </w:r>
    </w:p>
    <w:p w14:paraId="04CA4F9B"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se v določenih zadevah zaznava pomanjkljiva celostna obravnava družinske situacije;</w:t>
      </w:r>
    </w:p>
    <w:p w14:paraId="605CA73A"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se v posameznih primerih ne opravi presoja posledic izrečenega ukrepa in ni bilo opravljeno tehtanje, ali bi se lahko varstvo koristi otrok doseglo z milejšim ukrepom;</w:t>
      </w:r>
    </w:p>
    <w:p w14:paraId="5D884591"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lastRenderedPageBreak/>
        <w:t>da je bilo identificirano neenotno poslovanje Državnega odvetništva RS pri prevzemu zastopanja CSD;</w:t>
      </w:r>
    </w:p>
    <w:p w14:paraId="4FE1C249"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je bilo zaznano neenotno poslovanje sodišč v zvezi s prevzemom zastopanja CSD s strani Državnega odvetništva RS, saj nekatera sodišča o prevzemu zastopanja odločijo s sklepom, druga ne;</w:t>
      </w:r>
    </w:p>
    <w:p w14:paraId="22E758F7"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da predstavniki CSD izražajo potrebo po pravnem svetovanju na področju sestave predlogov in nadaljnjih vlog, glede procesnih pravil in poteka samega sodnega postopka, kot tudi pri predlaganju dokazov in izvajanju dokazov;</w:t>
      </w:r>
    </w:p>
    <w:p w14:paraId="204CCB88" w14:textId="77777777" w:rsidR="00695AE2" w:rsidRPr="00CB5050" w:rsidRDefault="00695AE2" w:rsidP="006D16C0">
      <w:pPr>
        <w:numPr>
          <w:ilvl w:val="0"/>
          <w:numId w:val="159"/>
        </w:numPr>
        <w:spacing w:after="160" w:line="23" w:lineRule="atLeast"/>
        <w:jc w:val="both"/>
        <w:rPr>
          <w:rFonts w:eastAsia="Calibri"/>
        </w:rPr>
      </w:pPr>
      <w:r w:rsidRPr="00CB5050">
        <w:rPr>
          <w:rFonts w:eastAsia="Calibri"/>
        </w:rPr>
        <w:t xml:space="preserve">da tudi nosilci zadev na Državnem odvetništvu RS izražajo željo po dodatnem izobraževanju in izmenjavi izkušenj. </w:t>
      </w:r>
    </w:p>
    <w:p w14:paraId="3D28E50B" w14:textId="77777777" w:rsidR="00695AE2" w:rsidRPr="00CB5050" w:rsidRDefault="00695AE2" w:rsidP="00695AE2">
      <w:pPr>
        <w:spacing w:line="23" w:lineRule="atLeast"/>
        <w:jc w:val="both"/>
        <w:rPr>
          <w:rFonts w:eastAsia="Calibri"/>
        </w:rPr>
      </w:pPr>
    </w:p>
    <w:p w14:paraId="64E79928" w14:textId="77777777" w:rsidR="00695AE2" w:rsidRPr="00CB5050" w:rsidRDefault="00695AE2" w:rsidP="00695AE2">
      <w:pPr>
        <w:spacing w:line="23" w:lineRule="atLeast"/>
        <w:jc w:val="both"/>
        <w:rPr>
          <w:rFonts w:eastAsia="Calibri"/>
        </w:rPr>
      </w:pPr>
      <w:r w:rsidRPr="00CB5050">
        <w:rPr>
          <w:rFonts w:eastAsia="Calibri"/>
        </w:rPr>
        <w:t>Skupne ugotovitve analize so bile izhodišče za nadaljnje aktivnosti delovne skupine, in sicer so bile te usmerjene v organizacijo in izvedbo izobraževanj, izvedbo intervizijskih srečanj, oblikovanje predlogov k osnutku Strategije in Nacionalnega akcijskega načrta skupnega projekta Evropske unije in Sveta Evropa »Zagotavljanje največje koristi otrok v civilnih sodnih postopkih v Sloveniji«, izdelavi priporočil za usklajeno delovanje Državnega odvetništva RS, kar vse bo podrobneje pojasnjeno še v nadaljevanju.</w:t>
      </w:r>
    </w:p>
    <w:p w14:paraId="23EB7C48" w14:textId="77777777" w:rsidR="00695AE2" w:rsidRPr="00CB5050" w:rsidRDefault="00695AE2" w:rsidP="00695AE2">
      <w:pPr>
        <w:spacing w:line="23" w:lineRule="atLeast"/>
        <w:jc w:val="both"/>
        <w:rPr>
          <w:rFonts w:eastAsia="Calibri"/>
        </w:rPr>
      </w:pPr>
    </w:p>
    <w:p w14:paraId="1C0BAD73" w14:textId="77777777" w:rsidR="00695AE2" w:rsidRPr="00CB5050" w:rsidRDefault="00695AE2" w:rsidP="00695AE2">
      <w:pPr>
        <w:spacing w:line="23" w:lineRule="atLeast"/>
        <w:jc w:val="both"/>
        <w:rPr>
          <w:rFonts w:eastAsia="Calibri"/>
          <w:color w:val="007466"/>
        </w:rPr>
      </w:pPr>
      <w:r w:rsidRPr="00CB5050">
        <w:rPr>
          <w:rFonts w:eastAsia="Calibri"/>
          <w:color w:val="007466"/>
        </w:rPr>
        <w:t>Skupno izobraževanje za predstavnike CSD in Državnega odvetništva RS na temo Družinskega zakonika, Zakona o nepravdnem postopku ter aktualne sodne prakse ESČP in slovenskih sodišč</w:t>
      </w:r>
    </w:p>
    <w:p w14:paraId="0709DFB6" w14:textId="77777777" w:rsidR="00695AE2" w:rsidRPr="00CB5050" w:rsidRDefault="00695AE2" w:rsidP="00695AE2">
      <w:pPr>
        <w:spacing w:line="23" w:lineRule="atLeast"/>
        <w:jc w:val="both"/>
        <w:rPr>
          <w:rFonts w:eastAsia="Calibri"/>
        </w:rPr>
      </w:pPr>
    </w:p>
    <w:p w14:paraId="20D7EECF" w14:textId="77777777" w:rsidR="00695AE2" w:rsidRPr="00CB5050" w:rsidRDefault="00695AE2" w:rsidP="00695AE2">
      <w:pPr>
        <w:spacing w:line="23" w:lineRule="atLeast"/>
        <w:jc w:val="both"/>
        <w:rPr>
          <w:rFonts w:eastAsia="Calibri"/>
        </w:rPr>
      </w:pPr>
      <w:r w:rsidRPr="00CB5050">
        <w:rPr>
          <w:rFonts w:eastAsia="Calibri"/>
        </w:rPr>
        <w:t xml:space="preserve">Ob upoštevanju, da je bila na Državnem odvetništvu RS identificirana želja po dodatnem izobraževanju in da so potrebo po skupnem izobraževanju izrazili tudi predstavniki CSD, se je delovna skupina povezala s Skupnostjo CSD zaradi izvedbe skupnega izobraževanja. Tekom skupnega procesa oblikovanja vsebine izobraževanja se je izrazila želja, naj izobraževanje služi tudi spoznavanju in navezovanju kontaktov med predstavniki CSD in Državnega odvetništva RS, ki medsebojno sodelujejo, saj navedeno pomeni boljšo komunikacijo in posledično učinkovitejše varstvo koristi otrok. </w:t>
      </w:r>
    </w:p>
    <w:p w14:paraId="16F13CB0" w14:textId="77777777" w:rsidR="00695AE2" w:rsidRPr="00CB5050" w:rsidRDefault="00695AE2" w:rsidP="00695AE2">
      <w:pPr>
        <w:spacing w:line="23" w:lineRule="atLeast"/>
        <w:jc w:val="both"/>
        <w:rPr>
          <w:rFonts w:eastAsia="Calibri"/>
        </w:rPr>
      </w:pPr>
    </w:p>
    <w:p w14:paraId="3FB1FC56" w14:textId="77777777" w:rsidR="00695AE2" w:rsidRPr="00CB5050" w:rsidRDefault="00695AE2" w:rsidP="00695AE2">
      <w:pPr>
        <w:spacing w:line="23" w:lineRule="atLeast"/>
        <w:jc w:val="both"/>
        <w:rPr>
          <w:rFonts w:eastAsia="Calibri"/>
        </w:rPr>
      </w:pPr>
      <w:r w:rsidRPr="00CB5050">
        <w:rPr>
          <w:rFonts w:eastAsia="Calibri"/>
        </w:rPr>
        <w:t>Rezultat sodelovanja je skupni izobraževalni dogodek s področja družinskega prava s temami: Splošno o Družinskem zakoniku in varovanju koristi otrok ter starševska skrb, Razvojne potrebe otrok, Strokovno delo z družino pred, med in po postopku na sodišču, Posvojitev, rejništvo in skrbništvo, ZNP-1: splošne in skupne določbe, Ukrepi in specifična procesna vprašanja z aktualno sodno prakso ter aktualna sodna praksa ESČP. Tem je veliko, zato je izobraževalni dogodek dvodnevni in je organiziran v štirih terminih na treh lokacijah, in sicer v Ljubljani, Mariboru in Kopru na način, da so na posamezno izvedbo izobraževanja vabljeni predvsem tisti predstavniki CSD in Državnega odvetništva RS, ki glede na pristojnosti posameznih oddelkov sodelujejo. Prvo izobraževanje je načrtovano za januar 2026.</w:t>
      </w:r>
    </w:p>
    <w:p w14:paraId="2A2A4543" w14:textId="77777777" w:rsidR="00695AE2" w:rsidRPr="00CB5050" w:rsidRDefault="00695AE2" w:rsidP="00695AE2">
      <w:pPr>
        <w:spacing w:line="23" w:lineRule="atLeast"/>
        <w:jc w:val="both"/>
        <w:rPr>
          <w:rFonts w:eastAsia="Calibri"/>
        </w:rPr>
      </w:pPr>
    </w:p>
    <w:p w14:paraId="32AFE2E6" w14:textId="77777777" w:rsidR="00695AE2" w:rsidRPr="00CB5050" w:rsidRDefault="00695AE2" w:rsidP="00695AE2">
      <w:pPr>
        <w:spacing w:line="23" w:lineRule="atLeast"/>
        <w:jc w:val="both"/>
        <w:rPr>
          <w:rFonts w:eastAsia="Calibri"/>
          <w:color w:val="007466"/>
        </w:rPr>
      </w:pPr>
      <w:r w:rsidRPr="00CB5050">
        <w:rPr>
          <w:rFonts w:eastAsia="Calibri"/>
          <w:color w:val="007466"/>
        </w:rPr>
        <w:t>Predlog organizacije predavanja dr. Leonide Zalokar na temo obnašanja ljudi z osebnostno motnjo, ki je bil realiziran na Šoli državnega odvetništva 2025 v Postojni</w:t>
      </w:r>
    </w:p>
    <w:p w14:paraId="20A056F1" w14:textId="77777777" w:rsidR="00695AE2" w:rsidRPr="00CB5050" w:rsidRDefault="00695AE2" w:rsidP="00695AE2">
      <w:pPr>
        <w:spacing w:line="23" w:lineRule="atLeast"/>
        <w:jc w:val="both"/>
        <w:rPr>
          <w:rFonts w:eastAsia="Calibri"/>
        </w:rPr>
      </w:pPr>
    </w:p>
    <w:p w14:paraId="423416AB" w14:textId="77777777" w:rsidR="00695AE2" w:rsidRPr="00CB5050" w:rsidRDefault="00695AE2" w:rsidP="00695AE2">
      <w:pPr>
        <w:spacing w:line="23" w:lineRule="atLeast"/>
        <w:jc w:val="both"/>
        <w:rPr>
          <w:rFonts w:eastAsia="Calibri"/>
        </w:rPr>
      </w:pPr>
      <w:r w:rsidRPr="00CB5050">
        <w:rPr>
          <w:rFonts w:eastAsia="Calibri"/>
        </w:rPr>
        <w:t xml:space="preserve">Na podlagi predstavitve analize sodb ESČP proti Sloveniji v zvezi z odvzemom otrok (analiza sodbe ESČP V. proti Sloveniji z dne 1. 2. 2011, S.S. proti Sloveniji z dne 30. 10. 2018, X proti Sloveniji z dne 19. 12. 2024 in X proti Sloveniji z dne 28. 6. 2012) je delovna skupina </w:t>
      </w:r>
      <w:r w:rsidRPr="00CB5050">
        <w:rPr>
          <w:rFonts w:eastAsia="Calibri"/>
        </w:rPr>
        <w:lastRenderedPageBreak/>
        <w:t xml:space="preserve">obravnavala tudi pravno relevantno problematiko duševnega zdravja, ki v predhodnih postopkih na CSD iz razloga, ker strokovni delavci CSD niso usposobljeni prepoznati ali posumiti na prisotnost še ne diagnosticiranih duševnih motenj, pogosto ni prepoznana, temveč takšna stanja prepoznajo šele klinični psihologi kot izvedenci v sodnih postopkih. </w:t>
      </w:r>
    </w:p>
    <w:p w14:paraId="63568406" w14:textId="77777777" w:rsidR="00695AE2" w:rsidRPr="00CB5050" w:rsidRDefault="00695AE2" w:rsidP="00695AE2">
      <w:pPr>
        <w:spacing w:line="23" w:lineRule="atLeast"/>
        <w:jc w:val="both"/>
        <w:rPr>
          <w:rFonts w:eastAsia="Calibri"/>
        </w:rPr>
      </w:pPr>
    </w:p>
    <w:p w14:paraId="0913B539" w14:textId="77777777" w:rsidR="00695AE2" w:rsidRPr="00CB5050" w:rsidRDefault="00695AE2" w:rsidP="00695AE2">
      <w:pPr>
        <w:spacing w:line="23" w:lineRule="atLeast"/>
        <w:jc w:val="both"/>
        <w:rPr>
          <w:rFonts w:eastAsia="Calibri"/>
        </w:rPr>
      </w:pPr>
      <w:r w:rsidRPr="00CB5050">
        <w:rPr>
          <w:rFonts w:eastAsia="Calibri"/>
        </w:rPr>
        <w:t xml:space="preserve">Delovna skupina je zato za primere, v katerih nosilci zadeve zaznajo nenavadno, nelogično, kontradiktorno ali nejasno družinsko dinamiko, predlagala, da pri ugotavljanju dejanskega stanja nosilci zadev vztrajajo pri postavitvi izvedenca psihiatra ali kliničnega psihologa. </w:t>
      </w:r>
    </w:p>
    <w:p w14:paraId="541BF36B" w14:textId="77777777" w:rsidR="00695AE2" w:rsidRPr="00CB5050" w:rsidRDefault="00695AE2" w:rsidP="00695AE2">
      <w:pPr>
        <w:spacing w:line="23" w:lineRule="atLeast"/>
        <w:jc w:val="both"/>
        <w:rPr>
          <w:rFonts w:eastAsia="Calibri"/>
        </w:rPr>
      </w:pPr>
    </w:p>
    <w:p w14:paraId="4F56340D" w14:textId="77777777" w:rsidR="00695AE2" w:rsidRPr="00CB5050" w:rsidRDefault="00695AE2" w:rsidP="00695AE2">
      <w:pPr>
        <w:spacing w:line="23" w:lineRule="atLeast"/>
        <w:jc w:val="both"/>
        <w:rPr>
          <w:rFonts w:eastAsia="Calibri"/>
        </w:rPr>
      </w:pPr>
      <w:r w:rsidRPr="00CB5050">
        <w:rPr>
          <w:rFonts w:eastAsia="Calibri"/>
        </w:rPr>
        <w:t>Ker nosilci zadev ne razpolagajo z znanjem, ki bi omogočilo oceno, kdaj so podane okoliščine, ki bi kazale na duševno motnjo, je delovna skupina vodstvu Državnega odvetništva RS predlagala izvedbo predavanja dr. Leonide Zalokar na temo obnašanja ljudi z osebnostno motnjo. Predlog delovne skupine je bil realiziran na Šoli državnega odvetništva 2025.</w:t>
      </w:r>
    </w:p>
    <w:p w14:paraId="3917AAF1" w14:textId="77777777" w:rsidR="00695AE2" w:rsidRPr="00CB5050" w:rsidRDefault="00695AE2" w:rsidP="00695AE2">
      <w:pPr>
        <w:spacing w:line="23" w:lineRule="atLeast"/>
        <w:jc w:val="both"/>
        <w:rPr>
          <w:rFonts w:eastAsia="Calibri"/>
        </w:rPr>
      </w:pPr>
    </w:p>
    <w:p w14:paraId="5C05BFAF" w14:textId="77777777" w:rsidR="00695AE2" w:rsidRPr="00CB5050" w:rsidRDefault="00695AE2" w:rsidP="00695AE2">
      <w:pPr>
        <w:spacing w:line="23" w:lineRule="atLeast"/>
        <w:jc w:val="both"/>
        <w:rPr>
          <w:rFonts w:eastAsia="Calibri"/>
          <w:color w:val="007466"/>
        </w:rPr>
      </w:pPr>
      <w:r w:rsidRPr="00CB5050">
        <w:rPr>
          <w:rFonts w:eastAsia="Calibri"/>
          <w:color w:val="007466"/>
        </w:rPr>
        <w:t xml:space="preserve">Organizacija intervizijskih srečanj </w:t>
      </w:r>
    </w:p>
    <w:p w14:paraId="63977822" w14:textId="77777777" w:rsidR="00695AE2" w:rsidRPr="00CB5050" w:rsidRDefault="00695AE2" w:rsidP="00695AE2">
      <w:pPr>
        <w:spacing w:line="23" w:lineRule="atLeast"/>
        <w:jc w:val="both"/>
        <w:rPr>
          <w:rFonts w:eastAsia="Calibri"/>
        </w:rPr>
      </w:pPr>
    </w:p>
    <w:p w14:paraId="44E8AF35" w14:textId="77777777" w:rsidR="00695AE2" w:rsidRPr="00CB5050" w:rsidRDefault="00695AE2" w:rsidP="00695AE2">
      <w:pPr>
        <w:spacing w:line="23" w:lineRule="atLeast"/>
        <w:jc w:val="both"/>
        <w:rPr>
          <w:rFonts w:eastAsia="Calibri"/>
        </w:rPr>
      </w:pPr>
      <w:r w:rsidRPr="00CB5050">
        <w:rPr>
          <w:rFonts w:eastAsia="Calibri"/>
        </w:rPr>
        <w:t xml:space="preserve">Pri obravnavi zadev s temeljem »prevzem zastopanja CSD po 46. členu ZNP-1« se nosilcem zadev poraja kar nekaj strokovnih dilem, zato se je na Državnem odvetništvu RS na predlog delovne skupine pristopilo k organizaciji intervizijskih srečanj. </w:t>
      </w:r>
    </w:p>
    <w:p w14:paraId="2D964B96" w14:textId="77777777" w:rsidR="00695AE2" w:rsidRPr="00CB5050" w:rsidRDefault="00695AE2" w:rsidP="00695AE2">
      <w:pPr>
        <w:spacing w:line="23" w:lineRule="atLeast"/>
        <w:jc w:val="both"/>
        <w:rPr>
          <w:rFonts w:eastAsia="Calibri"/>
        </w:rPr>
      </w:pPr>
    </w:p>
    <w:p w14:paraId="79DE9055" w14:textId="77777777" w:rsidR="00695AE2" w:rsidRPr="00CB5050" w:rsidRDefault="00695AE2" w:rsidP="00695AE2">
      <w:pPr>
        <w:spacing w:line="23" w:lineRule="atLeast"/>
        <w:jc w:val="both"/>
        <w:rPr>
          <w:rFonts w:eastAsia="Calibri"/>
        </w:rPr>
      </w:pPr>
      <w:r w:rsidRPr="00CB5050">
        <w:rPr>
          <w:rFonts w:eastAsia="Calibri"/>
        </w:rPr>
        <w:t>Intervizija predstavlja obliko kolegialnega posvetovanja, služi izmenjavi mnenj, izkušenj ter predstavitvi možnih rešitev. Prvo intervizijsko srečanje na temo varovanja koristi otrok, na katerem so kolegi po razjasnitvi dejanskega stanja delili svoje poglede in izkušnje ter predloge rešitev, je bilo uspešno izvedeno decembra 2025.</w:t>
      </w:r>
    </w:p>
    <w:p w14:paraId="6A53FAB9" w14:textId="77777777" w:rsidR="00695AE2" w:rsidRPr="00CB5050" w:rsidRDefault="00695AE2" w:rsidP="00695AE2">
      <w:pPr>
        <w:spacing w:line="23" w:lineRule="atLeast"/>
        <w:jc w:val="both"/>
        <w:rPr>
          <w:rFonts w:eastAsia="Calibri"/>
        </w:rPr>
      </w:pPr>
    </w:p>
    <w:p w14:paraId="32C67023" w14:textId="77777777" w:rsidR="00695AE2" w:rsidRPr="00CB5050" w:rsidRDefault="00695AE2" w:rsidP="00695AE2">
      <w:pPr>
        <w:spacing w:line="23" w:lineRule="atLeast"/>
        <w:jc w:val="both"/>
        <w:rPr>
          <w:rFonts w:eastAsia="Calibri"/>
          <w:color w:val="007466"/>
        </w:rPr>
      </w:pPr>
      <w:r w:rsidRPr="00CB5050">
        <w:rPr>
          <w:rFonts w:eastAsia="Calibri"/>
          <w:color w:val="007466"/>
        </w:rPr>
        <w:t>Oblikovanje predlogov in priporočil k osnutku Strategije in Nacionalnega akcijskega načrta skupnega projekta Evropske unije in Sveta Evropa »Zagotavljanje največje koristi otrok v civilnih sodnih postopkih v Sloveniji«</w:t>
      </w:r>
    </w:p>
    <w:p w14:paraId="01C8BBE5" w14:textId="77777777" w:rsidR="00695AE2" w:rsidRPr="00CB5050" w:rsidRDefault="00695AE2" w:rsidP="00695AE2">
      <w:pPr>
        <w:spacing w:line="23" w:lineRule="atLeast"/>
        <w:jc w:val="both"/>
        <w:rPr>
          <w:rFonts w:eastAsia="Calibri"/>
        </w:rPr>
      </w:pPr>
    </w:p>
    <w:p w14:paraId="0CDCF71E" w14:textId="77777777" w:rsidR="00695AE2" w:rsidRPr="00CB5050" w:rsidRDefault="00695AE2" w:rsidP="00695AE2">
      <w:pPr>
        <w:spacing w:line="23" w:lineRule="atLeast"/>
        <w:jc w:val="both"/>
        <w:rPr>
          <w:rFonts w:eastAsia="Calibri"/>
        </w:rPr>
      </w:pPr>
      <w:r w:rsidRPr="00CB5050">
        <w:rPr>
          <w:rFonts w:eastAsia="Calibri"/>
        </w:rPr>
        <w:t xml:space="preserve">Delovna skupina je na podlagi predloga predstavnice Državnega odvetništva RS v medresorski delovni skupini v okviru skupnega projekta Evropske unije in Sveta Evropa »Zagotavljanje največje koristi otrok v civilnih sodnih postopkih v Sloveniji« v letu 2025 obravnavala osnutek Strategije in Nacionalnega akcijskega načrta, izdelanega v okviru prej navedenega skupnega projekta. </w:t>
      </w:r>
    </w:p>
    <w:p w14:paraId="1400F2D9" w14:textId="77777777" w:rsidR="00695AE2" w:rsidRPr="00CB5050" w:rsidRDefault="00695AE2" w:rsidP="00695AE2">
      <w:pPr>
        <w:spacing w:line="23" w:lineRule="atLeast"/>
        <w:jc w:val="both"/>
        <w:rPr>
          <w:rFonts w:eastAsia="Calibri"/>
        </w:rPr>
      </w:pPr>
    </w:p>
    <w:p w14:paraId="03713B1B" w14:textId="77777777" w:rsidR="00695AE2" w:rsidRPr="00CB5050" w:rsidRDefault="00695AE2" w:rsidP="00695AE2">
      <w:pPr>
        <w:spacing w:line="23" w:lineRule="atLeast"/>
        <w:jc w:val="both"/>
        <w:rPr>
          <w:rFonts w:eastAsia="Calibri"/>
        </w:rPr>
      </w:pPr>
      <w:r w:rsidRPr="00CB5050">
        <w:rPr>
          <w:rFonts w:eastAsia="Calibri"/>
        </w:rPr>
        <w:t xml:space="preserve">Namen skupnega projekta je izboljšati varstvo otrokovih pravic v civilnih sodnih postopkih v Sloveniji z upoštevanem največje koristi otroka. Glede na namen skupnega projekta je delovna skupina podala predloge k osnutku strategije in akcijskega načrta ter jih posredovala predstavnici Državnega odvetništva RS v medresorski delovni skupini zaradi njihove predstavitve v okviru skupnega projekta. </w:t>
      </w:r>
    </w:p>
    <w:p w14:paraId="29F51B97" w14:textId="77777777" w:rsidR="00695AE2" w:rsidRPr="00CB5050" w:rsidRDefault="00695AE2" w:rsidP="00695AE2">
      <w:pPr>
        <w:spacing w:line="23" w:lineRule="atLeast"/>
        <w:jc w:val="both"/>
        <w:rPr>
          <w:rFonts w:eastAsia="Calibri"/>
        </w:rPr>
      </w:pPr>
    </w:p>
    <w:p w14:paraId="3B304875" w14:textId="77777777" w:rsidR="00695AE2" w:rsidRPr="00CB5050" w:rsidRDefault="00695AE2" w:rsidP="00695AE2">
      <w:pPr>
        <w:spacing w:line="23" w:lineRule="atLeast"/>
        <w:jc w:val="both"/>
        <w:rPr>
          <w:rFonts w:eastAsia="Calibri"/>
        </w:rPr>
      </w:pPr>
      <w:r w:rsidRPr="00CB5050">
        <w:rPr>
          <w:rFonts w:eastAsia="Calibri"/>
        </w:rPr>
        <w:t xml:space="preserve">Predlogi delovne skupine so deloma izhajali tudi iz skupnih ugotovitev analize odprtih zadev s temeljem »prevzem zastopanja CSD po 46. členu ZNP-1«, ki jo je delovna skupina opravila takoj na začetku ustanovitve. Izhajajoč iz skupnih ugotovitev analize je delovna skupina v predlogu pripomb k osnutku strategije in akcijskega načrta opozorila na problem pooblaščencev nasprotne stranke – odvetnikov, ki v želji po uspehu zastopane stranke pogosto spregledajo koristi otrok in delujejo v nasprotju z njo, kar je v nasprotju z določbama 7. člena </w:t>
      </w:r>
      <w:r w:rsidRPr="00CB5050">
        <w:rPr>
          <w:rFonts w:eastAsia="Calibri"/>
        </w:rPr>
        <w:lastRenderedPageBreak/>
        <w:t>in 180. člena DZ, nadalje na dejstvo, da sodišče nima izdelanih kriterijev oziroma smernic, ki naj služijo kot podlaga odločitvi sodišča, v katerih primerih sodišče pozove Državno odvetništvo RS na prevzem zastopanja CSD po drugem odstavku 46. člena ZNP-1. Prav tako je delovna skupina opozorila na problematiko kolizijskih skrbnikov in v zvezi z njimi na neenotno odločanje sodišč o njihovi postavitvi ter na dejstvo, da so aktivnosti kolizijskih skrbnikov različne, od zelo aktivnih pa do tistih, katerih aktivnosti so omejene le na vlaganje »pavšalnih vlog«, kot tudi na problem prepoznavanja duševnih bolezni in osebnostnih motenj ter na problematiko izvedenstva in t. i. pod področij izvedenstva v psihologiji. Prav tako je izpostavila problem zanemarjanja otrok, ki pod opredelitvijo zlorabe otrok ni naslovljen.</w:t>
      </w:r>
    </w:p>
    <w:p w14:paraId="46589578" w14:textId="77777777" w:rsidR="00695AE2" w:rsidRPr="00CB5050" w:rsidRDefault="00695AE2" w:rsidP="00695AE2">
      <w:pPr>
        <w:spacing w:line="23" w:lineRule="atLeast"/>
        <w:jc w:val="both"/>
        <w:rPr>
          <w:rFonts w:eastAsia="Calibri"/>
        </w:rPr>
      </w:pPr>
    </w:p>
    <w:p w14:paraId="4F6B0066" w14:textId="77777777" w:rsidR="00695AE2" w:rsidRPr="00CB5050" w:rsidRDefault="00695AE2" w:rsidP="00695AE2">
      <w:pPr>
        <w:spacing w:line="23" w:lineRule="atLeast"/>
        <w:jc w:val="both"/>
        <w:rPr>
          <w:rFonts w:eastAsia="Calibri"/>
          <w:color w:val="007466"/>
        </w:rPr>
      </w:pPr>
      <w:r w:rsidRPr="00CB5050">
        <w:rPr>
          <w:rFonts w:eastAsia="Calibri"/>
          <w:color w:val="007466"/>
        </w:rPr>
        <w:t>Priporočila delovne skupine za poenotenje poslovanja Državnega odvetništva RS pri obravnavi zadev s temeljem »zastopanje CSD po 46. členu ZNP-1«</w:t>
      </w:r>
    </w:p>
    <w:p w14:paraId="56FB20CB" w14:textId="77777777" w:rsidR="00695AE2" w:rsidRPr="00CB5050" w:rsidRDefault="00695AE2" w:rsidP="00695AE2">
      <w:pPr>
        <w:spacing w:line="23" w:lineRule="atLeast"/>
        <w:jc w:val="both"/>
        <w:rPr>
          <w:rFonts w:eastAsia="Calibri"/>
        </w:rPr>
      </w:pPr>
    </w:p>
    <w:p w14:paraId="7B26007B" w14:textId="77777777" w:rsidR="00695AE2" w:rsidRPr="00CB5050" w:rsidRDefault="00695AE2" w:rsidP="00695AE2">
      <w:pPr>
        <w:spacing w:line="23" w:lineRule="atLeast"/>
        <w:jc w:val="both"/>
        <w:rPr>
          <w:rFonts w:eastAsia="Calibri"/>
        </w:rPr>
      </w:pPr>
      <w:r w:rsidRPr="00CB5050">
        <w:rPr>
          <w:rFonts w:eastAsia="Calibri"/>
        </w:rPr>
        <w:t>Na podlagi analize obravnavanih zadev s temeljem »zastopanje CSD po 46. členu ZNP-1« je delovna skupina zaznala neenotno poslovanje Državnega odvetništva RS pri prevzemu zastopanja CSD, saj se je v določenih primerih poleg izjave o prevzemu zastopanja priložilo tudi pooblastilo CSD. Delovna skupina je zato sprejela priporočilo, da zadostuje izjava o prevzemu zastopanja in pooblastila ni potrebno priložiti ter v tej smeri predlagala poenotenje poslovanja.</w:t>
      </w:r>
    </w:p>
    <w:p w14:paraId="7BED6EBC" w14:textId="77777777" w:rsidR="00695AE2" w:rsidRPr="00CB5050" w:rsidRDefault="00695AE2" w:rsidP="00695AE2">
      <w:pPr>
        <w:spacing w:line="23" w:lineRule="atLeast"/>
        <w:jc w:val="both"/>
        <w:rPr>
          <w:rFonts w:eastAsia="Calibri"/>
        </w:rPr>
      </w:pPr>
    </w:p>
    <w:p w14:paraId="5EBE0C78" w14:textId="77777777" w:rsidR="00695AE2" w:rsidRPr="00CB5050" w:rsidRDefault="00695AE2" w:rsidP="00695AE2">
      <w:pPr>
        <w:spacing w:line="23" w:lineRule="atLeast"/>
        <w:jc w:val="both"/>
        <w:rPr>
          <w:rFonts w:eastAsia="Calibri"/>
        </w:rPr>
      </w:pPr>
      <w:r w:rsidRPr="00CB5050">
        <w:rPr>
          <w:rFonts w:eastAsia="Calibri"/>
        </w:rPr>
        <w:t>Prav tako je delovna skupina obravnavala dilemo vlaganja pospešitvenih sredstev v postopkih za izrek ukrepa za varstvo koristi otroka in zavzela priporočilo, da se pospešitvena sredstva v družinskih zadevah uporabijo le v primeru, ko je nosilec zadeve storil vse, da se postopek pospeši in vzrok dolgotrajnosti postopka ni sistemske narave.</w:t>
      </w:r>
    </w:p>
    <w:p w14:paraId="3BF14045" w14:textId="77777777" w:rsidR="00695AE2" w:rsidRPr="00CB5050" w:rsidRDefault="00695AE2" w:rsidP="00695AE2">
      <w:pPr>
        <w:spacing w:line="23" w:lineRule="atLeast"/>
        <w:jc w:val="both"/>
        <w:rPr>
          <w:rFonts w:eastAsia="Calibri"/>
        </w:rPr>
      </w:pPr>
    </w:p>
    <w:p w14:paraId="313B6764" w14:textId="77777777" w:rsidR="00695AE2" w:rsidRPr="00CB5050" w:rsidRDefault="00695AE2" w:rsidP="00695AE2">
      <w:pPr>
        <w:spacing w:line="23" w:lineRule="atLeast"/>
        <w:jc w:val="both"/>
        <w:rPr>
          <w:rFonts w:eastAsia="Calibri"/>
        </w:rPr>
      </w:pPr>
      <w:r w:rsidRPr="00CB5050">
        <w:rPr>
          <w:rFonts w:eastAsia="Calibri"/>
        </w:rPr>
        <w:t>Nadalje je delovna skupina obravnavala namen in razloge posredovanja sklepov sodišča, izdanih v postopkih za namestitev otroka v zavod, v katerih je sodišče sklepe Državnemu odvetništvu RS posredovalo zgolj iz razloga spremljanja plačil v proračun in v teh postopkih Državno odvetništvo RS ni prevzelo zastopanja CSD in v njih tudi ni sodelovalo na drugi pravni podlagi. Delovna skupina je sprejela priporočilo, da v teh postopkih nosilec zadeve sklep vrne sodišču s pojasnilom, da Državno odvetništvo RS v postopkih, v katerih ni udeleženo kot zakoniti zastopnik ali ni prevzelo zastopanja CSD po 46. členu ZNP-1, tudi ni pristojno, da spremlja plačila v proračun.</w:t>
      </w:r>
    </w:p>
    <w:p w14:paraId="4EFA3660" w14:textId="77777777" w:rsidR="00695AE2" w:rsidRPr="00CB5050" w:rsidRDefault="00695AE2" w:rsidP="00695AE2">
      <w:pPr>
        <w:spacing w:line="240" w:lineRule="auto"/>
        <w:jc w:val="both"/>
        <w:rPr>
          <w:rFonts w:eastAsia="Times New Roman"/>
          <w:lang w:eastAsia="sl-SI"/>
        </w:rPr>
      </w:pPr>
    </w:p>
    <w:p w14:paraId="7004F2EA" w14:textId="77777777" w:rsidR="00695AE2" w:rsidRPr="00CB5050" w:rsidRDefault="00695AE2" w:rsidP="00695AE2">
      <w:pPr>
        <w:pStyle w:val="Naslov5"/>
        <w:ind w:left="0" w:firstLine="0"/>
      </w:pPr>
      <w:bookmarkStart w:id="931" w:name="_Toc191562038"/>
      <w:bookmarkStart w:id="932" w:name="_Toc223094037"/>
      <w:r w:rsidRPr="00CB5050">
        <w:t>Prevzem zastopanja CSD in vprašanje ustavne skladnosti določbe 37. člena ZNP-1 v postopkih za varstvo koristi otrok zaradi stališča, ki ga je v zvezi z razlago določbe 378. člena ZPP v zvezi s 37. členom ZNP-1 zavzelo Vrhovno sodišče RS v sklepu, opr.št. II Ips 47/2024 z dne 13. 11. 2024</w:t>
      </w:r>
      <w:bookmarkEnd w:id="931"/>
      <w:r w:rsidRPr="00CB5050">
        <w:t xml:space="preserve"> – odločba Ustavnega sodišča, št. Up-71/25 z dne 12. 6. 2025</w:t>
      </w:r>
      <w:bookmarkEnd w:id="932"/>
    </w:p>
    <w:p w14:paraId="08E7E662" w14:textId="77777777" w:rsidR="00695AE2" w:rsidRPr="00CB5050" w:rsidRDefault="00695AE2" w:rsidP="00695AE2">
      <w:pPr>
        <w:spacing w:line="240" w:lineRule="auto"/>
        <w:jc w:val="both"/>
        <w:rPr>
          <w:rFonts w:eastAsia="Calibri"/>
        </w:rPr>
      </w:pPr>
    </w:p>
    <w:p w14:paraId="437DFC51"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v predmetni zadevi na podlagi poziva sodišča po 46. členu ZNP-1 prevzelo zastopanje CSD v zvezi s predlogom za odvzem starševske skrbi in namestitve otroka v rejniško družino oziroma v zavod, določitev stikov, preživnine in skrbnika mladoletnemu otroku šele v postopku pred sodiščem druge stopnje. </w:t>
      </w:r>
    </w:p>
    <w:p w14:paraId="53458A8A" w14:textId="77777777" w:rsidR="00695AE2" w:rsidRPr="00CB5050" w:rsidRDefault="00695AE2" w:rsidP="00695AE2">
      <w:pPr>
        <w:spacing w:line="240" w:lineRule="auto"/>
        <w:jc w:val="both"/>
        <w:rPr>
          <w:rFonts w:eastAsia="Calibri"/>
        </w:rPr>
      </w:pPr>
    </w:p>
    <w:p w14:paraId="2DE0A52E" w14:textId="77777777" w:rsidR="00695AE2" w:rsidRPr="00CB5050" w:rsidRDefault="00695AE2" w:rsidP="00695AE2">
      <w:pPr>
        <w:spacing w:line="240" w:lineRule="auto"/>
        <w:jc w:val="both"/>
        <w:rPr>
          <w:rFonts w:eastAsia="Calibri"/>
        </w:rPr>
      </w:pPr>
      <w:r w:rsidRPr="00CB5050">
        <w:rPr>
          <w:rFonts w:eastAsia="Calibri"/>
        </w:rPr>
        <w:t xml:space="preserve">V postopku je sodišče  prve stopnje najprej presojalo, ali je potrebno odvzeti starševsko skrb in katera namestitev bo otroku v največjo korist. Ob upoštevanju izvedenskega mnenja kliničnega psihologa ter izvedenega dokaznega postopka, v okviru katerega so bile zaslišane </w:t>
      </w:r>
      <w:r w:rsidRPr="00CB5050">
        <w:rPr>
          <w:rFonts w:eastAsia="Calibri"/>
        </w:rPr>
        <w:lastRenderedPageBreak/>
        <w:t xml:space="preserve">tudi strokovne delavke CSD,  je sodišče odločilo, da se nasprotni udeleženki v celoti odvzame starševska skrb; ta del odločitve v postopku tudi ni bil sporen. </w:t>
      </w:r>
    </w:p>
    <w:p w14:paraId="1E2D8F68" w14:textId="77777777" w:rsidR="00695AE2" w:rsidRPr="00CB5050" w:rsidRDefault="00695AE2" w:rsidP="00695AE2">
      <w:pPr>
        <w:spacing w:line="240" w:lineRule="auto"/>
        <w:jc w:val="both"/>
        <w:rPr>
          <w:rFonts w:eastAsia="Calibri"/>
        </w:rPr>
      </w:pPr>
    </w:p>
    <w:p w14:paraId="54E35D60" w14:textId="77777777" w:rsidR="00695AE2" w:rsidRPr="00CB5050" w:rsidRDefault="00695AE2" w:rsidP="00695AE2">
      <w:pPr>
        <w:spacing w:line="240" w:lineRule="auto"/>
        <w:jc w:val="both"/>
        <w:rPr>
          <w:rFonts w:eastAsia="Calibri"/>
        </w:rPr>
      </w:pPr>
      <w:r w:rsidRPr="00CB5050">
        <w:rPr>
          <w:rFonts w:eastAsia="Calibri"/>
        </w:rPr>
        <w:t xml:space="preserve">Ker pa je ob odvzemu starševske skrbi potrebno v skladu s 4. točko 176. člena DZ odločiti tudi o namestitvi otroka k drugi osebi, v rejništvo ali zavod, je sodišče v nadaljevanju odločalo tudi o vzgoji in varstvu otroka in odločilo, da je primerno in v največjo korist otroka, da se namesti v rejniško družino. Za rejništvo se je zavzemal tudi bližnji sorodnik otroka, ki pa po oceni sodišča, gleda na pogoje, ki jih za rejnika zahteva Zakon za izvajanje rejniške dejavnosti (v nadaljevanju: ZIRD), za izvajanje varstva in vzgoje otroka ni bil osebnostno primeren. Ker je bila odvzeta starševska skrb, je v skladu s 176. členom DZ sodišče odločilo tudi o postavitvi deklice pod skrbništvo. </w:t>
      </w:r>
    </w:p>
    <w:p w14:paraId="3182087D" w14:textId="77777777" w:rsidR="00695AE2" w:rsidRPr="00CB5050" w:rsidRDefault="00695AE2" w:rsidP="00695AE2">
      <w:pPr>
        <w:spacing w:line="240" w:lineRule="auto"/>
        <w:jc w:val="both"/>
        <w:rPr>
          <w:rFonts w:eastAsia="Calibri"/>
        </w:rPr>
      </w:pPr>
    </w:p>
    <w:p w14:paraId="648C6A5E" w14:textId="77777777" w:rsidR="00695AE2" w:rsidRPr="00CB5050" w:rsidRDefault="00695AE2" w:rsidP="00695AE2">
      <w:pPr>
        <w:spacing w:line="240" w:lineRule="auto"/>
        <w:jc w:val="both"/>
        <w:rPr>
          <w:rFonts w:eastAsia="Calibri"/>
        </w:rPr>
      </w:pPr>
      <w:r w:rsidRPr="00CB5050">
        <w:rPr>
          <w:rFonts w:eastAsia="Calibri"/>
        </w:rPr>
        <w:t>Zaradi pritožbe s strani otrokovega bližnjega sorodnika zoper odločbo sodišča prve stopnje v delu, ki se nanaša na namestitev otroka v rejniško družino, je sodišče druge stopnje zato presojalo, ali je odločitev sodišča prve stopnje glede namestitve otroka in glede skrbništva v otrokovo največjo korist, oziroma ali je odločitev v izpodbijanem delu pravilna.</w:t>
      </w:r>
    </w:p>
    <w:p w14:paraId="79D97282" w14:textId="77777777" w:rsidR="00695AE2" w:rsidRPr="00CB5050" w:rsidRDefault="00695AE2" w:rsidP="00695AE2">
      <w:pPr>
        <w:spacing w:line="240" w:lineRule="auto"/>
        <w:jc w:val="both"/>
        <w:rPr>
          <w:rFonts w:eastAsia="Calibri"/>
        </w:rPr>
      </w:pPr>
    </w:p>
    <w:p w14:paraId="260AE7AE" w14:textId="77777777" w:rsidR="00695AE2" w:rsidRPr="00CB5050" w:rsidRDefault="00695AE2" w:rsidP="00695AE2">
      <w:pPr>
        <w:spacing w:line="240" w:lineRule="auto"/>
        <w:jc w:val="both"/>
        <w:rPr>
          <w:rFonts w:eastAsia="Calibri"/>
        </w:rPr>
      </w:pPr>
      <w:r w:rsidRPr="00CB5050">
        <w:rPr>
          <w:rFonts w:eastAsia="Calibri"/>
        </w:rPr>
        <w:t>Sodišče druge stopnje je kot glavna kriterija za odločitev o namestitvi otroka štelo osebnostno primernost osebe, h kateri naj bo otrok nameščen, ter ali je takšna namestitev v skladu z največjo otrokovo koristjo; po izvedenem dokaznem postopku je pritožbeno sodišče odločbo sodišča prve stopnje spremenilo tako, da je otroka namestilo k bližnjemu sorodniku, ki ga je štelo za osebnostno primernega in ga določilo kot otrokovega skrbnika, prav tako pa je določilo tudi izvajanje stikov ter obvezo plačevanja preživnine.</w:t>
      </w:r>
    </w:p>
    <w:p w14:paraId="0B66BAD5" w14:textId="77777777" w:rsidR="00695AE2" w:rsidRPr="00CB5050" w:rsidRDefault="00695AE2" w:rsidP="00695AE2">
      <w:pPr>
        <w:spacing w:line="240" w:lineRule="auto"/>
        <w:jc w:val="both"/>
        <w:rPr>
          <w:rFonts w:eastAsia="Calibri"/>
        </w:rPr>
      </w:pPr>
    </w:p>
    <w:p w14:paraId="7F1A2ED4" w14:textId="77777777" w:rsidR="00695AE2" w:rsidRPr="00CB5050" w:rsidRDefault="00695AE2" w:rsidP="00695AE2">
      <w:pPr>
        <w:spacing w:line="240" w:lineRule="auto"/>
        <w:jc w:val="both"/>
        <w:rPr>
          <w:rFonts w:eastAsia="Calibri"/>
        </w:rPr>
      </w:pPr>
      <w:r w:rsidRPr="00CB5050">
        <w:rPr>
          <w:rFonts w:eastAsia="Calibri"/>
        </w:rPr>
        <w:t>Dejstvo je, da sodišče druge stopnje ni ocenjevalo primernost otrokovega bližnjega sorodnika ob smiselni uporabi določb, ki jih za rejnika opredeljuje ZIRD, zaradi česar po oceni Državnega odvetništva RS v postopku ni bila varovana največja otrokova korist. Državno odvetništvo RS je zato  vložilo predlog za dopustitev revizije. Vrhovno sodišče RS je revizijo dopustilo glede treh vprašanj: »1. Ali je sodišče odločalo preko meja pritožbenega predloga? 2. Ali je sodišče nepopolno odločilo o zadevi s tem, ko je odločilo, da se otrok namesti k bližnjemu sorodniku? 3. Ali je višje sodišče pravilno uporabilo materialno pravo?«</w:t>
      </w:r>
    </w:p>
    <w:p w14:paraId="2A8376B9" w14:textId="77777777" w:rsidR="00695AE2" w:rsidRPr="00CB5050" w:rsidRDefault="00695AE2" w:rsidP="00695AE2">
      <w:pPr>
        <w:spacing w:line="240" w:lineRule="auto"/>
        <w:jc w:val="both"/>
        <w:rPr>
          <w:rFonts w:eastAsia="Calibri"/>
        </w:rPr>
      </w:pPr>
    </w:p>
    <w:p w14:paraId="106E6CDA" w14:textId="77777777" w:rsidR="00695AE2" w:rsidRPr="00CB5050" w:rsidRDefault="00695AE2" w:rsidP="00695AE2">
      <w:pPr>
        <w:spacing w:line="240" w:lineRule="auto"/>
        <w:jc w:val="both"/>
        <w:rPr>
          <w:rFonts w:eastAsia="Calibri"/>
        </w:rPr>
      </w:pPr>
      <w:r w:rsidRPr="00CB5050">
        <w:rPr>
          <w:rFonts w:eastAsia="Calibri"/>
        </w:rPr>
        <w:t xml:space="preserve">Vrhovno sodišče RS je dopuščeno revizijo s sklepom, opr. št. II Ips 47/2024 z dne 13. 11. 2024 zavrnilo kot neutemeljeno. </w:t>
      </w:r>
    </w:p>
    <w:p w14:paraId="7752B245" w14:textId="77777777" w:rsidR="00695AE2" w:rsidRPr="00CB5050" w:rsidRDefault="00695AE2" w:rsidP="00695AE2">
      <w:pPr>
        <w:spacing w:line="240" w:lineRule="auto"/>
        <w:jc w:val="both"/>
        <w:rPr>
          <w:rFonts w:eastAsia="Calibri"/>
        </w:rPr>
      </w:pPr>
    </w:p>
    <w:p w14:paraId="3A8E016B" w14:textId="77777777" w:rsidR="00695AE2" w:rsidRPr="00CB5050" w:rsidRDefault="00695AE2" w:rsidP="00695AE2">
      <w:pPr>
        <w:spacing w:line="240" w:lineRule="auto"/>
        <w:jc w:val="both"/>
        <w:rPr>
          <w:rFonts w:eastAsia="Calibri"/>
        </w:rPr>
      </w:pPr>
      <w:r w:rsidRPr="00CB5050">
        <w:rPr>
          <w:rFonts w:eastAsia="Calibri"/>
        </w:rPr>
        <w:t>Ker odločitev Vrhovnega sodišča RS glede prvo in drugo dopuščenega revizijskega vprašanja ni bila  sporna, se predmetno poročilo v nadaljevanju osredotoča le na postopek v zvezi s tretjim dopuščenim vprašanjem glede pravilne uporabe materialnega prava v zvezi z odločitvijo,  kam naj bo otrok nameščen, da bo v danih okoliščinah namestitev v njegovo največjo korist in v tem oziru na vprašanje, ali je v revizijskih postopkih v zvezi z varstvom koristi otrok Vrhovno sodišče RS glede na določila 6. in 7. člena ZNP-1 dolžno po uradni dolžnosti skrbeti za največjo korist otroka in presojo opraviti tudi izven obsega s strani revidenta zatrjevanih kršitev.</w:t>
      </w:r>
    </w:p>
    <w:p w14:paraId="74D9458D" w14:textId="77777777" w:rsidR="00695AE2" w:rsidRPr="00CB5050" w:rsidRDefault="00695AE2" w:rsidP="00695AE2">
      <w:pPr>
        <w:spacing w:line="240" w:lineRule="auto"/>
        <w:jc w:val="both"/>
        <w:rPr>
          <w:rFonts w:eastAsia="Calibri"/>
        </w:rPr>
      </w:pPr>
      <w:r w:rsidRPr="00CB5050">
        <w:rPr>
          <w:rFonts w:eastAsia="Calibri"/>
          <w:highlight w:val="yellow"/>
        </w:rPr>
        <w:t xml:space="preserve">  </w:t>
      </w:r>
    </w:p>
    <w:p w14:paraId="4E4E30B3" w14:textId="77777777" w:rsidR="00695AE2" w:rsidRPr="00CB5050" w:rsidRDefault="00695AE2" w:rsidP="00695AE2">
      <w:pPr>
        <w:spacing w:line="240" w:lineRule="auto"/>
        <w:jc w:val="both"/>
        <w:rPr>
          <w:rFonts w:eastAsia="Calibri"/>
        </w:rPr>
      </w:pPr>
      <w:r w:rsidRPr="00CB5050">
        <w:rPr>
          <w:rFonts w:eastAsia="Calibri"/>
        </w:rPr>
        <w:t xml:space="preserve">Vrhovno sodišče RS je v odločitvi uvodoma opredelilo meje revizijskega preizkusa, in sicer skrajne meje predstavlja dopuščeno revizijsko vprašanje, obseg preizkusa pa nadalje zožuje določba, ki določa, kdaj revizija ni utemeljena. Vrhovno sodišče revizijo namreč zavrne kot </w:t>
      </w:r>
      <w:r w:rsidRPr="00CB5050">
        <w:rPr>
          <w:rFonts w:eastAsia="Calibri"/>
        </w:rPr>
        <w:lastRenderedPageBreak/>
        <w:t xml:space="preserve">neutemeljeno, če ugotovi, da niso podani revizijski razlogi, zaradi katerih je bila vložena in ne razlogi, na katere pazi po uradni dolžnosti (378. člen ZPP). </w:t>
      </w:r>
    </w:p>
    <w:p w14:paraId="28AF343F" w14:textId="77777777" w:rsidR="00695AE2" w:rsidRPr="00CB5050" w:rsidRDefault="00695AE2" w:rsidP="00695AE2">
      <w:pPr>
        <w:spacing w:line="240" w:lineRule="auto"/>
        <w:jc w:val="both"/>
        <w:rPr>
          <w:rFonts w:eastAsia="Calibri"/>
        </w:rPr>
      </w:pPr>
    </w:p>
    <w:p w14:paraId="647419F8" w14:textId="77777777" w:rsidR="00695AE2" w:rsidRPr="00CB5050" w:rsidRDefault="00695AE2" w:rsidP="00695AE2">
      <w:pPr>
        <w:spacing w:line="240" w:lineRule="auto"/>
        <w:jc w:val="both"/>
        <w:rPr>
          <w:rFonts w:eastAsia="Calibri"/>
        </w:rPr>
      </w:pPr>
      <w:r w:rsidRPr="00CB5050">
        <w:rPr>
          <w:rFonts w:eastAsia="Calibri"/>
        </w:rPr>
        <w:t xml:space="preserve">Zato je Vrhovno sodišče RS obravnavalo revizijo zgolj v obsegu revizijsko zatrjevanih razlogov. Svojo odločitev je v tem delu utemeljilo z navedbo, da določbe, ki bi opredeljevale revizijski preizkus po uradni dolžnosti, ZPP ne vsebuje. Prav tako pa ZNP-1 revizijskemu sodišču ne daje več pooblastil kot ZPP. </w:t>
      </w:r>
    </w:p>
    <w:p w14:paraId="55152B11" w14:textId="77777777" w:rsidR="00695AE2" w:rsidRPr="00CB5050" w:rsidRDefault="00695AE2" w:rsidP="00695AE2">
      <w:pPr>
        <w:spacing w:line="240" w:lineRule="auto"/>
        <w:jc w:val="both"/>
        <w:rPr>
          <w:rFonts w:eastAsia="Calibri"/>
        </w:rPr>
      </w:pPr>
    </w:p>
    <w:p w14:paraId="2821FB33" w14:textId="77777777" w:rsidR="00695AE2" w:rsidRPr="00CB5050" w:rsidRDefault="00695AE2" w:rsidP="00695AE2">
      <w:pPr>
        <w:spacing w:line="240" w:lineRule="auto"/>
        <w:jc w:val="both"/>
        <w:rPr>
          <w:rFonts w:eastAsia="Calibri"/>
        </w:rPr>
      </w:pPr>
      <w:r w:rsidRPr="00CB5050">
        <w:rPr>
          <w:rFonts w:eastAsia="Calibri"/>
        </w:rPr>
        <w:t>Upoštevajoč navedene okvire je revizijsko sodišče pravni problem obravnavalo zgolj glede na razloge, ki so bili navedeni v reviziji in za katere je ocenilo, da so pavšalne, da revident materialnopravne plati odločitve sploh ne izpodbija in tudi ne opredeli pravnega problema, o katerem naj bi Vrhovno sodišče RS presojalo. Posledično je zaradi navedenega revizijo kot neutemeljeno zavrnilo.</w:t>
      </w:r>
    </w:p>
    <w:p w14:paraId="3AAEAD11" w14:textId="77777777" w:rsidR="00695AE2" w:rsidRPr="00CB5050" w:rsidRDefault="00695AE2" w:rsidP="00695AE2">
      <w:pPr>
        <w:spacing w:line="240" w:lineRule="auto"/>
        <w:jc w:val="both"/>
        <w:rPr>
          <w:rFonts w:eastAsia="Calibri"/>
        </w:rPr>
      </w:pPr>
    </w:p>
    <w:p w14:paraId="5A324156" w14:textId="77777777" w:rsidR="00695AE2" w:rsidRPr="00CB5050" w:rsidRDefault="00695AE2" w:rsidP="00695AE2">
      <w:pPr>
        <w:spacing w:line="240" w:lineRule="auto"/>
        <w:jc w:val="both"/>
        <w:rPr>
          <w:rFonts w:eastAsia="Calibri"/>
        </w:rPr>
      </w:pPr>
      <w:r w:rsidRPr="00CB5050">
        <w:rPr>
          <w:rFonts w:eastAsia="Calibri"/>
        </w:rPr>
        <w:t>Državno odvetništvo RS je bilo mnenja, da je stališče Vrhovnega sodišča RS, da ZNP-1</w:t>
      </w:r>
      <w:r w:rsidRPr="00CB5050">
        <w:rPr>
          <w:rFonts w:eastAsia="Calibri"/>
          <w:vertAlign w:val="superscript"/>
        </w:rPr>
        <w:footnoteReference w:id="32"/>
      </w:r>
      <w:r w:rsidRPr="00CB5050">
        <w:rPr>
          <w:rFonts w:eastAsia="Calibri"/>
        </w:rPr>
        <w:t xml:space="preserve"> revizijskemu sodišču ne daje več pooblastil kot ZPP, zmotno, preozko in v nasprotju s temeljim načelom varstva koristi otrok. </w:t>
      </w:r>
    </w:p>
    <w:p w14:paraId="55016A1D" w14:textId="77777777" w:rsidR="00695AE2" w:rsidRPr="00CB5050" w:rsidRDefault="00695AE2" w:rsidP="00695AE2">
      <w:pPr>
        <w:spacing w:line="240" w:lineRule="auto"/>
        <w:jc w:val="both"/>
        <w:rPr>
          <w:rFonts w:eastAsia="Calibri"/>
        </w:rPr>
      </w:pPr>
    </w:p>
    <w:p w14:paraId="3250CDA0" w14:textId="77777777" w:rsidR="00695AE2" w:rsidRPr="00CB5050" w:rsidRDefault="00695AE2" w:rsidP="00695AE2">
      <w:pPr>
        <w:spacing w:line="240" w:lineRule="auto"/>
        <w:jc w:val="both"/>
        <w:rPr>
          <w:rFonts w:eastAsia="Calibri"/>
        </w:rPr>
      </w:pPr>
      <w:r w:rsidRPr="00CB5050">
        <w:rPr>
          <w:rFonts w:eastAsia="Calibri"/>
        </w:rPr>
        <w:t>Dejstvo namreč je, da je  otrokova največja korist temeljni postulat družinskega prava. Ustava RS v prvem odstavku 56. člena določa, da otroci uživajo posebno varstvo in skrb, v tretjem odstavku pa nadalje določa, da otroci in mladoletniki, za katere starši ne skrbijo, ki nimajo staršev ali so brez ustrezne družinske oskrbe, uživajo posebno varstvo države. Njihov položaj ureja zakon.</w:t>
      </w:r>
    </w:p>
    <w:p w14:paraId="60ED4CF6" w14:textId="77777777" w:rsidR="00695AE2" w:rsidRPr="00CB5050" w:rsidRDefault="00695AE2" w:rsidP="00695AE2">
      <w:pPr>
        <w:spacing w:line="240" w:lineRule="auto"/>
        <w:jc w:val="both"/>
        <w:rPr>
          <w:rFonts w:eastAsia="Calibri"/>
        </w:rPr>
      </w:pPr>
    </w:p>
    <w:p w14:paraId="0AAE7168" w14:textId="77777777" w:rsidR="00695AE2" w:rsidRPr="00CB5050" w:rsidRDefault="00695AE2" w:rsidP="00695AE2">
      <w:pPr>
        <w:spacing w:line="240" w:lineRule="auto"/>
        <w:jc w:val="both"/>
        <w:rPr>
          <w:rFonts w:eastAsia="Calibri"/>
        </w:rPr>
      </w:pPr>
      <w:r w:rsidRPr="00CB5050">
        <w:rPr>
          <w:rFonts w:eastAsia="Calibri"/>
        </w:rPr>
        <w:t xml:space="preserve">Z zahtevo, da morajo za otrokovo korist skrbeti vsi, v vseh dejavnostih in postopkih v zvezi z otrokom, je Republika Slovenija uresničila zavezo iz Konvencije o otrokovih pravicah (v nadaljevanju: KOP), ki kot temelj oziroma predmet varstva predstavlja otrokovo korist in jo naslavlja tako na starše in skrbnika (18. člen KOP) kot tudi na državne ali zasebne ustanove, sodišča, upravne organe ali zakonodajna telesa, za katere mora biti pri vseh dejavnostih otrokova korist glavno vodilo (3. člen KOP). </w:t>
      </w:r>
    </w:p>
    <w:p w14:paraId="614155CE" w14:textId="77777777" w:rsidR="00695AE2" w:rsidRPr="00CB5050" w:rsidRDefault="00695AE2" w:rsidP="00695AE2">
      <w:pPr>
        <w:spacing w:line="240" w:lineRule="auto"/>
        <w:jc w:val="both"/>
        <w:rPr>
          <w:rFonts w:eastAsia="Calibri"/>
        </w:rPr>
      </w:pPr>
    </w:p>
    <w:p w14:paraId="2285B46D" w14:textId="77777777" w:rsidR="00695AE2" w:rsidRPr="00CB5050" w:rsidRDefault="00695AE2" w:rsidP="00695AE2">
      <w:pPr>
        <w:spacing w:line="240" w:lineRule="auto"/>
        <w:jc w:val="both"/>
        <w:rPr>
          <w:rFonts w:eastAsia="Calibri"/>
        </w:rPr>
      </w:pPr>
      <w:r w:rsidRPr="00CB5050">
        <w:rPr>
          <w:rFonts w:eastAsia="Calibri"/>
        </w:rPr>
        <w:t xml:space="preserve">Udejanjenje te zahteve in ustavne določbe, po kateri otroci uživajo posebno varstvo in skrb,  predstavlja četrti odstavek 7. člena DZ, ki določa, da morajo državni organi, izvajalci javnih služb, nosilci javnih pooblastil, organi lokalnih skupnosti ter druge fizične in pravne osebe v vseh dejavnostih in postopkih v zvezi z otrokom skrbeti za korist otroka. S splošnim pooblastilom iz 153. člena DZ zakonodajalec sodišče (in tudi CSD) pooblašča za izvedbo vseh dejanj in ukrepov, ki jih zahtevata vzgoja in varstvo otroka ali varstvo njegovih premoženjskih in drugih pravic in koristi. </w:t>
      </w:r>
    </w:p>
    <w:p w14:paraId="7E678559" w14:textId="77777777" w:rsidR="00695AE2" w:rsidRPr="00CB5050" w:rsidRDefault="00695AE2" w:rsidP="00695AE2">
      <w:pPr>
        <w:spacing w:line="240" w:lineRule="auto"/>
        <w:jc w:val="both"/>
        <w:rPr>
          <w:rFonts w:eastAsia="Calibri"/>
        </w:rPr>
      </w:pPr>
    </w:p>
    <w:p w14:paraId="647399AC" w14:textId="77777777" w:rsidR="00695AE2" w:rsidRPr="00CB5050" w:rsidRDefault="00695AE2" w:rsidP="00695AE2">
      <w:pPr>
        <w:spacing w:line="240" w:lineRule="auto"/>
        <w:jc w:val="both"/>
        <w:rPr>
          <w:rFonts w:eastAsia="Calibri"/>
        </w:rPr>
      </w:pPr>
      <w:r w:rsidRPr="00CB5050">
        <w:rPr>
          <w:rFonts w:eastAsia="Calibri"/>
        </w:rPr>
        <w:t>Zakonodajalec ne le, da sodišče pooblašča za izvedbo vseh za varstvo otrokovih koristi potrebnih dejanj in ukrepov, temveč sodišču nalaga delovanje po uradni dolžnosti. Na podlagi  drugega odstavka 6. člena ZNP-1 mora namreč sodišče po uradni dolžnosti ukreniti vse, da se zavarujejo pravice in pravni interesi otrok. V 7. členu ZNP-1 pa je uzakonjeno tudi preiskovalno načelo.</w:t>
      </w:r>
    </w:p>
    <w:p w14:paraId="41DB3C84" w14:textId="77777777" w:rsidR="00695AE2" w:rsidRPr="00CB5050" w:rsidRDefault="00695AE2" w:rsidP="00695AE2">
      <w:pPr>
        <w:spacing w:line="240" w:lineRule="auto"/>
        <w:jc w:val="both"/>
        <w:rPr>
          <w:rFonts w:eastAsia="Calibri"/>
        </w:rPr>
      </w:pPr>
    </w:p>
    <w:p w14:paraId="12AD7669" w14:textId="77777777" w:rsidR="00695AE2" w:rsidRPr="00CB5050" w:rsidRDefault="00695AE2" w:rsidP="00695AE2">
      <w:pPr>
        <w:spacing w:line="240" w:lineRule="auto"/>
        <w:jc w:val="both"/>
        <w:rPr>
          <w:rFonts w:eastAsia="Calibri"/>
        </w:rPr>
      </w:pPr>
      <w:r w:rsidRPr="00CB5050">
        <w:rPr>
          <w:rFonts w:eastAsia="Calibri"/>
        </w:rPr>
        <w:lastRenderedPageBreak/>
        <w:t>Normativni argument za sodno aktivnost Vrhovnega sodišča RS po uradni dolžnosti in skladno s preiskovalnim načelom, izhaja iz splošnega pooblastila iz 153. člena DZ, ki se udejanja skozi načelo oficialnosti iz drugega odstavka 6. člena ZNP-1 in preiskovalno načelo iz 7. člena ZNP-1, ki določa tudi, da v postopkih za varstvo pravic otrok sodišče ugotavlja tudi dejstva, ki jih udeleženci niso navedli in izvaja dokaze, ki jih udeleženci niso predlagali.</w:t>
      </w:r>
    </w:p>
    <w:p w14:paraId="23A4678C" w14:textId="77777777" w:rsidR="00695AE2" w:rsidRPr="00CB5050" w:rsidRDefault="00695AE2" w:rsidP="00695AE2">
      <w:pPr>
        <w:spacing w:line="240" w:lineRule="auto"/>
        <w:jc w:val="both"/>
        <w:rPr>
          <w:rFonts w:eastAsia="Calibri"/>
        </w:rPr>
      </w:pPr>
    </w:p>
    <w:p w14:paraId="752531AF" w14:textId="77777777" w:rsidR="00695AE2" w:rsidRPr="00CB5050" w:rsidRDefault="00695AE2" w:rsidP="00695AE2">
      <w:pPr>
        <w:spacing w:line="240" w:lineRule="auto"/>
        <w:jc w:val="both"/>
        <w:rPr>
          <w:rFonts w:eastAsia="Calibri"/>
        </w:rPr>
      </w:pPr>
      <w:r w:rsidRPr="00CB5050">
        <w:rPr>
          <w:rFonts w:eastAsia="Calibri"/>
        </w:rPr>
        <w:t xml:space="preserve">In nadalje izhaja tudi iz 378. člena ZPP ter prvega odstavka 3. člena KOP, ki Vrhovnemu sodišču v postopku revizije nalaga preizkus razlogov, na katere pazi sodišče po uradni dolžnosti. In otrokova korist je tisti razlog, na katerega je zagotovo dolžno paziti sodišče, tudi revizijsko, po uradni dolžnosti. </w:t>
      </w:r>
    </w:p>
    <w:p w14:paraId="2EEFFFE2" w14:textId="77777777" w:rsidR="00695AE2" w:rsidRPr="00CB5050" w:rsidRDefault="00695AE2" w:rsidP="00695AE2">
      <w:pPr>
        <w:spacing w:line="240" w:lineRule="auto"/>
        <w:jc w:val="both"/>
        <w:rPr>
          <w:rFonts w:eastAsia="Calibri"/>
        </w:rPr>
      </w:pPr>
    </w:p>
    <w:p w14:paraId="48385DF0"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bilo zato mnenja, da se posebno varstvo in skrb za otroke, kot ga opredeljuje 56. člen Ustave RS in 8. člen Evropske konvencije o človekovih pravicah (v nadaljevanju: EKČP ali konvencija), mora udejanjati tudi pred Vrhovnim sodiščem RS z upoštevanjem določb iz četrtega odstavka 7. člena in 153. člena DZ in drugega odstavka 6. in 7. člena ZNP-1, pa tudi določbe prvega odstavka 3. člena KOP, ki mora zato v cilju varovanja največje koristi otrok ravnati po uradni dolžnosti in ob upoštevanju preiskovalnega načela. </w:t>
      </w:r>
    </w:p>
    <w:p w14:paraId="35789C0D" w14:textId="77777777" w:rsidR="00695AE2" w:rsidRPr="00CB5050" w:rsidRDefault="00695AE2" w:rsidP="00695AE2">
      <w:pPr>
        <w:spacing w:line="240" w:lineRule="auto"/>
        <w:jc w:val="both"/>
        <w:rPr>
          <w:rFonts w:eastAsia="Calibri"/>
        </w:rPr>
      </w:pPr>
    </w:p>
    <w:p w14:paraId="6F076CB8" w14:textId="77777777" w:rsidR="00695AE2" w:rsidRPr="00CB5050" w:rsidRDefault="00695AE2" w:rsidP="00695AE2">
      <w:pPr>
        <w:spacing w:line="240" w:lineRule="auto"/>
        <w:jc w:val="both"/>
        <w:rPr>
          <w:rFonts w:eastAsia="Calibri"/>
        </w:rPr>
      </w:pPr>
      <w:r w:rsidRPr="00CB5050">
        <w:rPr>
          <w:rFonts w:eastAsia="Calibri"/>
        </w:rPr>
        <w:t>Zoper odločitev Vrhovnega sodišča RS je Državno odvetništvo RS vložilo ustavno pritožbo.</w:t>
      </w:r>
    </w:p>
    <w:p w14:paraId="0AE2D26C" w14:textId="77777777" w:rsidR="00695AE2" w:rsidRPr="00CB5050" w:rsidRDefault="00695AE2" w:rsidP="00695AE2">
      <w:pPr>
        <w:jc w:val="both"/>
        <w:rPr>
          <w:rFonts w:eastAsia="Calibri"/>
        </w:rPr>
      </w:pPr>
    </w:p>
    <w:p w14:paraId="3AAF2B36" w14:textId="77777777" w:rsidR="00695AE2" w:rsidRPr="00CB5050" w:rsidRDefault="00695AE2" w:rsidP="00695AE2">
      <w:pPr>
        <w:spacing w:line="240" w:lineRule="auto"/>
        <w:jc w:val="both"/>
        <w:rPr>
          <w:rFonts w:eastAsia="Calibri"/>
        </w:rPr>
      </w:pPr>
      <w:r w:rsidRPr="00CB5050">
        <w:rPr>
          <w:rFonts w:eastAsia="Calibri"/>
        </w:rPr>
        <w:t>Ustavno sodišče je z odločbo, št. Up-71/25 z dne 12. 6. 2025  ugodilo ustavni pritožbi Državnega odvetništva RS in sklep Vrhovnega sodišča RS, s katerim je bila revizija zavrnjena, razveljavilo ter zadevo vrnilo v ponovno odločanje.</w:t>
      </w:r>
    </w:p>
    <w:p w14:paraId="6D199660" w14:textId="77777777" w:rsidR="00695AE2" w:rsidRPr="00CB5050" w:rsidRDefault="00695AE2" w:rsidP="00695AE2">
      <w:pPr>
        <w:spacing w:line="240" w:lineRule="auto"/>
        <w:jc w:val="both"/>
        <w:rPr>
          <w:rFonts w:eastAsia="Calibri"/>
        </w:rPr>
      </w:pPr>
    </w:p>
    <w:p w14:paraId="09AABFF6" w14:textId="77777777" w:rsidR="00695AE2" w:rsidRPr="00CB5050" w:rsidRDefault="00695AE2" w:rsidP="00695AE2">
      <w:pPr>
        <w:spacing w:line="240" w:lineRule="auto"/>
        <w:jc w:val="both"/>
        <w:rPr>
          <w:rFonts w:eastAsia="Calibri"/>
        </w:rPr>
      </w:pPr>
      <w:r w:rsidRPr="00CB5050">
        <w:rPr>
          <w:rFonts w:eastAsia="Calibri"/>
        </w:rPr>
        <w:t>Ustavno sodišče je v odločbi odgovorilo na pomembni pravni vprašanji, ki sta izpostavljeni v nadaljevanju.</w:t>
      </w:r>
    </w:p>
    <w:p w14:paraId="7693072C" w14:textId="77777777" w:rsidR="00695AE2" w:rsidRPr="00CB5050" w:rsidRDefault="00695AE2" w:rsidP="00695AE2">
      <w:pPr>
        <w:spacing w:line="240" w:lineRule="auto"/>
        <w:jc w:val="both"/>
        <w:rPr>
          <w:rFonts w:eastAsia="Calibri"/>
          <w:i/>
          <w:iCs/>
        </w:rPr>
      </w:pPr>
    </w:p>
    <w:p w14:paraId="018715C7" w14:textId="77777777" w:rsidR="00695AE2" w:rsidRPr="00CB5050" w:rsidRDefault="00695AE2" w:rsidP="00695AE2">
      <w:pPr>
        <w:spacing w:line="240" w:lineRule="auto"/>
        <w:jc w:val="both"/>
        <w:rPr>
          <w:rFonts w:eastAsia="Calibri"/>
        </w:rPr>
      </w:pPr>
      <w:r w:rsidRPr="00CB5050">
        <w:rPr>
          <w:rFonts w:eastAsia="Calibri"/>
        </w:rPr>
        <w:t>Najprej je Ustavno sodišče presojalo</w:t>
      </w:r>
      <w:r w:rsidRPr="00CB5050">
        <w:rPr>
          <w:rFonts w:eastAsia="Calibri"/>
          <w:i/>
          <w:iCs/>
        </w:rPr>
        <w:t>, ali ustavna pritožba, ki jo vloži CSD v svojem imenu in hkrati uveljavlja kršitev ustavnih in konvencijskih pravic otroka, izpolnjuje procesne predpostavke, ki jih določa 55. b člen ZUstS</w:t>
      </w:r>
      <w:r w:rsidRPr="00CB5050">
        <w:rPr>
          <w:rFonts w:eastAsia="Calibri"/>
          <w:vertAlign w:val="superscript"/>
        </w:rPr>
        <w:footnoteReference w:id="33"/>
      </w:r>
      <w:r w:rsidRPr="00CB5050">
        <w:rPr>
          <w:rFonts w:eastAsia="Calibri"/>
        </w:rPr>
        <w:t>.</w:t>
      </w:r>
    </w:p>
    <w:p w14:paraId="365B3142" w14:textId="77777777" w:rsidR="00695AE2" w:rsidRPr="00CB5050" w:rsidRDefault="00695AE2" w:rsidP="00695AE2">
      <w:pPr>
        <w:spacing w:line="240" w:lineRule="auto"/>
        <w:jc w:val="both"/>
        <w:rPr>
          <w:rFonts w:eastAsia="Calibri"/>
          <w:i/>
          <w:iCs/>
        </w:rPr>
      </w:pPr>
    </w:p>
    <w:p w14:paraId="637D9322" w14:textId="77777777" w:rsidR="00695AE2" w:rsidRPr="00CB5050" w:rsidRDefault="00695AE2" w:rsidP="00695AE2">
      <w:pPr>
        <w:spacing w:line="240" w:lineRule="auto"/>
        <w:jc w:val="both"/>
        <w:rPr>
          <w:rFonts w:eastAsia="Calibri"/>
        </w:rPr>
      </w:pPr>
      <w:r w:rsidRPr="00CB5050">
        <w:rPr>
          <w:rFonts w:eastAsia="Calibri"/>
        </w:rPr>
        <w:t xml:space="preserve">Konkretni postopek v zvezi z ustavno pritožbo se je nanašal na namestitev otroka k drugi osebi, ki sodi med postopke za varstvo koristi otroka in prvi odstavek 106. člena ZNP-1 v teh postopkih  priznava aktivno procesno legitimacijo tudi CSD, ki je bil v konkretnem  postopku tudi predlagatelj. Poleg tega je na podlagi  108. člena ZNP-1 CSD tudi zakoniti udeleženec, zato je upravičen vlagati redna in izredna pravna sredstva. </w:t>
      </w:r>
    </w:p>
    <w:p w14:paraId="638262B4" w14:textId="77777777" w:rsidR="00695AE2" w:rsidRPr="00CB5050" w:rsidRDefault="00695AE2" w:rsidP="00695AE2">
      <w:pPr>
        <w:spacing w:line="240" w:lineRule="auto"/>
        <w:jc w:val="both"/>
        <w:rPr>
          <w:rFonts w:eastAsia="Calibri"/>
        </w:rPr>
      </w:pPr>
    </w:p>
    <w:p w14:paraId="1C118E0D" w14:textId="77777777" w:rsidR="00695AE2" w:rsidRPr="00CB5050" w:rsidRDefault="00695AE2" w:rsidP="00695AE2">
      <w:pPr>
        <w:spacing w:line="240" w:lineRule="auto"/>
        <w:jc w:val="both"/>
        <w:rPr>
          <w:rFonts w:eastAsia="Calibri"/>
        </w:rPr>
      </w:pPr>
      <w:r w:rsidRPr="00CB5050">
        <w:rPr>
          <w:rFonts w:eastAsia="Calibri"/>
        </w:rPr>
        <w:t xml:space="preserve">Načelo največje koristi otroka, ki izhaja iz 56. člena Ustave RS in prvega odstavka 3. člena KOP, zavezuje vse državne organe, med katere spada tudi CSD, da jim je otrokova korist glavno vodilo pri vseh dejavnostih v zvezi z otroki. Res sicer je, da državni organi praviloma ne morejo imeti vloge ustavnih pritožnikov, ker niso naslovniki ustavnih določb o človekovih pravicah in temeljnih svoboščinah, vendar CSD v konkretnem postopku deluje kot organ, ki varuje koristi otroka v razmerju do staršev in drugih oseb, torej deluje v vlogi in za koristi naslovnika človekove pravice – otroka. </w:t>
      </w:r>
    </w:p>
    <w:p w14:paraId="68834975" w14:textId="77777777" w:rsidR="00695AE2" w:rsidRPr="00CB5050" w:rsidRDefault="00695AE2" w:rsidP="00695AE2">
      <w:pPr>
        <w:spacing w:line="240" w:lineRule="auto"/>
        <w:jc w:val="both"/>
        <w:rPr>
          <w:rFonts w:eastAsia="Calibri"/>
          <w:b/>
          <w:bCs/>
        </w:rPr>
      </w:pPr>
    </w:p>
    <w:p w14:paraId="0FA60B50" w14:textId="77777777" w:rsidR="00695AE2" w:rsidRPr="00CB5050" w:rsidRDefault="00695AE2" w:rsidP="00695AE2">
      <w:pPr>
        <w:spacing w:line="240" w:lineRule="auto"/>
        <w:jc w:val="both"/>
        <w:rPr>
          <w:rFonts w:eastAsia="Calibri"/>
        </w:rPr>
      </w:pPr>
      <w:r w:rsidRPr="00CB5050">
        <w:rPr>
          <w:rFonts w:eastAsia="Calibri"/>
        </w:rPr>
        <w:t>Ustavno sodišče je upoštevajoč navedeno ocenilo, da je potrebno CSD, ki uveljavlja kršitev otrokovih človekovih pravic in temeljnih svoboščin, priznati aktivno procesno legitimacijo v postopku z ustavno pritožbo, čeprav gre za državni organ, ki deluje s pristojnostjo sprejemanja</w:t>
      </w:r>
      <w:r w:rsidRPr="00CB5050">
        <w:rPr>
          <w:rFonts w:eastAsia="Calibri"/>
          <w:i/>
          <w:iCs/>
        </w:rPr>
        <w:t xml:space="preserve"> de iure imperii</w:t>
      </w:r>
      <w:r w:rsidRPr="00CB5050">
        <w:rPr>
          <w:rFonts w:eastAsia="Calibri"/>
        </w:rPr>
        <w:t xml:space="preserve"> odločitev in ustavna pritožba izpolnjuje procesne predpostavke iz prvega odstavka 55.b člena ZUstS.</w:t>
      </w:r>
    </w:p>
    <w:p w14:paraId="700CAE90" w14:textId="77777777" w:rsidR="00695AE2" w:rsidRPr="00CB5050" w:rsidRDefault="00695AE2" w:rsidP="00695AE2">
      <w:pPr>
        <w:spacing w:line="240" w:lineRule="auto"/>
        <w:jc w:val="both"/>
        <w:rPr>
          <w:rFonts w:eastAsia="Calibri"/>
          <w:b/>
          <w:bCs/>
        </w:rPr>
      </w:pPr>
    </w:p>
    <w:p w14:paraId="3191B47D" w14:textId="77777777" w:rsidR="00695AE2" w:rsidRPr="00CB5050" w:rsidRDefault="00695AE2" w:rsidP="00695AE2">
      <w:pPr>
        <w:spacing w:line="240" w:lineRule="auto"/>
        <w:jc w:val="both"/>
        <w:rPr>
          <w:rFonts w:eastAsia="Calibri"/>
        </w:rPr>
      </w:pPr>
      <w:r w:rsidRPr="00CB5050">
        <w:rPr>
          <w:rFonts w:eastAsia="Calibri"/>
        </w:rPr>
        <w:t>V konkretni zadevi je namreč Vrhovno sodišče RS pri odločanju o reviziji zaradi namestitve otroka k drugi osebi ob sklicevanju na določbe ZPP sprejelo stališče, da pritožnik s svojimi razlogi ni opredelil zaokroženega pravnega problema glede dopuščenega pravnega vprašanja, ali je višje sodišče pravilno uporabilo materialno pravo, zaradi česar na dopuščeno vprašanje ni odgovorilo in je revizijo zavrnilo.</w:t>
      </w:r>
    </w:p>
    <w:p w14:paraId="3DC5E1B9" w14:textId="77777777" w:rsidR="00695AE2" w:rsidRPr="00CB5050" w:rsidRDefault="00695AE2" w:rsidP="00695AE2">
      <w:pPr>
        <w:spacing w:line="240" w:lineRule="auto"/>
        <w:jc w:val="both"/>
        <w:rPr>
          <w:rFonts w:eastAsia="Calibri"/>
        </w:rPr>
      </w:pPr>
    </w:p>
    <w:p w14:paraId="6B714687" w14:textId="77777777" w:rsidR="00695AE2" w:rsidRPr="00CB5050" w:rsidRDefault="00695AE2" w:rsidP="00695AE2">
      <w:pPr>
        <w:spacing w:line="240" w:lineRule="auto"/>
        <w:jc w:val="both"/>
        <w:rPr>
          <w:rFonts w:eastAsia="Calibri"/>
        </w:rPr>
      </w:pPr>
      <w:r w:rsidRPr="00CB5050">
        <w:rPr>
          <w:rFonts w:eastAsia="Calibri"/>
        </w:rPr>
        <w:t xml:space="preserve">Izhajajoč iz odločitve Vrhovnega sodišča RS, je  pritožnik  v ustavni pritožbi zatrjeval, da ima Vrhovno sodišče v postopku v zvezi z varstvom koristi otrok večja pooblastila, kot izhajajo iz določb ZPP, saj je v skladu z načelom največje koristi otrok dolžno storiti vse, kar je treba, da se zavarujejo otrokove koristi. Zato se revizijski preizkus ne bi smel omejiti le na pritožnikove navedbe. </w:t>
      </w:r>
    </w:p>
    <w:p w14:paraId="73AB9E74" w14:textId="77777777" w:rsidR="00695AE2" w:rsidRPr="00CB5050" w:rsidRDefault="00695AE2" w:rsidP="00695AE2">
      <w:pPr>
        <w:spacing w:line="240" w:lineRule="auto"/>
        <w:jc w:val="both"/>
        <w:rPr>
          <w:rFonts w:eastAsia="Calibri"/>
        </w:rPr>
      </w:pPr>
    </w:p>
    <w:p w14:paraId="19EABA42" w14:textId="77777777" w:rsidR="00695AE2" w:rsidRPr="00CB5050" w:rsidRDefault="00695AE2" w:rsidP="00695AE2">
      <w:pPr>
        <w:spacing w:line="240" w:lineRule="auto"/>
        <w:jc w:val="both"/>
        <w:rPr>
          <w:rFonts w:eastAsia="Calibri"/>
          <w:i/>
          <w:iCs/>
        </w:rPr>
      </w:pPr>
      <w:r w:rsidRPr="00CB5050">
        <w:rPr>
          <w:rFonts w:eastAsia="Calibri"/>
        </w:rPr>
        <w:t>Zato je bilo naslednje vprašanje s katerim se je ukvarjalo Ustavno sodišče, vprašanje</w:t>
      </w:r>
      <w:r w:rsidRPr="00CB5050">
        <w:rPr>
          <w:rFonts w:eastAsia="Calibri"/>
          <w:i/>
          <w:iCs/>
        </w:rPr>
        <w:t>, ali bi bila z Ustavo skladna zakonska ureditev, po kateri revizijsko sodišče v postopku namestitve otroka k drugi osebi na dopuščeno revizijsko vprašanje ne odgovori, če revident v reviziji ni opredelil zaokroženega pravnega problema v meri, kot to zahteva ZPP.</w:t>
      </w:r>
    </w:p>
    <w:p w14:paraId="5CF84207" w14:textId="77777777" w:rsidR="00695AE2" w:rsidRPr="00CB5050" w:rsidRDefault="00695AE2" w:rsidP="00695AE2">
      <w:pPr>
        <w:spacing w:line="240" w:lineRule="auto"/>
        <w:jc w:val="both"/>
        <w:rPr>
          <w:rFonts w:eastAsia="Calibri"/>
          <w:i/>
          <w:iCs/>
        </w:rPr>
      </w:pPr>
    </w:p>
    <w:p w14:paraId="3B09EE65" w14:textId="77777777" w:rsidR="00695AE2" w:rsidRPr="00CB5050" w:rsidRDefault="00695AE2" w:rsidP="00695AE2">
      <w:pPr>
        <w:spacing w:line="240" w:lineRule="auto"/>
        <w:jc w:val="both"/>
        <w:rPr>
          <w:rFonts w:eastAsia="Calibri"/>
        </w:rPr>
      </w:pPr>
      <w:r w:rsidRPr="00CB5050">
        <w:rPr>
          <w:rFonts w:eastAsia="Calibri"/>
        </w:rPr>
        <w:t xml:space="preserve">Ustavno sodišče je poudarilo, da je pri odgovoru  potrebno izhajati iz načela največje otrokove koristi, ki izhaja iz prvega odstavka 56. člena Ustave RS, ki določa, da otroci uživajo posebno varstvo in skrb. Načelo največje koristi otroka izhaja tudi iz 3. člena KOP, ki je zavezujoča za vse države članice EU in določa, da morajo biti otrokove koristi glavno vodilo pri vseh dejavnostih v zvezi z otroki, bodisi da jih vodijo državne ali zasebne ustanove za socialno varstvo, sodišča, upravni organi ali zakonodajna telesa.  Tako kot velja za človekove pravice, </w:t>
      </w:r>
      <w:r w:rsidRPr="00CB5050">
        <w:rPr>
          <w:rFonts w:eastAsia="Calibri"/>
        </w:rPr>
        <w:lastRenderedPageBreak/>
        <w:t xml:space="preserve">so načelo otrokove koristi dolžni zagotavljati sodniki na vseh stopnjah sojenja, vključno z Vrhovnim sodiščem kot najvišjim sodiščem v državi. </w:t>
      </w:r>
    </w:p>
    <w:p w14:paraId="070B6918" w14:textId="77777777" w:rsidR="00695AE2" w:rsidRPr="00CB5050" w:rsidRDefault="00695AE2" w:rsidP="00695AE2">
      <w:pPr>
        <w:spacing w:line="240" w:lineRule="auto"/>
        <w:jc w:val="both"/>
        <w:rPr>
          <w:rFonts w:eastAsia="Calibri"/>
        </w:rPr>
      </w:pPr>
    </w:p>
    <w:p w14:paraId="5BCB6D5F" w14:textId="77777777" w:rsidR="00695AE2" w:rsidRPr="00CB5050" w:rsidRDefault="00695AE2" w:rsidP="00695AE2">
      <w:pPr>
        <w:spacing w:line="240" w:lineRule="auto"/>
        <w:jc w:val="both"/>
        <w:rPr>
          <w:rFonts w:eastAsia="Calibri"/>
        </w:rPr>
      </w:pPr>
      <w:r w:rsidRPr="00CB5050">
        <w:rPr>
          <w:rFonts w:eastAsia="Calibri"/>
        </w:rPr>
        <w:t>Razlog za okrepljeno  institucionalno  varstvo otrok izhaja iz stališča, da so otroci ranljiva skupina oziroma njihova korist pomeni javno korist. Zato se tudi postopki za varstvo koristi otrok, med katere sodi tudi postopek namestitve otroka k drugi osebi, vodi po pravilih nepravdnega postopka, za katerega je značilna aktivnejša vloga sodišča in nevezanost na predloge udeležencev. Sodniki imajo zato v družinskih zadevah zaradi varstva koristi otrok bistveno aktivnejšo vlogo kot v drugih civilnih postopkih, o čemer je Ustavno sodišče že odločalo (odločba, št. Up-335/21, U-I-112/21 z dne 3. 2. 2022, 18. točka obrazložitve), in da se mora posebna skrb sodišča v teh postopkih odraziti že v okviru procesnih jamstev (odločba, št. Up-635/24 z dne 14. 11. 2024) in navedeno velja tudi v postopku revizijskega preizkusa.</w:t>
      </w:r>
    </w:p>
    <w:p w14:paraId="262FC36F" w14:textId="77777777" w:rsidR="00695AE2" w:rsidRPr="00CB5050" w:rsidRDefault="00695AE2" w:rsidP="00695AE2">
      <w:pPr>
        <w:spacing w:line="240" w:lineRule="auto"/>
        <w:jc w:val="both"/>
        <w:rPr>
          <w:rFonts w:eastAsia="Calibri"/>
        </w:rPr>
      </w:pPr>
    </w:p>
    <w:p w14:paraId="11693EB6" w14:textId="77777777" w:rsidR="00695AE2" w:rsidRPr="00CB5050" w:rsidRDefault="00695AE2" w:rsidP="00695AE2">
      <w:pPr>
        <w:spacing w:line="240" w:lineRule="auto"/>
        <w:jc w:val="both"/>
        <w:rPr>
          <w:rFonts w:eastAsia="Calibri"/>
        </w:rPr>
      </w:pPr>
      <w:r w:rsidRPr="00CB5050">
        <w:rPr>
          <w:rFonts w:eastAsia="Calibri"/>
        </w:rPr>
        <w:t>Čeprav se je Ustavno sodišče že izreklo o konkretizaciji revizijskih razlogov (glej odločbo, št. Up-1043/18 z dne 27. 10. 2022, 15. točka obrazložitve in št. Up-148/17 z dne 12. 4. 2018, 36. točka obrazložitve), se obravnavana zadeva razlikuje, saj je v ospredju načelo največje otrokove koristi. Zato se v revizijskih postopkih v zadevah, kjer je potrebno uresničevati načelo največje otrokove koristi, javni interes pojavlja v dveh pogledih: če gre za odločanje o precedenčnem vprašanju in če vprašanje zadeva varstvo največje otrokove koristi.</w:t>
      </w:r>
    </w:p>
    <w:p w14:paraId="0D97873D" w14:textId="77777777" w:rsidR="00695AE2" w:rsidRPr="00CB5050" w:rsidRDefault="00695AE2" w:rsidP="00695AE2">
      <w:pPr>
        <w:spacing w:line="240" w:lineRule="auto"/>
        <w:jc w:val="both"/>
        <w:rPr>
          <w:rFonts w:eastAsia="Calibri"/>
        </w:rPr>
      </w:pPr>
    </w:p>
    <w:p w14:paraId="092BEEB4" w14:textId="77777777" w:rsidR="00695AE2" w:rsidRPr="00CB5050" w:rsidRDefault="00695AE2" w:rsidP="00695AE2">
      <w:pPr>
        <w:spacing w:line="240" w:lineRule="auto"/>
        <w:jc w:val="both"/>
        <w:rPr>
          <w:rFonts w:eastAsia="Calibri"/>
        </w:rPr>
      </w:pPr>
      <w:r w:rsidRPr="00CB5050">
        <w:rPr>
          <w:rFonts w:eastAsia="Calibri"/>
        </w:rPr>
        <w:t>Izhajajoč iz navedenega  torej izhaja, da mora biti zahteva po opredelitvi revizijskih razlogov v postopku namestitve otroka k drugi osebi prilagojena posebnostim tega postopka oziroma manj stroga kot v pravdnem postopku in je po oceni Ustavnega sodišča, čeprav revident ni opredelil zaokroženega pravnega problema po merilih ZPP, podal določene upoštevanja vredne materialno pravne očitke zoper odločitev višjega sodišča, ki zadoščajo za materialnopravno presojo odločitve višjega sodišča, saj so v zadostni meri podkrepile vprašanje, ali je odločitev višjega sodišča v skladu z načelom največje koristi otroka.</w:t>
      </w:r>
    </w:p>
    <w:p w14:paraId="75712410" w14:textId="77777777" w:rsidR="00695AE2" w:rsidRPr="00CB5050" w:rsidRDefault="00695AE2" w:rsidP="00695AE2">
      <w:pPr>
        <w:spacing w:line="240" w:lineRule="auto"/>
        <w:jc w:val="both"/>
        <w:rPr>
          <w:rFonts w:eastAsia="Calibri"/>
        </w:rPr>
      </w:pPr>
    </w:p>
    <w:p w14:paraId="10816E41" w14:textId="77777777" w:rsidR="00695AE2" w:rsidRPr="00CB5050" w:rsidRDefault="00695AE2" w:rsidP="00695AE2">
      <w:pPr>
        <w:spacing w:line="240" w:lineRule="auto"/>
        <w:jc w:val="both"/>
        <w:rPr>
          <w:rFonts w:eastAsia="Calibri"/>
        </w:rPr>
      </w:pPr>
      <w:r w:rsidRPr="00CB5050">
        <w:rPr>
          <w:rFonts w:eastAsia="Calibri"/>
        </w:rPr>
        <w:t>Ustavno sodišče je torej odločilo, da s tem, ko je Vrhovno sodišče RS pritožniku, ki je v reviziji zasledoval največjo korist otroka, naložilo enako breme podkrepitve revizijskega vprašanja, kot ga sicer običajno nosi revident v pravdnem postopku, ni pripisalo zadostne teže načelu iz prvega odstavka 56. člena Ustave RS. Ustavno sodišče je zato ocenilo, da izpodbijano stališče Vrhovnega sodišča RS, da pritožnik v reviziji ni zaokrožil pravnega problema, zaradi česar na revizijsko vprašanje ni odgovorilo, ni v skladu z 22. členom Ustave RS v zvezi s prvim odstavkom 56. člena Ustave RS in je sklep Vrhovnega sodišča RS razveljavilo ter zadevo vrnilo v ponovno odločanje.</w:t>
      </w:r>
    </w:p>
    <w:p w14:paraId="506F7194" w14:textId="77777777" w:rsidR="00695AE2" w:rsidRPr="00CB5050" w:rsidRDefault="00695AE2" w:rsidP="00695AE2">
      <w:pPr>
        <w:spacing w:line="240" w:lineRule="auto"/>
        <w:jc w:val="both"/>
        <w:rPr>
          <w:rFonts w:eastAsia="Calibri"/>
        </w:rPr>
      </w:pPr>
    </w:p>
    <w:p w14:paraId="5E651CEC" w14:textId="77777777" w:rsidR="00695AE2" w:rsidRPr="00CB5050" w:rsidRDefault="00695AE2" w:rsidP="00695AE2">
      <w:pPr>
        <w:pStyle w:val="Naslov5"/>
      </w:pPr>
      <w:bookmarkStart w:id="933" w:name="_Toc223094038"/>
      <w:r w:rsidRPr="00CB5050">
        <w:t>Aktualne zadeve</w:t>
      </w:r>
      <w:bookmarkStart w:id="934" w:name="_Hlk190543457"/>
      <w:bookmarkStart w:id="935" w:name="_Toc95149811"/>
      <w:bookmarkEnd w:id="933"/>
      <w:r w:rsidRPr="00CB5050">
        <w:t xml:space="preserve"> </w:t>
      </w:r>
    </w:p>
    <w:p w14:paraId="681361A0" w14:textId="77777777" w:rsidR="00695AE2" w:rsidRPr="00CB5050" w:rsidRDefault="00695AE2" w:rsidP="00695AE2">
      <w:pPr>
        <w:spacing w:line="240" w:lineRule="auto"/>
        <w:jc w:val="both"/>
        <w:rPr>
          <w:rFonts w:eastAsia="Calibri"/>
          <w:szCs w:val="22"/>
        </w:rPr>
      </w:pPr>
    </w:p>
    <w:p w14:paraId="4A951370"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področju družinske zakonodaje se je kot izjemno pereča problematika v letu 2025 pokazalo  šolanje otrok na tuji zasebni šoli West River Academy (v nadaljevanju: WRA), ki ni vpisana v razvid izvajalcev javno veljavnih programov v Republiki Sloveniji. </w:t>
      </w:r>
    </w:p>
    <w:p w14:paraId="54178122" w14:textId="77777777" w:rsidR="00695AE2" w:rsidRPr="00CB5050" w:rsidRDefault="00695AE2" w:rsidP="00695AE2">
      <w:pPr>
        <w:spacing w:line="240" w:lineRule="auto"/>
        <w:jc w:val="both"/>
        <w:rPr>
          <w:rFonts w:eastAsia="Calibri"/>
          <w:szCs w:val="22"/>
        </w:rPr>
      </w:pPr>
    </w:p>
    <w:p w14:paraId="24C1E034" w14:textId="77777777" w:rsidR="00695AE2" w:rsidRPr="00CB5050" w:rsidRDefault="00695AE2" w:rsidP="00695AE2">
      <w:pPr>
        <w:spacing w:line="240" w:lineRule="auto"/>
        <w:jc w:val="both"/>
        <w:rPr>
          <w:rFonts w:eastAsia="Calibri"/>
          <w:szCs w:val="22"/>
        </w:rPr>
      </w:pPr>
      <w:r w:rsidRPr="00CB5050">
        <w:rPr>
          <w:rFonts w:eastAsia="Calibri"/>
          <w:szCs w:val="22"/>
        </w:rPr>
        <w:t xml:space="preserve">Zakon o osnovni šoli (v nadaljevanju: ZOsn) določa, da imajo otroci pravico do osnovnošolskega izobraževanja v javni ali zasebni šoli, ki izvaja javno veljavni program in je vpisana v razvid pri ministrstvu. Šolanje na domu pa je pravica staršev, vendar mora biti glede </w:t>
      </w:r>
      <w:r w:rsidRPr="00CB5050">
        <w:rPr>
          <w:rFonts w:eastAsia="Calibri"/>
          <w:szCs w:val="22"/>
        </w:rPr>
        <w:lastRenderedPageBreak/>
        <w:t>na določbo 92. a. člena ZOsn organizirano skladno z zakonskimi določbami in pod nadzorom šole.</w:t>
      </w:r>
    </w:p>
    <w:p w14:paraId="3CC2DF1E" w14:textId="77777777" w:rsidR="00695AE2" w:rsidRPr="00CB5050" w:rsidRDefault="00695AE2" w:rsidP="00695AE2">
      <w:pPr>
        <w:spacing w:line="240" w:lineRule="auto"/>
        <w:jc w:val="both"/>
        <w:rPr>
          <w:rFonts w:eastAsia="Calibri"/>
          <w:szCs w:val="22"/>
        </w:rPr>
      </w:pPr>
    </w:p>
    <w:p w14:paraId="1AF64C88" w14:textId="77777777" w:rsidR="00695AE2" w:rsidRPr="00CB5050" w:rsidRDefault="00695AE2" w:rsidP="00695AE2">
      <w:pPr>
        <w:spacing w:line="240" w:lineRule="auto"/>
        <w:jc w:val="both"/>
        <w:rPr>
          <w:rFonts w:eastAsia="Calibri"/>
          <w:szCs w:val="22"/>
        </w:rPr>
      </w:pPr>
      <w:r w:rsidRPr="00CB5050">
        <w:rPr>
          <w:rFonts w:eastAsia="Calibri"/>
          <w:szCs w:val="22"/>
        </w:rPr>
        <w:t>Sodišče lahko na predlog centra za socialno delo ali staršev odloča o ukrepih za varstvo koristi otrok, vključno z omejitvijo starševske skrbi na področju izobraževanja, če starši ne izpolnjujejo svojih obveznosti in to škoduje otroku, pri tem mora biti ukrep sorazmeren in v korist otroka.</w:t>
      </w:r>
    </w:p>
    <w:p w14:paraId="75E2AD95" w14:textId="77777777" w:rsidR="00695AE2" w:rsidRPr="00CB5050" w:rsidRDefault="00695AE2" w:rsidP="00695AE2">
      <w:pPr>
        <w:spacing w:line="240" w:lineRule="auto"/>
        <w:jc w:val="both"/>
        <w:rPr>
          <w:rFonts w:eastAsia="Calibri"/>
          <w:szCs w:val="22"/>
        </w:rPr>
      </w:pPr>
      <w:r w:rsidRPr="00CB5050">
        <w:rPr>
          <w:rFonts w:eastAsia="Calibri"/>
          <w:szCs w:val="22"/>
        </w:rPr>
        <w:t>Sodišče in CSD morata pri odločanju upoštevati vse okoliščine primera, vključno z možnostmi za podporo staršem in otroku, da se izobraževanje zagotovi na ustrezen način, ter otrokovim najboljšim interesom.</w:t>
      </w:r>
    </w:p>
    <w:p w14:paraId="142A2577" w14:textId="77777777" w:rsidR="00695AE2" w:rsidRPr="003702AE" w:rsidRDefault="00695AE2" w:rsidP="00695AE2">
      <w:pPr>
        <w:pStyle w:val="Jasna"/>
        <w:rPr>
          <w:sz w:val="32"/>
          <w:szCs w:val="32"/>
        </w:rPr>
      </w:pPr>
      <w:bookmarkStart w:id="936" w:name="_Toc168845043"/>
      <w:bookmarkEnd w:id="934"/>
    </w:p>
    <w:p w14:paraId="2FEC1548" w14:textId="77777777" w:rsidR="00695AE2" w:rsidRPr="00CB5050" w:rsidRDefault="00695AE2" w:rsidP="00695AE2">
      <w:pPr>
        <w:pStyle w:val="Naslov2"/>
      </w:pPr>
      <w:bookmarkStart w:id="937" w:name="_Toc191562040"/>
      <w:bookmarkStart w:id="938" w:name="_Toc223094039"/>
      <w:r w:rsidRPr="00CB5050">
        <w:t>Postopki razlastitev</w:t>
      </w:r>
      <w:bookmarkEnd w:id="935"/>
      <w:bookmarkEnd w:id="936"/>
      <w:bookmarkEnd w:id="937"/>
      <w:bookmarkEnd w:id="938"/>
    </w:p>
    <w:p w14:paraId="0EF936D6" w14:textId="77777777" w:rsidR="00695AE2" w:rsidRPr="00CB5050" w:rsidRDefault="00695AE2" w:rsidP="00695AE2">
      <w:pPr>
        <w:spacing w:line="240" w:lineRule="auto"/>
        <w:rPr>
          <w:rFonts w:eastAsia="Calibri"/>
          <w:sz w:val="32"/>
          <w:szCs w:val="32"/>
        </w:rPr>
      </w:pPr>
    </w:p>
    <w:p w14:paraId="09B974C1" w14:textId="77777777" w:rsidR="00695AE2" w:rsidRPr="00CB5050" w:rsidRDefault="00695AE2" w:rsidP="00695AE2">
      <w:pPr>
        <w:pStyle w:val="Naslov3"/>
      </w:pPr>
      <w:bookmarkStart w:id="939" w:name="_Toc95149812"/>
      <w:bookmarkStart w:id="940" w:name="_Toc168845044"/>
      <w:bookmarkStart w:id="941" w:name="_Toc191562041"/>
      <w:bookmarkStart w:id="942" w:name="_Toc223094040"/>
      <w:r w:rsidRPr="00CB5050">
        <w:t>Uvod</w:t>
      </w:r>
      <w:bookmarkEnd w:id="939"/>
      <w:bookmarkEnd w:id="940"/>
      <w:bookmarkEnd w:id="941"/>
      <w:bookmarkEnd w:id="942"/>
      <w:r w:rsidRPr="00CB5050">
        <w:t xml:space="preserve"> </w:t>
      </w:r>
    </w:p>
    <w:p w14:paraId="2AC0CEC1" w14:textId="77777777" w:rsidR="00695AE2" w:rsidRPr="00CB5050" w:rsidRDefault="00695AE2" w:rsidP="00695AE2">
      <w:pPr>
        <w:spacing w:line="240" w:lineRule="auto"/>
        <w:rPr>
          <w:rFonts w:eastAsia="Calibri"/>
          <w:sz w:val="28"/>
          <w:szCs w:val="28"/>
        </w:rPr>
      </w:pPr>
    </w:p>
    <w:p w14:paraId="41C89642" w14:textId="77777777" w:rsidR="00695AE2" w:rsidRPr="00CB5050" w:rsidRDefault="00695AE2" w:rsidP="00695AE2">
      <w:pPr>
        <w:spacing w:line="240" w:lineRule="auto"/>
        <w:jc w:val="both"/>
        <w:rPr>
          <w:rFonts w:eastAsia="Calibri"/>
          <w:lang w:eastAsia="sl-SI"/>
        </w:rPr>
      </w:pPr>
      <w:r w:rsidRPr="00CB5050">
        <w:rPr>
          <w:rFonts w:eastAsia="Calibri"/>
          <w:lang w:eastAsia="sl-SI"/>
        </w:rPr>
        <w:t>Državno odvetništvo RS predlaga razlastitev po pooblastilu Vlade RS</w:t>
      </w:r>
      <w:r w:rsidRPr="00CB5050">
        <w:rPr>
          <w:rFonts w:eastAsia="Calibri"/>
          <w:szCs w:val="22"/>
        </w:rPr>
        <w:t xml:space="preserve"> (s</w:t>
      </w:r>
      <w:r w:rsidRPr="00CB5050">
        <w:rPr>
          <w:rFonts w:eastAsia="Calibri"/>
        </w:rPr>
        <w:t>klep Vlade RS št. 02003-26/2017/3 z dne 4. 1. 2018)</w:t>
      </w:r>
      <w:r w:rsidRPr="00CB5050">
        <w:rPr>
          <w:rFonts w:eastAsia="Calibri"/>
          <w:lang w:eastAsia="sl-SI"/>
        </w:rPr>
        <w:t xml:space="preserve">, na podlagi katerega jo zastopa v vseh upravnih postopkih zaradi razlastitve ali omejitve lastninske pravice, ki se vodijo pred upravnimi organi, pristojnimi za odločanje o razlastitvah nepremičnin v javno korist, zaradi investicij v državne ceste, ki jih v imenu in za račun Republike Slovenije vodita Direkcija Republike Slovenije za infrastrukturo </w:t>
      </w:r>
      <w:r w:rsidRPr="00CB5050">
        <w:rPr>
          <w:rFonts w:eastAsia="Aptos"/>
          <w:szCs w:val="22"/>
        </w:rPr>
        <w:t xml:space="preserve">(v nadaljevanju: DRSI) </w:t>
      </w:r>
      <w:r w:rsidRPr="00CB5050">
        <w:rPr>
          <w:rFonts w:eastAsia="Calibri"/>
          <w:lang w:eastAsia="sl-SI"/>
        </w:rPr>
        <w:t xml:space="preserve">in Družba za avtoceste v Republiki Sloveniji, d. d., ter zaradi investicij v javno železniško infrastrukturo, ki jih v imenu in za račun Republike Slovenije vodi Direkcija Republike Slovenije za infrastrukturo.  </w:t>
      </w:r>
    </w:p>
    <w:p w14:paraId="47393B24" w14:textId="77777777" w:rsidR="00695AE2" w:rsidRPr="00CB5050" w:rsidRDefault="00695AE2" w:rsidP="00695AE2">
      <w:pPr>
        <w:spacing w:line="240" w:lineRule="auto"/>
        <w:jc w:val="both"/>
        <w:rPr>
          <w:rFonts w:eastAsia="Calibri"/>
          <w:lang w:eastAsia="sl-SI"/>
        </w:rPr>
      </w:pPr>
    </w:p>
    <w:p w14:paraId="799EB3C2" w14:textId="77777777" w:rsidR="00695AE2" w:rsidRPr="00CB5050" w:rsidRDefault="00695AE2" w:rsidP="00695AE2">
      <w:pPr>
        <w:spacing w:line="240" w:lineRule="auto"/>
        <w:jc w:val="both"/>
        <w:rPr>
          <w:rFonts w:eastAsia="Calibri"/>
          <w:lang w:eastAsia="sl-SI"/>
        </w:rPr>
      </w:pPr>
      <w:r w:rsidRPr="00CB5050">
        <w:rPr>
          <w:rFonts w:eastAsia="Calibri"/>
          <w:lang w:eastAsia="sl-SI"/>
        </w:rPr>
        <w:t>Poleg tega lahko Vlada RS pooblasti Državno odvetništvo RS tudi za zastopanje Republike Slovenije v drugih razlastitvenih zadevah, kot je to storila zaradi investicij v vodno infrastrukturo z generalnim pooblastilom (sklep Vlade RS št. 02002-23/2024/4 z dne 7. 5. 2024) oziroma zaradi izvedbe vodnogospodarskih ureditev in izgradnjo zadrževalnikov visokih voda v okviru projekta »Zagotovitev poplavne varnosti porečja Drave – Območje Meže z Mislinjo«, ukrep 3 – izgradnja zadrževalnika visokih voda Poljana, s pooblastilom le za določeno področje (sklep Vlade RS št. 02002-4/2022/2 z dne 18. 5. 2022).</w:t>
      </w:r>
    </w:p>
    <w:p w14:paraId="586317F4" w14:textId="77777777" w:rsidR="00695AE2" w:rsidRPr="003702AE" w:rsidRDefault="00695AE2" w:rsidP="00695AE2">
      <w:pPr>
        <w:pStyle w:val="Jasna"/>
        <w:rPr>
          <w:sz w:val="28"/>
          <w:szCs w:val="28"/>
        </w:rPr>
      </w:pPr>
      <w:bookmarkStart w:id="943" w:name="_Toc95149813"/>
    </w:p>
    <w:p w14:paraId="6C9ADCDB" w14:textId="77777777" w:rsidR="00695AE2" w:rsidRPr="00CB5050" w:rsidRDefault="00695AE2" w:rsidP="00695AE2">
      <w:pPr>
        <w:pStyle w:val="Naslov3"/>
      </w:pPr>
      <w:bookmarkStart w:id="944" w:name="_Toc168845045"/>
      <w:bookmarkStart w:id="945" w:name="_Toc191562042"/>
      <w:bookmarkStart w:id="946" w:name="_Toc223094041"/>
      <w:r w:rsidRPr="00CB5050">
        <w:t>Statisti</w:t>
      </w:r>
      <w:bookmarkEnd w:id="943"/>
      <w:bookmarkEnd w:id="944"/>
      <w:r w:rsidRPr="00CB5050">
        <w:t>čni podatki</w:t>
      </w:r>
      <w:bookmarkEnd w:id="945"/>
      <w:bookmarkEnd w:id="946"/>
    </w:p>
    <w:p w14:paraId="0C17A902" w14:textId="77777777" w:rsidR="00695AE2" w:rsidRPr="00CB5050" w:rsidRDefault="00695AE2" w:rsidP="00695AE2">
      <w:pPr>
        <w:spacing w:line="240" w:lineRule="auto"/>
        <w:rPr>
          <w:rFonts w:eastAsia="Calibri"/>
          <w:sz w:val="28"/>
          <w:szCs w:val="28"/>
        </w:rPr>
      </w:pPr>
    </w:p>
    <w:p w14:paraId="02BB777D"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 xml:space="preserve">V imenu Republike Slovenije je Državno odvetništvo RS v letu 2025 prejelo 503 zadeve s področja postopkov razlastitev. </w:t>
      </w:r>
    </w:p>
    <w:p w14:paraId="6CE3AE01" w14:textId="77777777" w:rsidR="00695AE2" w:rsidRPr="00CB5050" w:rsidRDefault="00695AE2" w:rsidP="00695AE2">
      <w:pPr>
        <w:spacing w:line="240" w:lineRule="auto"/>
        <w:jc w:val="both"/>
        <w:rPr>
          <w:rFonts w:eastAsia="Calibri"/>
          <w:lang w:eastAsia="sl-SI"/>
        </w:rPr>
      </w:pPr>
    </w:p>
    <w:p w14:paraId="75975406"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V letu 2025 je imelo Državno odvetništvo RS v delu skupno 2.244 zadev, zaključilo pa jih je 749.</w:t>
      </w:r>
    </w:p>
    <w:p w14:paraId="497F5E18" w14:textId="77777777" w:rsidR="00695AE2" w:rsidRPr="00CB5050" w:rsidRDefault="00695AE2" w:rsidP="00695AE2">
      <w:pPr>
        <w:spacing w:line="240" w:lineRule="auto"/>
        <w:jc w:val="both"/>
        <w:rPr>
          <w:rFonts w:eastAsia="Calibri"/>
          <w:lang w:eastAsia="sl-SI"/>
        </w:rPr>
      </w:pPr>
    </w:p>
    <w:p w14:paraId="3649988F"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 xml:space="preserve">Na koncu obdobja poročanja, to je na dan 31. 12. 2025, je na Državnem odvetništvu RS odprtih še 1.495 zadev s področja postopkov razlastitev. </w:t>
      </w:r>
    </w:p>
    <w:p w14:paraId="406E779F" w14:textId="77777777" w:rsidR="00695AE2" w:rsidRPr="00CB5050" w:rsidRDefault="00695AE2" w:rsidP="00695AE2">
      <w:pPr>
        <w:spacing w:line="240" w:lineRule="auto"/>
        <w:jc w:val="both"/>
        <w:rPr>
          <w:rFonts w:eastAsia="Calibri"/>
          <w:lang w:eastAsia="sl-SI"/>
        </w:rPr>
      </w:pPr>
    </w:p>
    <w:p w14:paraId="68EFE82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bCs/>
          <w:color w:val="007466"/>
          <w:sz w:val="20"/>
          <w:szCs w:val="20"/>
        </w:rPr>
      </w:pPr>
      <w:r w:rsidRPr="00CB5050">
        <w:rPr>
          <w:rFonts w:eastAsia="Calibri"/>
          <w:b/>
          <w:bCs/>
          <w:color w:val="007466"/>
          <w:sz w:val="20"/>
          <w:szCs w:val="20"/>
        </w:rPr>
        <w:t xml:space="preserve">Preglednica: Število prejetih in vloženih predlogov za razlastitev v letu 2025 zbirno in po posameznih organizacijskih enotah </w:t>
      </w:r>
    </w:p>
    <w:p w14:paraId="56A9EE64" w14:textId="77777777" w:rsidR="00695AE2" w:rsidRPr="00CB5050" w:rsidRDefault="00695AE2" w:rsidP="00695AE2">
      <w:pPr>
        <w:spacing w:line="240" w:lineRule="auto"/>
        <w:jc w:val="both"/>
        <w:rPr>
          <w:rFonts w:eastAsia="Calibri"/>
          <w:sz w:val="20"/>
          <w:szCs w:val="20"/>
          <w:lang w:eastAsia="sl-SI"/>
        </w:rPr>
      </w:pPr>
    </w:p>
    <w:tbl>
      <w:tblPr>
        <w:tblStyle w:val="Tabelamrea4"/>
        <w:tblW w:w="0" w:type="auto"/>
        <w:tblLook w:val="04A0" w:firstRow="1" w:lastRow="0" w:firstColumn="1" w:lastColumn="0" w:noHBand="0" w:noVBand="1"/>
      </w:tblPr>
      <w:tblGrid>
        <w:gridCol w:w="1870"/>
        <w:gridCol w:w="1229"/>
        <w:gridCol w:w="691"/>
        <w:gridCol w:w="659"/>
        <w:gridCol w:w="659"/>
        <w:gridCol w:w="659"/>
        <w:gridCol w:w="659"/>
        <w:gridCol w:w="659"/>
        <w:gridCol w:w="659"/>
        <w:gridCol w:w="659"/>
        <w:gridCol w:w="659"/>
      </w:tblGrid>
      <w:tr w:rsidR="00695AE2" w:rsidRPr="00CB5050" w14:paraId="37F3415C" w14:textId="77777777" w:rsidTr="00980493">
        <w:tc>
          <w:tcPr>
            <w:tcW w:w="1870" w:type="dxa"/>
          </w:tcPr>
          <w:p w14:paraId="502B6471" w14:textId="77777777" w:rsidR="00695AE2" w:rsidRPr="00CB5050" w:rsidRDefault="00695AE2" w:rsidP="00980493">
            <w:pPr>
              <w:rPr>
                <w:rFonts w:eastAsia="Calibri" w:cs="Calibri"/>
                <w:sz w:val="16"/>
                <w:szCs w:val="16"/>
              </w:rPr>
            </w:pPr>
            <w:bookmarkStart w:id="947" w:name="_Hlk188450926"/>
          </w:p>
        </w:tc>
        <w:tc>
          <w:tcPr>
            <w:tcW w:w="1229" w:type="dxa"/>
          </w:tcPr>
          <w:p w14:paraId="2BB93565" w14:textId="77777777" w:rsidR="00695AE2" w:rsidRPr="00CB5050" w:rsidRDefault="00695AE2" w:rsidP="00980493">
            <w:pPr>
              <w:jc w:val="center"/>
              <w:rPr>
                <w:rFonts w:eastAsia="Calibri" w:cs="Calibri"/>
                <w:sz w:val="16"/>
                <w:szCs w:val="16"/>
              </w:rPr>
            </w:pPr>
            <w:r w:rsidRPr="00CB5050">
              <w:rPr>
                <w:rFonts w:eastAsia="Calibri" w:cs="Calibri"/>
                <w:sz w:val="16"/>
                <w:szCs w:val="16"/>
              </w:rPr>
              <w:t>ZBIRNO 2025</w:t>
            </w:r>
          </w:p>
        </w:tc>
        <w:tc>
          <w:tcPr>
            <w:tcW w:w="691" w:type="dxa"/>
          </w:tcPr>
          <w:p w14:paraId="7B421E35" w14:textId="77777777" w:rsidR="00695AE2" w:rsidRPr="00CB5050" w:rsidRDefault="00695AE2" w:rsidP="00980493">
            <w:pPr>
              <w:jc w:val="center"/>
              <w:rPr>
                <w:rFonts w:eastAsia="Calibri" w:cs="Calibri"/>
                <w:sz w:val="16"/>
                <w:szCs w:val="16"/>
              </w:rPr>
            </w:pPr>
            <w:r w:rsidRPr="00CB5050">
              <w:rPr>
                <w:rFonts w:eastAsia="Calibri" w:cs="Calibri"/>
                <w:sz w:val="16"/>
                <w:szCs w:val="16"/>
              </w:rPr>
              <w:t>2025</w:t>
            </w:r>
          </w:p>
        </w:tc>
        <w:tc>
          <w:tcPr>
            <w:tcW w:w="659" w:type="dxa"/>
          </w:tcPr>
          <w:p w14:paraId="328DD223" w14:textId="77777777" w:rsidR="00695AE2" w:rsidRPr="00CB5050" w:rsidRDefault="00695AE2" w:rsidP="00980493">
            <w:pPr>
              <w:jc w:val="center"/>
              <w:rPr>
                <w:rFonts w:eastAsia="Calibri" w:cs="Calibri"/>
                <w:sz w:val="16"/>
                <w:szCs w:val="16"/>
              </w:rPr>
            </w:pPr>
          </w:p>
        </w:tc>
        <w:tc>
          <w:tcPr>
            <w:tcW w:w="659" w:type="dxa"/>
          </w:tcPr>
          <w:p w14:paraId="05C35E5D" w14:textId="77777777" w:rsidR="00695AE2" w:rsidRPr="00CB5050" w:rsidRDefault="00695AE2" w:rsidP="00980493">
            <w:pPr>
              <w:jc w:val="center"/>
              <w:rPr>
                <w:rFonts w:eastAsia="Calibri" w:cs="Calibri"/>
                <w:sz w:val="16"/>
                <w:szCs w:val="16"/>
              </w:rPr>
            </w:pPr>
          </w:p>
        </w:tc>
        <w:tc>
          <w:tcPr>
            <w:tcW w:w="659" w:type="dxa"/>
          </w:tcPr>
          <w:p w14:paraId="3307BA80" w14:textId="77777777" w:rsidR="00695AE2" w:rsidRPr="00CB5050" w:rsidRDefault="00695AE2" w:rsidP="00980493">
            <w:pPr>
              <w:jc w:val="center"/>
              <w:rPr>
                <w:rFonts w:eastAsia="Calibri" w:cs="Calibri"/>
                <w:sz w:val="16"/>
                <w:szCs w:val="16"/>
              </w:rPr>
            </w:pPr>
          </w:p>
        </w:tc>
        <w:tc>
          <w:tcPr>
            <w:tcW w:w="659" w:type="dxa"/>
          </w:tcPr>
          <w:p w14:paraId="4A8A9A7D" w14:textId="77777777" w:rsidR="00695AE2" w:rsidRPr="00CB5050" w:rsidRDefault="00695AE2" w:rsidP="00980493">
            <w:pPr>
              <w:jc w:val="center"/>
              <w:rPr>
                <w:rFonts w:eastAsia="Calibri" w:cs="Calibri"/>
                <w:sz w:val="16"/>
                <w:szCs w:val="16"/>
              </w:rPr>
            </w:pPr>
          </w:p>
        </w:tc>
        <w:tc>
          <w:tcPr>
            <w:tcW w:w="659" w:type="dxa"/>
          </w:tcPr>
          <w:p w14:paraId="42558D05" w14:textId="77777777" w:rsidR="00695AE2" w:rsidRPr="00CB5050" w:rsidRDefault="00695AE2" w:rsidP="00980493">
            <w:pPr>
              <w:jc w:val="center"/>
              <w:rPr>
                <w:rFonts w:eastAsia="Calibri" w:cs="Calibri"/>
                <w:sz w:val="16"/>
                <w:szCs w:val="16"/>
              </w:rPr>
            </w:pPr>
          </w:p>
        </w:tc>
        <w:tc>
          <w:tcPr>
            <w:tcW w:w="659" w:type="dxa"/>
          </w:tcPr>
          <w:p w14:paraId="670FC9F6" w14:textId="77777777" w:rsidR="00695AE2" w:rsidRPr="00CB5050" w:rsidRDefault="00695AE2" w:rsidP="00980493">
            <w:pPr>
              <w:jc w:val="center"/>
              <w:rPr>
                <w:rFonts w:eastAsia="Calibri" w:cs="Calibri"/>
                <w:sz w:val="16"/>
                <w:szCs w:val="16"/>
              </w:rPr>
            </w:pPr>
          </w:p>
        </w:tc>
        <w:tc>
          <w:tcPr>
            <w:tcW w:w="659" w:type="dxa"/>
          </w:tcPr>
          <w:p w14:paraId="63C3D7B4" w14:textId="77777777" w:rsidR="00695AE2" w:rsidRPr="00CB5050" w:rsidRDefault="00695AE2" w:rsidP="00980493">
            <w:pPr>
              <w:jc w:val="center"/>
              <w:rPr>
                <w:rFonts w:eastAsia="Calibri" w:cs="Calibri"/>
                <w:sz w:val="16"/>
                <w:szCs w:val="16"/>
              </w:rPr>
            </w:pPr>
          </w:p>
        </w:tc>
        <w:tc>
          <w:tcPr>
            <w:tcW w:w="659" w:type="dxa"/>
          </w:tcPr>
          <w:p w14:paraId="6B36FF76" w14:textId="77777777" w:rsidR="00695AE2" w:rsidRPr="00CB5050" w:rsidRDefault="00695AE2" w:rsidP="00980493">
            <w:pPr>
              <w:jc w:val="center"/>
              <w:rPr>
                <w:rFonts w:eastAsia="Calibri" w:cs="Calibri"/>
                <w:sz w:val="16"/>
                <w:szCs w:val="16"/>
              </w:rPr>
            </w:pPr>
          </w:p>
        </w:tc>
      </w:tr>
      <w:tr w:rsidR="00695AE2" w:rsidRPr="00CB5050" w14:paraId="09548986" w14:textId="77777777" w:rsidTr="00980493">
        <w:tc>
          <w:tcPr>
            <w:tcW w:w="1870" w:type="dxa"/>
          </w:tcPr>
          <w:p w14:paraId="0A1F4B0E" w14:textId="77777777" w:rsidR="00695AE2" w:rsidRPr="00CB5050" w:rsidRDefault="00695AE2" w:rsidP="00980493">
            <w:pPr>
              <w:rPr>
                <w:rFonts w:eastAsia="Calibri" w:cs="Calibri"/>
                <w:sz w:val="16"/>
                <w:szCs w:val="16"/>
              </w:rPr>
            </w:pPr>
          </w:p>
        </w:tc>
        <w:tc>
          <w:tcPr>
            <w:tcW w:w="1229" w:type="dxa"/>
          </w:tcPr>
          <w:p w14:paraId="6D8F0963" w14:textId="77777777" w:rsidR="00695AE2" w:rsidRPr="00CB5050" w:rsidRDefault="00695AE2" w:rsidP="00980493">
            <w:pPr>
              <w:jc w:val="center"/>
              <w:rPr>
                <w:rFonts w:eastAsia="Calibri" w:cs="Calibri"/>
                <w:sz w:val="16"/>
                <w:szCs w:val="16"/>
              </w:rPr>
            </w:pPr>
          </w:p>
        </w:tc>
        <w:tc>
          <w:tcPr>
            <w:tcW w:w="691" w:type="dxa"/>
          </w:tcPr>
          <w:p w14:paraId="236808BD" w14:textId="77777777" w:rsidR="00695AE2" w:rsidRPr="00CB5050" w:rsidRDefault="00695AE2" w:rsidP="00980493">
            <w:pPr>
              <w:jc w:val="center"/>
              <w:rPr>
                <w:rFonts w:eastAsia="Calibri" w:cs="Calibri"/>
                <w:sz w:val="16"/>
                <w:szCs w:val="16"/>
              </w:rPr>
            </w:pPr>
            <w:r w:rsidRPr="00CB5050">
              <w:rPr>
                <w:rFonts w:eastAsia="Calibri" w:cs="Calibri"/>
                <w:sz w:val="16"/>
                <w:szCs w:val="16"/>
              </w:rPr>
              <w:t>LJ</w:t>
            </w:r>
          </w:p>
        </w:tc>
        <w:tc>
          <w:tcPr>
            <w:tcW w:w="659" w:type="dxa"/>
          </w:tcPr>
          <w:p w14:paraId="6923F22E" w14:textId="77777777" w:rsidR="00695AE2" w:rsidRPr="00CB5050" w:rsidRDefault="00695AE2" w:rsidP="00980493">
            <w:pPr>
              <w:jc w:val="center"/>
              <w:rPr>
                <w:rFonts w:eastAsia="Calibri" w:cs="Calibri"/>
                <w:sz w:val="16"/>
                <w:szCs w:val="16"/>
              </w:rPr>
            </w:pPr>
            <w:r w:rsidRPr="00CB5050">
              <w:rPr>
                <w:rFonts w:eastAsia="Calibri" w:cs="Calibri"/>
                <w:sz w:val="16"/>
                <w:szCs w:val="16"/>
              </w:rPr>
              <w:t>CE</w:t>
            </w:r>
          </w:p>
        </w:tc>
        <w:tc>
          <w:tcPr>
            <w:tcW w:w="659" w:type="dxa"/>
          </w:tcPr>
          <w:p w14:paraId="230EBF68" w14:textId="77777777" w:rsidR="00695AE2" w:rsidRPr="00CB5050" w:rsidRDefault="00695AE2" w:rsidP="00980493">
            <w:pPr>
              <w:jc w:val="center"/>
              <w:rPr>
                <w:rFonts w:eastAsia="Calibri" w:cs="Calibri"/>
                <w:sz w:val="16"/>
                <w:szCs w:val="16"/>
              </w:rPr>
            </w:pPr>
            <w:r w:rsidRPr="00CB5050">
              <w:rPr>
                <w:rFonts w:eastAsia="Calibri" w:cs="Calibri"/>
                <w:sz w:val="16"/>
                <w:szCs w:val="16"/>
              </w:rPr>
              <w:t>KP</w:t>
            </w:r>
          </w:p>
        </w:tc>
        <w:tc>
          <w:tcPr>
            <w:tcW w:w="659" w:type="dxa"/>
          </w:tcPr>
          <w:p w14:paraId="07D1B374" w14:textId="77777777" w:rsidR="00695AE2" w:rsidRPr="00CB5050" w:rsidRDefault="00695AE2" w:rsidP="00980493">
            <w:pPr>
              <w:jc w:val="center"/>
              <w:rPr>
                <w:rFonts w:eastAsia="Calibri" w:cs="Calibri"/>
                <w:sz w:val="16"/>
                <w:szCs w:val="16"/>
              </w:rPr>
            </w:pPr>
            <w:r w:rsidRPr="00CB5050">
              <w:rPr>
                <w:rFonts w:eastAsia="Calibri" w:cs="Calibri"/>
                <w:sz w:val="16"/>
                <w:szCs w:val="16"/>
              </w:rPr>
              <w:t>KR</w:t>
            </w:r>
          </w:p>
        </w:tc>
        <w:tc>
          <w:tcPr>
            <w:tcW w:w="659" w:type="dxa"/>
          </w:tcPr>
          <w:p w14:paraId="12DE253C" w14:textId="77777777" w:rsidR="00695AE2" w:rsidRPr="00CB5050" w:rsidRDefault="00695AE2" w:rsidP="00980493">
            <w:pPr>
              <w:jc w:val="center"/>
              <w:rPr>
                <w:rFonts w:eastAsia="Calibri" w:cs="Calibri"/>
                <w:sz w:val="16"/>
                <w:szCs w:val="16"/>
              </w:rPr>
            </w:pPr>
            <w:r w:rsidRPr="00CB5050">
              <w:rPr>
                <w:rFonts w:eastAsia="Calibri" w:cs="Calibri"/>
                <w:sz w:val="16"/>
                <w:szCs w:val="16"/>
              </w:rPr>
              <w:t>MB</w:t>
            </w:r>
          </w:p>
        </w:tc>
        <w:tc>
          <w:tcPr>
            <w:tcW w:w="659" w:type="dxa"/>
          </w:tcPr>
          <w:p w14:paraId="6F473C32" w14:textId="77777777" w:rsidR="00695AE2" w:rsidRPr="00CB5050" w:rsidRDefault="00695AE2" w:rsidP="00980493">
            <w:pPr>
              <w:jc w:val="center"/>
              <w:rPr>
                <w:rFonts w:eastAsia="Calibri" w:cs="Calibri"/>
                <w:sz w:val="16"/>
                <w:szCs w:val="16"/>
              </w:rPr>
            </w:pPr>
            <w:r w:rsidRPr="00CB5050">
              <w:rPr>
                <w:rFonts w:eastAsia="Calibri" w:cs="Calibri"/>
                <w:sz w:val="16"/>
                <w:szCs w:val="16"/>
              </w:rPr>
              <w:t>MS</w:t>
            </w:r>
          </w:p>
        </w:tc>
        <w:tc>
          <w:tcPr>
            <w:tcW w:w="659" w:type="dxa"/>
          </w:tcPr>
          <w:p w14:paraId="1ADD3C5B" w14:textId="77777777" w:rsidR="00695AE2" w:rsidRPr="00CB5050" w:rsidRDefault="00695AE2" w:rsidP="00980493">
            <w:pPr>
              <w:jc w:val="center"/>
              <w:rPr>
                <w:rFonts w:eastAsia="Calibri" w:cs="Calibri"/>
                <w:sz w:val="16"/>
                <w:szCs w:val="16"/>
              </w:rPr>
            </w:pPr>
            <w:r w:rsidRPr="00CB5050">
              <w:rPr>
                <w:rFonts w:eastAsia="Calibri" w:cs="Calibri"/>
                <w:sz w:val="16"/>
                <w:szCs w:val="16"/>
              </w:rPr>
              <w:t>NG</w:t>
            </w:r>
          </w:p>
        </w:tc>
        <w:tc>
          <w:tcPr>
            <w:tcW w:w="659" w:type="dxa"/>
          </w:tcPr>
          <w:p w14:paraId="34614201" w14:textId="77777777" w:rsidR="00695AE2" w:rsidRPr="00CB5050" w:rsidRDefault="00695AE2" w:rsidP="00980493">
            <w:pPr>
              <w:jc w:val="center"/>
              <w:rPr>
                <w:rFonts w:eastAsia="Calibri" w:cs="Calibri"/>
                <w:sz w:val="16"/>
                <w:szCs w:val="16"/>
              </w:rPr>
            </w:pPr>
            <w:r w:rsidRPr="00CB5050">
              <w:rPr>
                <w:rFonts w:eastAsia="Calibri" w:cs="Calibri"/>
                <w:sz w:val="16"/>
                <w:szCs w:val="16"/>
              </w:rPr>
              <w:t>NM</w:t>
            </w:r>
          </w:p>
        </w:tc>
        <w:tc>
          <w:tcPr>
            <w:tcW w:w="659" w:type="dxa"/>
          </w:tcPr>
          <w:p w14:paraId="122DFD21" w14:textId="77777777" w:rsidR="00695AE2" w:rsidRPr="00CB5050" w:rsidRDefault="00695AE2" w:rsidP="00980493">
            <w:pPr>
              <w:jc w:val="center"/>
              <w:rPr>
                <w:rFonts w:eastAsia="Calibri" w:cs="Calibri"/>
                <w:sz w:val="16"/>
                <w:szCs w:val="16"/>
              </w:rPr>
            </w:pPr>
            <w:r w:rsidRPr="00CB5050">
              <w:rPr>
                <w:rFonts w:eastAsia="Calibri" w:cs="Calibri"/>
                <w:sz w:val="16"/>
                <w:szCs w:val="16"/>
              </w:rPr>
              <w:t>PT</w:t>
            </w:r>
          </w:p>
        </w:tc>
      </w:tr>
      <w:tr w:rsidR="00695AE2" w:rsidRPr="00CB5050" w14:paraId="23A37D5D" w14:textId="77777777" w:rsidTr="00980493">
        <w:tc>
          <w:tcPr>
            <w:tcW w:w="1870" w:type="dxa"/>
          </w:tcPr>
          <w:p w14:paraId="0B2C8571" w14:textId="77777777" w:rsidR="00695AE2" w:rsidRPr="00CB5050" w:rsidRDefault="00695AE2" w:rsidP="00980493">
            <w:pPr>
              <w:rPr>
                <w:rFonts w:eastAsia="Calibri" w:cs="Calibri"/>
                <w:sz w:val="16"/>
                <w:szCs w:val="16"/>
              </w:rPr>
            </w:pPr>
            <w:r w:rsidRPr="00CB5050">
              <w:rPr>
                <w:rFonts w:eastAsia="Calibri" w:cs="Calibri"/>
                <w:sz w:val="16"/>
                <w:szCs w:val="16"/>
              </w:rPr>
              <w:t>Predlog za razlastitev</w:t>
            </w:r>
          </w:p>
        </w:tc>
        <w:tc>
          <w:tcPr>
            <w:tcW w:w="1229" w:type="dxa"/>
          </w:tcPr>
          <w:p w14:paraId="4607F686" w14:textId="77777777" w:rsidR="00695AE2" w:rsidRPr="00CB5050" w:rsidRDefault="00695AE2" w:rsidP="00980493">
            <w:pPr>
              <w:spacing w:line="259" w:lineRule="auto"/>
              <w:jc w:val="center"/>
              <w:rPr>
                <w:rFonts w:eastAsia="Calibri" w:cs="Calibri"/>
                <w:sz w:val="16"/>
                <w:szCs w:val="16"/>
              </w:rPr>
            </w:pPr>
            <w:r w:rsidRPr="00CB5050">
              <w:rPr>
                <w:rFonts w:eastAsia="Calibri" w:cs="Calibri"/>
                <w:sz w:val="16"/>
                <w:szCs w:val="16"/>
              </w:rPr>
              <w:t>503</w:t>
            </w:r>
          </w:p>
        </w:tc>
        <w:tc>
          <w:tcPr>
            <w:tcW w:w="691" w:type="dxa"/>
          </w:tcPr>
          <w:p w14:paraId="3A894E8B" w14:textId="77777777" w:rsidR="00695AE2" w:rsidRPr="00CB5050" w:rsidRDefault="00695AE2" w:rsidP="00980493">
            <w:pPr>
              <w:jc w:val="center"/>
              <w:rPr>
                <w:rFonts w:eastAsia="Calibri" w:cs="Calibri"/>
                <w:sz w:val="16"/>
                <w:szCs w:val="16"/>
              </w:rPr>
            </w:pPr>
            <w:r w:rsidRPr="00CB5050">
              <w:rPr>
                <w:rFonts w:eastAsia="Calibri" w:cs="Calibri"/>
                <w:sz w:val="16"/>
                <w:szCs w:val="16"/>
              </w:rPr>
              <w:t>148</w:t>
            </w:r>
          </w:p>
        </w:tc>
        <w:tc>
          <w:tcPr>
            <w:tcW w:w="659" w:type="dxa"/>
          </w:tcPr>
          <w:p w14:paraId="4096F87F" w14:textId="77777777" w:rsidR="00695AE2" w:rsidRPr="00CB5050" w:rsidRDefault="00695AE2" w:rsidP="00980493">
            <w:pPr>
              <w:jc w:val="center"/>
              <w:rPr>
                <w:rFonts w:eastAsia="Calibri" w:cs="Calibri"/>
                <w:sz w:val="16"/>
                <w:szCs w:val="16"/>
              </w:rPr>
            </w:pPr>
            <w:r w:rsidRPr="00CB5050">
              <w:rPr>
                <w:rFonts w:eastAsia="Calibri" w:cs="Calibri"/>
                <w:sz w:val="16"/>
                <w:szCs w:val="16"/>
              </w:rPr>
              <w:t>55</w:t>
            </w:r>
          </w:p>
        </w:tc>
        <w:tc>
          <w:tcPr>
            <w:tcW w:w="659" w:type="dxa"/>
          </w:tcPr>
          <w:p w14:paraId="7AC7FD58" w14:textId="77777777" w:rsidR="00695AE2" w:rsidRPr="00CB5050" w:rsidRDefault="00695AE2" w:rsidP="00980493">
            <w:pPr>
              <w:jc w:val="center"/>
              <w:rPr>
                <w:rFonts w:eastAsia="Calibri" w:cs="Calibri"/>
                <w:sz w:val="16"/>
                <w:szCs w:val="16"/>
              </w:rPr>
            </w:pPr>
            <w:r w:rsidRPr="00CB5050">
              <w:rPr>
                <w:rFonts w:eastAsia="Calibri" w:cs="Calibri"/>
                <w:sz w:val="16"/>
                <w:szCs w:val="16"/>
              </w:rPr>
              <w:t>97</w:t>
            </w:r>
          </w:p>
        </w:tc>
        <w:tc>
          <w:tcPr>
            <w:tcW w:w="659" w:type="dxa"/>
          </w:tcPr>
          <w:p w14:paraId="654F17AC" w14:textId="77777777" w:rsidR="00695AE2" w:rsidRPr="00CB5050" w:rsidRDefault="00695AE2" w:rsidP="00980493">
            <w:pPr>
              <w:jc w:val="center"/>
              <w:rPr>
                <w:rFonts w:eastAsia="Calibri" w:cs="Calibri"/>
                <w:sz w:val="16"/>
                <w:szCs w:val="16"/>
              </w:rPr>
            </w:pPr>
            <w:r w:rsidRPr="00CB5050">
              <w:rPr>
                <w:rFonts w:eastAsia="Calibri" w:cs="Calibri"/>
                <w:sz w:val="16"/>
                <w:szCs w:val="16"/>
              </w:rPr>
              <w:t>16</w:t>
            </w:r>
          </w:p>
        </w:tc>
        <w:tc>
          <w:tcPr>
            <w:tcW w:w="659" w:type="dxa"/>
          </w:tcPr>
          <w:p w14:paraId="264C0152" w14:textId="77777777" w:rsidR="00695AE2" w:rsidRPr="00CB5050" w:rsidRDefault="00695AE2" w:rsidP="00980493">
            <w:pPr>
              <w:jc w:val="center"/>
              <w:rPr>
                <w:rFonts w:eastAsia="Calibri" w:cs="Calibri"/>
                <w:sz w:val="16"/>
                <w:szCs w:val="16"/>
              </w:rPr>
            </w:pPr>
            <w:r w:rsidRPr="00CB5050">
              <w:rPr>
                <w:rFonts w:eastAsia="Calibri" w:cs="Calibri"/>
                <w:sz w:val="16"/>
                <w:szCs w:val="16"/>
              </w:rPr>
              <w:t>47</w:t>
            </w:r>
          </w:p>
        </w:tc>
        <w:tc>
          <w:tcPr>
            <w:tcW w:w="659" w:type="dxa"/>
          </w:tcPr>
          <w:p w14:paraId="4CDB667A" w14:textId="77777777" w:rsidR="00695AE2" w:rsidRPr="00CB5050" w:rsidRDefault="00695AE2" w:rsidP="00980493">
            <w:pPr>
              <w:jc w:val="center"/>
              <w:rPr>
                <w:rFonts w:eastAsia="Calibri" w:cs="Calibri"/>
                <w:sz w:val="16"/>
                <w:szCs w:val="16"/>
              </w:rPr>
            </w:pPr>
            <w:r w:rsidRPr="00CB5050">
              <w:rPr>
                <w:rFonts w:eastAsia="Calibri" w:cs="Calibri"/>
                <w:sz w:val="16"/>
                <w:szCs w:val="16"/>
              </w:rPr>
              <w:t>24</w:t>
            </w:r>
          </w:p>
        </w:tc>
        <w:tc>
          <w:tcPr>
            <w:tcW w:w="659" w:type="dxa"/>
          </w:tcPr>
          <w:p w14:paraId="17F73F4C" w14:textId="77777777" w:rsidR="00695AE2" w:rsidRPr="00CB5050" w:rsidRDefault="00695AE2" w:rsidP="00980493">
            <w:pPr>
              <w:jc w:val="center"/>
              <w:rPr>
                <w:rFonts w:eastAsia="Calibri" w:cs="Calibri"/>
                <w:sz w:val="16"/>
                <w:szCs w:val="16"/>
              </w:rPr>
            </w:pPr>
            <w:r w:rsidRPr="00CB5050">
              <w:rPr>
                <w:rFonts w:eastAsia="Calibri" w:cs="Calibri"/>
                <w:sz w:val="16"/>
                <w:szCs w:val="16"/>
              </w:rPr>
              <w:t>54</w:t>
            </w:r>
          </w:p>
        </w:tc>
        <w:tc>
          <w:tcPr>
            <w:tcW w:w="659" w:type="dxa"/>
          </w:tcPr>
          <w:p w14:paraId="03440C72" w14:textId="77777777" w:rsidR="00695AE2" w:rsidRPr="00CB5050" w:rsidRDefault="00695AE2" w:rsidP="00980493">
            <w:pPr>
              <w:jc w:val="center"/>
              <w:rPr>
                <w:rFonts w:eastAsia="Calibri" w:cs="Calibri"/>
                <w:sz w:val="16"/>
                <w:szCs w:val="16"/>
              </w:rPr>
            </w:pPr>
            <w:r w:rsidRPr="00CB5050">
              <w:rPr>
                <w:rFonts w:eastAsia="Calibri" w:cs="Calibri"/>
                <w:sz w:val="16"/>
                <w:szCs w:val="16"/>
              </w:rPr>
              <w:t>52</w:t>
            </w:r>
          </w:p>
        </w:tc>
        <w:tc>
          <w:tcPr>
            <w:tcW w:w="659" w:type="dxa"/>
          </w:tcPr>
          <w:p w14:paraId="649E2FFA" w14:textId="77777777" w:rsidR="00695AE2" w:rsidRPr="00CB5050" w:rsidRDefault="00695AE2" w:rsidP="00980493">
            <w:pPr>
              <w:jc w:val="center"/>
              <w:rPr>
                <w:rFonts w:eastAsia="Calibri" w:cs="Calibri"/>
                <w:sz w:val="16"/>
                <w:szCs w:val="16"/>
              </w:rPr>
            </w:pPr>
            <w:r w:rsidRPr="00CB5050">
              <w:rPr>
                <w:rFonts w:eastAsia="Calibri" w:cs="Calibri"/>
                <w:sz w:val="16"/>
                <w:szCs w:val="16"/>
              </w:rPr>
              <w:t>10</w:t>
            </w:r>
          </w:p>
        </w:tc>
      </w:tr>
    </w:tbl>
    <w:p w14:paraId="520D26B6" w14:textId="77777777" w:rsidR="00695AE2" w:rsidRPr="003702AE" w:rsidRDefault="00695AE2" w:rsidP="00695AE2">
      <w:pPr>
        <w:pStyle w:val="Jasna"/>
        <w:rPr>
          <w:sz w:val="28"/>
          <w:szCs w:val="28"/>
        </w:rPr>
      </w:pPr>
      <w:bookmarkStart w:id="948" w:name="_Toc95149814"/>
      <w:bookmarkStart w:id="949" w:name="_Toc168845046"/>
      <w:bookmarkEnd w:id="947"/>
    </w:p>
    <w:p w14:paraId="5D92EA5C" w14:textId="77777777" w:rsidR="00695AE2" w:rsidRPr="00CB5050" w:rsidRDefault="00695AE2" w:rsidP="00695AE2">
      <w:pPr>
        <w:pStyle w:val="Naslov3"/>
      </w:pPr>
      <w:bookmarkStart w:id="950" w:name="_Toc191562043"/>
      <w:bookmarkStart w:id="951" w:name="_Toc223094042"/>
      <w:r w:rsidRPr="00CB5050">
        <w:t>Analiza primerjalnih vrednosti</w:t>
      </w:r>
      <w:bookmarkEnd w:id="948"/>
      <w:bookmarkEnd w:id="949"/>
      <w:bookmarkEnd w:id="950"/>
      <w:bookmarkEnd w:id="951"/>
      <w:r w:rsidRPr="00CB5050">
        <w:t xml:space="preserve"> </w:t>
      </w:r>
    </w:p>
    <w:p w14:paraId="6835A7E2" w14:textId="77777777" w:rsidR="00695AE2" w:rsidRPr="00CB5050" w:rsidRDefault="00695AE2" w:rsidP="00695AE2">
      <w:pPr>
        <w:spacing w:line="240" w:lineRule="auto"/>
        <w:jc w:val="both"/>
        <w:rPr>
          <w:rFonts w:eastAsia="Calibri"/>
          <w:sz w:val="28"/>
          <w:szCs w:val="28"/>
        </w:rPr>
      </w:pPr>
    </w:p>
    <w:p w14:paraId="6D76687C" w14:textId="77777777" w:rsidR="00695AE2" w:rsidRPr="00CB5050" w:rsidRDefault="00695AE2" w:rsidP="00695AE2">
      <w:pPr>
        <w:spacing w:line="240" w:lineRule="auto"/>
        <w:jc w:val="both"/>
        <w:rPr>
          <w:rFonts w:eastAsia="Calibri"/>
          <w:szCs w:val="22"/>
        </w:rPr>
      </w:pPr>
      <w:r w:rsidRPr="00CB5050">
        <w:rPr>
          <w:rFonts w:eastAsia="Calibri"/>
          <w:szCs w:val="22"/>
          <w:lang w:eastAsia="sl-SI"/>
        </w:rPr>
        <w:t>Državno odvetništvo RS je v letu 2025 vložilo 503 predlogov za razlastitev,</w:t>
      </w:r>
      <w:r w:rsidRPr="00CB5050">
        <w:rPr>
          <w:rFonts w:eastAsia="Calibri"/>
          <w:szCs w:val="22"/>
        </w:rPr>
        <w:t xml:space="preserve"> kar je 46,94 odstotka manj kot leta 2024, ko je vložilo 948 predlogov za razlastitev. </w:t>
      </w:r>
    </w:p>
    <w:p w14:paraId="72933FA6" w14:textId="77777777" w:rsidR="00695AE2" w:rsidRPr="00CB5050" w:rsidRDefault="00695AE2" w:rsidP="00695AE2">
      <w:pPr>
        <w:spacing w:line="240" w:lineRule="auto"/>
        <w:jc w:val="both"/>
        <w:rPr>
          <w:rFonts w:eastAsia="Calibri"/>
          <w:lang w:eastAsia="sl-SI"/>
        </w:rPr>
      </w:pPr>
    </w:p>
    <w:p w14:paraId="15FDC502"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 xml:space="preserve">V letu 2025 je imelo v delu skupno 2.244 zadev, kar je 13,39 odstotka manj kot leta </w:t>
      </w:r>
      <w:r w:rsidRPr="00CB5050">
        <w:rPr>
          <w:rFonts w:eastAsia="Calibri"/>
          <w:szCs w:val="22"/>
        </w:rPr>
        <w:t>2024, ko je imelo v delu 2.591 zadev.</w:t>
      </w:r>
      <w:r w:rsidRPr="00CB5050">
        <w:rPr>
          <w:rFonts w:eastAsia="Calibri"/>
          <w:szCs w:val="22"/>
          <w:lang w:eastAsia="sl-SI"/>
        </w:rPr>
        <w:t xml:space="preserve"> </w:t>
      </w:r>
    </w:p>
    <w:p w14:paraId="437BA163" w14:textId="77777777" w:rsidR="00695AE2" w:rsidRPr="00CB5050" w:rsidRDefault="00695AE2" w:rsidP="00695AE2">
      <w:pPr>
        <w:spacing w:line="240" w:lineRule="auto"/>
        <w:jc w:val="both"/>
        <w:rPr>
          <w:rFonts w:eastAsia="Calibri"/>
          <w:lang w:eastAsia="sl-SI"/>
        </w:rPr>
      </w:pPr>
    </w:p>
    <w:p w14:paraId="78EB2DA0"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V letu 2025 je Državno odvetništvo RS zaključilo 749 razlastitvenih zadev, kar je 13,61 odstotka manj kot v letu</w:t>
      </w:r>
      <w:r w:rsidRPr="00CB5050">
        <w:rPr>
          <w:rFonts w:eastAsia="Calibri"/>
          <w:szCs w:val="22"/>
        </w:rPr>
        <w:t xml:space="preserve"> 2024, ko je bilo zaključenih (rešenih) 867 zadev</w:t>
      </w:r>
      <w:r w:rsidRPr="00CB5050">
        <w:rPr>
          <w:rFonts w:eastAsia="Calibri"/>
          <w:szCs w:val="22"/>
          <w:lang w:eastAsia="sl-SI"/>
        </w:rPr>
        <w:t>.</w:t>
      </w:r>
    </w:p>
    <w:p w14:paraId="71424B15" w14:textId="77777777" w:rsidR="00695AE2" w:rsidRPr="00CB5050" w:rsidRDefault="00695AE2" w:rsidP="00695AE2">
      <w:pPr>
        <w:spacing w:line="240" w:lineRule="auto"/>
        <w:jc w:val="both"/>
        <w:rPr>
          <w:rFonts w:eastAsia="Calibri"/>
          <w:szCs w:val="22"/>
          <w:lang w:eastAsia="sl-SI"/>
        </w:rPr>
      </w:pPr>
    </w:p>
    <w:p w14:paraId="17475D7E" w14:textId="77777777" w:rsidR="00695AE2" w:rsidRDefault="00695AE2" w:rsidP="00695AE2">
      <w:pPr>
        <w:spacing w:line="240" w:lineRule="auto"/>
        <w:jc w:val="both"/>
        <w:rPr>
          <w:rFonts w:eastAsia="Calibri"/>
          <w:szCs w:val="22"/>
        </w:rPr>
      </w:pPr>
      <w:r w:rsidRPr="00CB5050">
        <w:rPr>
          <w:rFonts w:eastAsia="Calibri"/>
          <w:szCs w:val="22"/>
          <w:lang w:eastAsia="sl-SI"/>
        </w:rPr>
        <w:t xml:space="preserve">Na koncu obdobja poročanja, to je na dan 31. 12. 2024, je odprtih še 1.495 zadev s področja postopkov razlastitev, kar je 13,28 odstotka manj kot na dan 31. 12. 2024, ko je bilo </w:t>
      </w:r>
      <w:r w:rsidRPr="00CB5050">
        <w:rPr>
          <w:rFonts w:eastAsia="Calibri"/>
          <w:szCs w:val="22"/>
        </w:rPr>
        <w:t>odprtih (nerešenih) 1.724 zadev.</w:t>
      </w:r>
    </w:p>
    <w:p w14:paraId="27DA5DCD" w14:textId="77777777" w:rsidR="00695AE2" w:rsidRDefault="00695AE2" w:rsidP="00695AE2">
      <w:pPr>
        <w:spacing w:line="240" w:lineRule="auto"/>
        <w:jc w:val="both"/>
        <w:rPr>
          <w:rFonts w:eastAsia="Calibri"/>
          <w:szCs w:val="22"/>
        </w:rPr>
      </w:pPr>
    </w:p>
    <w:p w14:paraId="7F4D4FB2" w14:textId="77777777" w:rsidR="00695AE2" w:rsidRPr="00CB5050" w:rsidRDefault="00695AE2" w:rsidP="00695AE2">
      <w:pPr>
        <w:spacing w:line="240" w:lineRule="auto"/>
        <w:jc w:val="both"/>
        <w:rPr>
          <w:rFonts w:eastAsia="Calibri"/>
          <w:szCs w:val="22"/>
        </w:rPr>
      </w:pPr>
      <w:r w:rsidRPr="00CB5050">
        <w:rPr>
          <w:rFonts w:eastAsia="Calibri"/>
          <w:b/>
          <w:bCs/>
          <w:color w:val="007466"/>
          <w:sz w:val="20"/>
          <w:szCs w:val="20"/>
        </w:rPr>
        <w:t>Grafikon: Število prejetih razlastitvenih zadev v obdobju 2021 – 2025</w:t>
      </w:r>
    </w:p>
    <w:p w14:paraId="53F751C7" w14:textId="77777777" w:rsidR="00695AE2" w:rsidRPr="00CB5050" w:rsidRDefault="00695AE2" w:rsidP="00695AE2">
      <w:pPr>
        <w:spacing w:line="240" w:lineRule="auto"/>
        <w:rPr>
          <w:rFonts w:eastAsia="Calibri"/>
          <w:b/>
          <w:bCs/>
          <w:color w:val="007466"/>
          <w:sz w:val="20"/>
          <w:szCs w:val="20"/>
        </w:rPr>
      </w:pPr>
    </w:p>
    <w:p w14:paraId="520931B5" w14:textId="77777777" w:rsidR="00695AE2" w:rsidRPr="00CB5050" w:rsidRDefault="00695AE2" w:rsidP="00695AE2">
      <w:pPr>
        <w:spacing w:line="240" w:lineRule="auto"/>
        <w:jc w:val="center"/>
        <w:rPr>
          <w:rFonts w:eastAsia="Calibri"/>
          <w:szCs w:val="22"/>
        </w:rPr>
      </w:pPr>
      <w:r w:rsidRPr="00CB5050">
        <w:rPr>
          <w:rFonts w:eastAsia="Calibri"/>
          <w:noProof/>
          <w:szCs w:val="22"/>
        </w:rPr>
        <w:drawing>
          <wp:inline distT="0" distB="0" distL="0" distR="0" wp14:anchorId="6022923E" wp14:editId="29512E11">
            <wp:extent cx="4584700" cy="2755900"/>
            <wp:effectExtent l="0" t="0" r="6350" b="6350"/>
            <wp:docPr id="173249279" name="Slika 1"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9279" name="Slika 1" descr="Slika, ki vsebuje besede besedilo, posnetek zaslona, pravokotnik, številka&#10;&#10;Vsebina, ustvarjena z UI, morda ni praviln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5C4D49B" w14:textId="77777777" w:rsidR="00695AE2" w:rsidRPr="00CB5050" w:rsidRDefault="00695AE2" w:rsidP="00695AE2">
      <w:pPr>
        <w:spacing w:line="240" w:lineRule="auto"/>
        <w:jc w:val="both"/>
        <w:rPr>
          <w:rFonts w:eastAsia="Calibri"/>
          <w:szCs w:val="22"/>
        </w:rPr>
      </w:pPr>
    </w:p>
    <w:p w14:paraId="2B1D0EB5" w14:textId="77777777" w:rsidR="00695AE2" w:rsidRPr="00CB5050" w:rsidRDefault="00695AE2" w:rsidP="00695AE2">
      <w:pPr>
        <w:spacing w:line="240" w:lineRule="auto"/>
        <w:jc w:val="both"/>
        <w:rPr>
          <w:rFonts w:eastAsia="Times New Roman"/>
        </w:rPr>
      </w:pPr>
      <w:r w:rsidRPr="00CB5050">
        <w:rPr>
          <w:rFonts w:eastAsia="Calibri"/>
          <w:szCs w:val="22"/>
        </w:rPr>
        <w:t xml:space="preserve">Pripad razlastitvenih zadev se je v letu 2025, sploh v primerjavi z letom 2024, ko je bilo prejetih največje število novih zadev iz tega področja dela, oziroma tudi v primerjavi z obdobjem 2021 – 2024, ko je pripad tovrstnih zadev ostajal načeloma na približno enaki ravni in je znašal v povprečju 871 novih razlastitvenih zadev na leto, s 503 novimi razlastitvenimi zadevami kar bistveno zmanjšal. Dinamika pripada teh zadev je bila v veliki meri povezana z investicijskimi projekti države, v zvezi s katerimi se </w:t>
      </w:r>
      <w:r w:rsidRPr="00CB5050">
        <w:rPr>
          <w:rFonts w:eastAsia="Calibri"/>
        </w:rPr>
        <w:t>pridobivajo zemljišča za izgradnjo novih avtocestnih oziroma cestnih odsekov in železniške infrastrukture, prav tako se je pospešeno</w:t>
      </w:r>
      <w:r w:rsidRPr="00CB5050">
        <w:rPr>
          <w:rFonts w:eastAsia="Times New Roman"/>
        </w:rPr>
        <w:t xml:space="preserve"> urejal lastninski status vodnih in obvodnih zemljišč </w:t>
      </w:r>
      <w:r w:rsidRPr="00CB5050">
        <w:rPr>
          <w:rFonts w:eastAsia="Calibri"/>
          <w:szCs w:val="22"/>
        </w:rPr>
        <w:t>za potrebe gradnje vodnogospodarskih ureditev in posegov za zagotavljanje poplavne varnosti</w:t>
      </w:r>
      <w:r w:rsidRPr="00CB5050">
        <w:rPr>
          <w:rFonts w:eastAsia="Times New Roman"/>
        </w:rPr>
        <w:t xml:space="preserve"> ter javno dobro. </w:t>
      </w:r>
    </w:p>
    <w:p w14:paraId="14CA0BC6" w14:textId="77777777" w:rsidR="00695AE2" w:rsidRPr="00CB5050" w:rsidRDefault="00695AE2" w:rsidP="00695AE2">
      <w:pPr>
        <w:spacing w:line="240" w:lineRule="auto"/>
        <w:jc w:val="both"/>
        <w:rPr>
          <w:rFonts w:eastAsia="Times New Roman"/>
          <w:sz w:val="28"/>
          <w:szCs w:val="28"/>
        </w:rPr>
      </w:pPr>
    </w:p>
    <w:p w14:paraId="2632727D" w14:textId="77777777" w:rsidR="00695AE2" w:rsidRPr="00CB5050" w:rsidRDefault="00695AE2" w:rsidP="00695AE2">
      <w:pPr>
        <w:pStyle w:val="Naslov3"/>
      </w:pPr>
      <w:bookmarkStart w:id="952" w:name="_Toc95149815"/>
      <w:bookmarkStart w:id="953" w:name="_Toc168845047"/>
      <w:bookmarkStart w:id="954" w:name="_Toc191562044"/>
      <w:bookmarkStart w:id="955" w:name="_Toc223094043"/>
      <w:r w:rsidRPr="00CB5050">
        <w:t>Ukrepi za obvladovanje zadev in priporočila Državnega odvetništva RS</w:t>
      </w:r>
      <w:bookmarkEnd w:id="952"/>
      <w:bookmarkEnd w:id="953"/>
      <w:bookmarkEnd w:id="954"/>
      <w:bookmarkEnd w:id="955"/>
    </w:p>
    <w:p w14:paraId="785EEACA" w14:textId="77777777" w:rsidR="00695AE2" w:rsidRPr="00CB5050" w:rsidRDefault="00695AE2" w:rsidP="00695AE2">
      <w:pPr>
        <w:spacing w:line="240" w:lineRule="auto"/>
        <w:rPr>
          <w:rFonts w:eastAsia="Calibri"/>
          <w:sz w:val="28"/>
          <w:szCs w:val="28"/>
        </w:rPr>
      </w:pPr>
    </w:p>
    <w:p w14:paraId="6C624F3A" w14:textId="77777777" w:rsidR="00695AE2" w:rsidRPr="00CB5050" w:rsidRDefault="00695AE2" w:rsidP="00695AE2">
      <w:pPr>
        <w:pStyle w:val="Naslov4"/>
      </w:pPr>
      <w:bookmarkStart w:id="956" w:name="_Toc168845048"/>
      <w:bookmarkStart w:id="957" w:name="_Toc191562045"/>
      <w:bookmarkStart w:id="958" w:name="_Toc223094044"/>
      <w:r w:rsidRPr="00CB5050">
        <w:lastRenderedPageBreak/>
        <w:t>Splošno</w:t>
      </w:r>
      <w:bookmarkEnd w:id="956"/>
      <w:bookmarkEnd w:id="957"/>
      <w:bookmarkEnd w:id="958"/>
    </w:p>
    <w:p w14:paraId="12864A0D" w14:textId="77777777" w:rsidR="00695AE2" w:rsidRPr="00CB5050" w:rsidRDefault="00695AE2" w:rsidP="00695AE2">
      <w:pPr>
        <w:spacing w:line="240" w:lineRule="auto"/>
        <w:jc w:val="both"/>
        <w:rPr>
          <w:rFonts w:eastAsia="Aptos"/>
        </w:rPr>
      </w:pPr>
    </w:p>
    <w:p w14:paraId="44D39071" w14:textId="77777777" w:rsidR="00695AE2" w:rsidRPr="00CB5050" w:rsidRDefault="00695AE2" w:rsidP="00695AE2">
      <w:pPr>
        <w:spacing w:line="240" w:lineRule="auto"/>
        <w:jc w:val="both"/>
        <w:rPr>
          <w:rFonts w:eastAsia="Aptos"/>
        </w:rPr>
      </w:pPr>
      <w:r w:rsidRPr="00CB5050">
        <w:rPr>
          <w:rFonts w:eastAsia="Aptos"/>
        </w:rPr>
        <w:t>Število razlastitvenih postopkov je težko napovedati, saj je to odvisno od investicijskih dejavnosti države. R</w:t>
      </w:r>
      <w:r w:rsidRPr="00CB5050">
        <w:rPr>
          <w:rFonts w:eastAsia="Aptos"/>
          <w:szCs w:val="22"/>
        </w:rPr>
        <w:t>azlastitveni postopki so namreč povezani z načrtovanimi gradnjami posameznih infrastrukturnih objektov in/ali zemljiškoknjižnim urejanjem zemljišč, na katerih so že zgrajeni infrastrukturni objekti; praviloma gre za zemljišča, ki se uporabljajo za redno rabo infrastrukturnega objekta. V navedenih primerih</w:t>
      </w:r>
      <w:r w:rsidRPr="00CB5050">
        <w:rPr>
          <w:rFonts w:eastAsia="Aptos"/>
        </w:rPr>
        <w:t xml:space="preserve"> taki posegi pomenijo večje število postopkov hkrati na nekem omejenem območju oziroma gre za »paketni« pripad večjega števila zadev. </w:t>
      </w:r>
    </w:p>
    <w:p w14:paraId="03590FFA" w14:textId="77777777" w:rsidR="00695AE2" w:rsidRPr="00CB5050" w:rsidRDefault="00695AE2" w:rsidP="00695AE2">
      <w:pPr>
        <w:spacing w:line="240" w:lineRule="auto"/>
        <w:jc w:val="both"/>
        <w:rPr>
          <w:rFonts w:eastAsia="Aptos"/>
        </w:rPr>
      </w:pPr>
    </w:p>
    <w:p w14:paraId="0AC6A3E5"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Razlastitveni postopki praviloma potekajo hitro. So pa nekatere zadeve lahko zelo kompleksne tako iz pravnega kot dejanskega stališča (poleg predloga za razlastitev na primer lahko vsebujejo tudi predlog za položitev varščine pred notarjem, predlog za začasno omejitev lastninske pravice in predlog za ustanovitev stvarne služnosti), kar posledično pomeni, da se obravnavajo veliko dlje kot običajni razlastitveni postopki. </w:t>
      </w:r>
      <w:r w:rsidRPr="00CB5050">
        <w:rPr>
          <w:rFonts w:eastAsia="Aptos"/>
        </w:rPr>
        <w:t xml:space="preserve">V vseh zadevah se razpisujejo obravnave, kar pomeni, da tovrstne zadeve zahtevajo intenzivno sodelovanje Državnega odvetništva RS. </w:t>
      </w:r>
      <w:r w:rsidRPr="00CB5050">
        <w:rPr>
          <w:rFonts w:eastAsia="Times New Roman"/>
          <w:lang w:eastAsia="sl-SI"/>
        </w:rPr>
        <w:t xml:space="preserve">Odločbe so v zemljiški knjigi izvedene relativno v kratkem času od pravnomočnosti odločbe o razlastitvi, razen izjemoma, ko je v zemljiški knjigi predhodno vpisano večje število plomb, kar lahko traja tudi do enega leta ali več. </w:t>
      </w:r>
    </w:p>
    <w:p w14:paraId="018A32E8" w14:textId="77777777" w:rsidR="00695AE2" w:rsidRPr="00CB5050" w:rsidRDefault="00695AE2" w:rsidP="00695AE2">
      <w:pPr>
        <w:spacing w:line="240" w:lineRule="auto"/>
        <w:jc w:val="both"/>
        <w:rPr>
          <w:rFonts w:eastAsia="Aptos"/>
          <w:strike/>
        </w:rPr>
      </w:pPr>
    </w:p>
    <w:p w14:paraId="2DCF8FED" w14:textId="77777777" w:rsidR="00695AE2" w:rsidRPr="00CB5050" w:rsidRDefault="00695AE2" w:rsidP="00695AE2">
      <w:pPr>
        <w:spacing w:line="240" w:lineRule="auto"/>
        <w:jc w:val="both"/>
        <w:rPr>
          <w:rFonts w:eastAsia="Aptos"/>
        </w:rPr>
      </w:pPr>
      <w:r w:rsidRPr="00CB5050">
        <w:rPr>
          <w:rFonts w:eastAsia="Aptos"/>
        </w:rPr>
        <w:t xml:space="preserve">Če je razlastitveni zavezanec pripravljen na sklenitev sporazuma že v okviru upravnega postopka, Državno odvetništvo RS po potrebi pridobi ponovno cenitev nepremičnine oziroma valorizacije cenitve, na podlagi katere nato pride do sklenitve sporazuma o odškodnini in s tem tudi do dokončne ureditve razmerja že v razlastitvenem postopku. Če do sklenitve sporazuma o odškodnini v upravnem postopku ne pride, temu sledi nepravdni postopek za določitev odškodnine za razlaščena zemljišča. </w:t>
      </w:r>
    </w:p>
    <w:p w14:paraId="0ED13FEF" w14:textId="77777777" w:rsidR="00695AE2" w:rsidRPr="00CB5050" w:rsidRDefault="00695AE2" w:rsidP="00695AE2">
      <w:pPr>
        <w:spacing w:line="240" w:lineRule="auto"/>
        <w:jc w:val="both"/>
        <w:rPr>
          <w:rFonts w:eastAsia="Aptos"/>
        </w:rPr>
      </w:pPr>
    </w:p>
    <w:p w14:paraId="0C8E61B9" w14:textId="77777777" w:rsidR="00695AE2" w:rsidRPr="00CB5050" w:rsidRDefault="00695AE2" w:rsidP="00695AE2">
      <w:pPr>
        <w:kinsoku w:val="0"/>
        <w:overflowPunct w:val="0"/>
        <w:spacing w:line="240" w:lineRule="auto"/>
        <w:ind w:right="112"/>
        <w:jc w:val="both"/>
        <w:rPr>
          <w:rFonts w:eastAsia="Aptos"/>
          <w:szCs w:val="20"/>
        </w:rPr>
      </w:pPr>
      <w:r w:rsidRPr="00CB5050">
        <w:rPr>
          <w:rFonts w:eastAsia="Aptos"/>
        </w:rPr>
        <w:t xml:space="preserve">Državno odvetništvo RS si v okviru poravnalne funkcije prizadeva za čim večje število sklenjenih sporazumov. S tem pripomore, da je glede na število razlastitvenih zadev sorazmerno malo vloženih predlogov za določitev odškodnine za razlaščene nepremičnine v nepravdnih postopkih, s čimer neposredno pripomore k manjšemu pripadu tovrstnih zadev na sodiščih, posredno pa tudi k zmanjšanju sodnih zaostankov na sodiščih. </w:t>
      </w:r>
    </w:p>
    <w:p w14:paraId="4D47A047" w14:textId="77777777" w:rsidR="00695AE2" w:rsidRPr="00CB5050" w:rsidRDefault="00695AE2" w:rsidP="00695AE2">
      <w:pPr>
        <w:spacing w:line="240" w:lineRule="auto"/>
        <w:jc w:val="both"/>
        <w:rPr>
          <w:rFonts w:eastAsia="Aptos"/>
        </w:rPr>
      </w:pPr>
    </w:p>
    <w:p w14:paraId="4FDCB07A" w14:textId="77777777" w:rsidR="00695AE2" w:rsidRPr="00CB5050" w:rsidRDefault="00695AE2" w:rsidP="00695AE2">
      <w:pPr>
        <w:spacing w:line="240" w:lineRule="auto"/>
        <w:jc w:val="both"/>
        <w:rPr>
          <w:rFonts w:eastAsia="Calibri"/>
          <w:bCs/>
          <w:szCs w:val="22"/>
        </w:rPr>
      </w:pPr>
      <w:r w:rsidRPr="00CB5050">
        <w:rPr>
          <w:rFonts w:eastAsia="Aptos"/>
          <w:szCs w:val="22"/>
        </w:rPr>
        <w:t>Pretežni del razlastitvenih postopkov je sicer povezan z Ministrstvom za infrastrukturo oziroma  DRSI in Državno odvetništvo RS vsaj glede dela razlastitvenih zadev ocenjuje, da bi se upravnim postopkom lahko delno izognili tako, da bi investitor, praviloma DRSI, v intenzivnejši komunikaciji z razlastitvenimi zavezanci lahko dosegel sporazumno rešitev v izogib razlastitvi v upravnem postopku, v katerem razlaščenci večkrat poudarijo, da so pripravljeni na sporazum, vendar s strani države oziroma DRSI niso bili deležni ustrezne komunikacije.</w:t>
      </w:r>
      <w:r w:rsidRPr="00CB5050">
        <w:rPr>
          <w:rFonts w:eastAsia="Calibri"/>
          <w:bCs/>
          <w:szCs w:val="22"/>
        </w:rPr>
        <w:t xml:space="preserve"> </w:t>
      </w:r>
    </w:p>
    <w:p w14:paraId="606B1109" w14:textId="77777777" w:rsidR="00695AE2" w:rsidRPr="00CB5050" w:rsidRDefault="00695AE2" w:rsidP="00695AE2">
      <w:pPr>
        <w:spacing w:line="240" w:lineRule="auto"/>
        <w:jc w:val="both"/>
        <w:rPr>
          <w:rFonts w:eastAsia="Aptos"/>
          <w:szCs w:val="22"/>
        </w:rPr>
      </w:pPr>
    </w:p>
    <w:p w14:paraId="06796283" w14:textId="77777777" w:rsidR="00695AE2" w:rsidRPr="00CB5050" w:rsidRDefault="00695AE2" w:rsidP="00695AE2">
      <w:pPr>
        <w:kinsoku w:val="0"/>
        <w:overflowPunct w:val="0"/>
        <w:spacing w:line="240" w:lineRule="auto"/>
        <w:ind w:right="112"/>
        <w:jc w:val="both"/>
        <w:rPr>
          <w:rFonts w:eastAsia="Aptos"/>
          <w:szCs w:val="20"/>
        </w:rPr>
      </w:pPr>
      <w:r w:rsidRPr="00CB5050">
        <w:rPr>
          <w:rFonts w:eastAsia="Aptos"/>
        </w:rPr>
        <w:t xml:space="preserve">Včasih </w:t>
      </w:r>
      <w:r w:rsidRPr="00CB5050">
        <w:rPr>
          <w:rFonts w:eastAsia="Aptos"/>
          <w:szCs w:val="22"/>
        </w:rPr>
        <w:t xml:space="preserve"> </w:t>
      </w:r>
      <w:r w:rsidRPr="00CB5050">
        <w:rPr>
          <w:rFonts w:eastAsia="Aptos"/>
          <w:szCs w:val="20"/>
        </w:rPr>
        <w:t xml:space="preserve">razlastitveni zavezanci vložijo tudi zahteve po zmanjšanju posega na njihovih nepremičninah. DRSI je doslej k takšnim zahtevam pristopala dogovorno na način sprejemanja novih projektnih rešitev, kar pa je povezano z veliko zamudo časa.  </w:t>
      </w:r>
    </w:p>
    <w:p w14:paraId="79C4DFB4" w14:textId="77777777" w:rsidR="00695AE2" w:rsidRPr="00CB5050" w:rsidRDefault="00695AE2" w:rsidP="00695AE2">
      <w:pPr>
        <w:spacing w:line="240" w:lineRule="auto"/>
        <w:jc w:val="both"/>
        <w:rPr>
          <w:rFonts w:eastAsia="Aptos"/>
          <w:szCs w:val="22"/>
        </w:rPr>
      </w:pPr>
    </w:p>
    <w:p w14:paraId="10C6EB5D"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Državno odvetništvo RS opozarja še na problematiko realizacije odločb upravnih enot v razlastitvenih zadevah. Iz prakse namreč izhaja, da nekatere upravne enote ne vpisujejo zaznambe uvedbe razlastitvenega postopka v zemljiško knjigo ter ne realizirajo vpisa na </w:t>
      </w:r>
      <w:r w:rsidRPr="00CB5050">
        <w:rPr>
          <w:rFonts w:eastAsia="Times New Roman"/>
          <w:szCs w:val="22"/>
        </w:rPr>
        <w:lastRenderedPageBreak/>
        <w:t>podlagi pravnomočnih odločb, kot bi to morale storiti po uradni dolžnosti. Ravno tako prihaja do problematike notifikacije Državnemu odvetništvu RS o realizaciji upravnih odločb oziroma drugih načinov reševanja zadev, ki jih obravnavamo (na primer ne dobimo podatka, da je izplačana odškodnina oziroma ali je sklenjen sporazum o odškodnini).</w:t>
      </w:r>
    </w:p>
    <w:p w14:paraId="3A4002B6" w14:textId="77777777" w:rsidR="00695AE2" w:rsidRPr="00CB5050" w:rsidRDefault="00695AE2" w:rsidP="00695AE2">
      <w:pPr>
        <w:spacing w:line="240" w:lineRule="auto"/>
        <w:jc w:val="both"/>
        <w:rPr>
          <w:rFonts w:eastAsia="Aptos"/>
          <w:bCs/>
        </w:rPr>
      </w:pPr>
    </w:p>
    <w:p w14:paraId="44B4D53C" w14:textId="77777777" w:rsidR="00695AE2" w:rsidRPr="00CB5050" w:rsidRDefault="00695AE2" w:rsidP="00695AE2">
      <w:pPr>
        <w:pStyle w:val="Naslov4"/>
      </w:pPr>
      <w:bookmarkStart w:id="959" w:name="_Toc223094045"/>
      <w:r w:rsidRPr="00CB5050">
        <w:t>Večje število upravnih sporov kot posledica spremenjene sodne prakse</w:t>
      </w:r>
      <w:bookmarkEnd w:id="959"/>
    </w:p>
    <w:p w14:paraId="686545D2" w14:textId="77777777" w:rsidR="00695AE2" w:rsidRPr="00CB5050" w:rsidRDefault="00695AE2" w:rsidP="00695AE2">
      <w:pPr>
        <w:spacing w:line="240" w:lineRule="auto"/>
        <w:jc w:val="both"/>
        <w:rPr>
          <w:rFonts w:eastAsia="Times New Roman"/>
          <w:szCs w:val="22"/>
          <w:lang w:eastAsia="sl-SI"/>
        </w:rPr>
      </w:pPr>
    </w:p>
    <w:p w14:paraId="10348021" w14:textId="77777777" w:rsidR="00695AE2" w:rsidRPr="00CB5050" w:rsidRDefault="00695AE2" w:rsidP="00695AE2">
      <w:pPr>
        <w:spacing w:line="240" w:lineRule="auto"/>
        <w:jc w:val="both"/>
        <w:rPr>
          <w:rFonts w:eastAsia="Times New Roman"/>
          <w:szCs w:val="22"/>
          <w:lang w:eastAsia="sl-SI"/>
        </w:rPr>
      </w:pPr>
      <w:r w:rsidRPr="00CB5050">
        <w:rPr>
          <w:rFonts w:eastAsia="Times New Roman"/>
          <w:szCs w:val="22"/>
          <w:lang w:eastAsia="sl-SI"/>
        </w:rPr>
        <w:t>Državno odvetništvo RS beleži porast števila upravnih sporov po temelju »razlastitev«, ki ga je pripisati spremembi sodne prakse v zadevah, ki se nanašajo na vodenje postopkov razlastitve in omejitve lastninske pravice.</w:t>
      </w:r>
    </w:p>
    <w:p w14:paraId="4924289C" w14:textId="77777777" w:rsidR="00695AE2" w:rsidRPr="00CB5050" w:rsidRDefault="00695AE2" w:rsidP="00695AE2">
      <w:pPr>
        <w:spacing w:line="240" w:lineRule="auto"/>
        <w:jc w:val="both"/>
        <w:rPr>
          <w:rFonts w:eastAsia="Times New Roman"/>
          <w:szCs w:val="22"/>
          <w:lang w:eastAsia="sl-SI"/>
        </w:rPr>
      </w:pPr>
    </w:p>
    <w:p w14:paraId="0B36D279" w14:textId="77777777" w:rsidR="00695AE2" w:rsidRPr="00CB5050" w:rsidRDefault="00695AE2" w:rsidP="00695AE2">
      <w:pPr>
        <w:spacing w:line="240" w:lineRule="auto"/>
        <w:jc w:val="both"/>
        <w:rPr>
          <w:rFonts w:eastAsia="Calibri"/>
          <w:szCs w:val="22"/>
        </w:rPr>
      </w:pPr>
      <w:r w:rsidRPr="00CB5050">
        <w:rPr>
          <w:rFonts w:eastAsia="Times New Roman"/>
          <w:szCs w:val="22"/>
          <w:lang w:eastAsia="sl-SI"/>
        </w:rPr>
        <w:t xml:space="preserve">Vrhovno sodišče RS je s sklepom, opr. št. I Up 269/2024 z dne 11. 12. 2024 </w:t>
      </w:r>
      <w:r w:rsidRPr="00CB5050">
        <w:rPr>
          <w:rFonts w:eastAsia="Calibri"/>
          <w:szCs w:val="22"/>
        </w:rPr>
        <w:t xml:space="preserve">odstopilo od dotedanje sodne prakse in presodilo, da je sklep o uvedbi postopka upravni akt, ki se lahko izpodbija v upravnem sporu. Pojasnilo je, da sklep o uvedbi postopka posega v pravni položaj lastnikov nepremičnin (prepoved razpolaganja) in posledično nima zgolj procesne narave (do sedaj so sodišča vsakič presodila, da je sklep o uvedbi postopka procesne narave in tako ni upravni akt, ki se lahko izpodbija v upravnem sporu). </w:t>
      </w:r>
    </w:p>
    <w:p w14:paraId="513531B7" w14:textId="77777777" w:rsidR="00695AE2" w:rsidRPr="00CB5050" w:rsidRDefault="00695AE2" w:rsidP="00695AE2">
      <w:pPr>
        <w:spacing w:line="240" w:lineRule="auto"/>
        <w:jc w:val="both"/>
        <w:rPr>
          <w:rFonts w:eastAsia="Calibri"/>
          <w:szCs w:val="22"/>
        </w:rPr>
      </w:pPr>
    </w:p>
    <w:p w14:paraId="00C11772" w14:textId="77777777" w:rsidR="00695AE2" w:rsidRPr="00CB5050" w:rsidRDefault="00695AE2" w:rsidP="00695AE2">
      <w:pPr>
        <w:spacing w:line="240" w:lineRule="auto"/>
        <w:jc w:val="both"/>
        <w:rPr>
          <w:rFonts w:eastAsia="Calibri"/>
          <w:szCs w:val="22"/>
        </w:rPr>
      </w:pPr>
      <w:r w:rsidRPr="00CB5050">
        <w:rPr>
          <w:rFonts w:eastAsia="Calibri"/>
          <w:szCs w:val="22"/>
        </w:rPr>
        <w:t xml:space="preserve">Taka sodna praksa že ima daljnosežne posledice na postopke razlastitev pred upravnimi enotami, saj vse več strank vlaga tožbe pred Upravnim sodiščem, s tem pa se podaljšuje postopek pred upravnim organom zaradi izvedbe razlastitve ter izvedbe gradnje javne infrastrukture v javnem interesu, ki se s postopkom razlastitve zasleduje. </w:t>
      </w:r>
    </w:p>
    <w:p w14:paraId="0AAD1B5A" w14:textId="77777777" w:rsidR="00695AE2" w:rsidRPr="00CB5050" w:rsidRDefault="00695AE2" w:rsidP="00695AE2">
      <w:pPr>
        <w:widowControl w:val="0"/>
        <w:autoSpaceDE w:val="0"/>
        <w:autoSpaceDN w:val="0"/>
        <w:adjustRightInd w:val="0"/>
        <w:spacing w:line="240" w:lineRule="auto"/>
        <w:jc w:val="both"/>
        <w:rPr>
          <w:rFonts w:eastAsia="Times New Roman"/>
          <w:szCs w:val="22"/>
          <w:lang w:eastAsia="sl-SI"/>
        </w:rPr>
      </w:pPr>
    </w:p>
    <w:p w14:paraId="2DFF023F" w14:textId="77777777" w:rsidR="00695AE2" w:rsidRPr="00CB5050" w:rsidRDefault="00695AE2" w:rsidP="00695AE2">
      <w:pPr>
        <w:widowControl w:val="0"/>
        <w:autoSpaceDE w:val="0"/>
        <w:autoSpaceDN w:val="0"/>
        <w:adjustRightInd w:val="0"/>
        <w:spacing w:line="240" w:lineRule="auto"/>
        <w:jc w:val="both"/>
        <w:rPr>
          <w:rFonts w:eastAsia="Times New Roman"/>
          <w:szCs w:val="22"/>
          <w:lang w:eastAsia="sl-SI"/>
        </w:rPr>
      </w:pPr>
      <w:r w:rsidRPr="00CB5050">
        <w:rPr>
          <w:rFonts w:eastAsia="Times New Roman"/>
          <w:szCs w:val="22"/>
          <w:lang w:eastAsia="sl-SI"/>
        </w:rPr>
        <w:t xml:space="preserve">Državno odvetništvo RS tako beleži večje število upravnih sporov zoper sklep o uvedbi postopkov za </w:t>
      </w:r>
      <w:r w:rsidRPr="00CB5050">
        <w:rPr>
          <w:rFonts w:eastAsia="Calibri"/>
          <w:szCs w:val="22"/>
        </w:rPr>
        <w:t xml:space="preserve">začasno omejitev lastninske pravice s pravico začasne uporabe, ki je nujno potrebna za gradnjo in prevzem objektov družbene infrastrukture – konkretno za potrebe dostopa in ureditve gradbišča ter izkopa in zaščite gradbene jame za čas prenove stavbe SNG Drama Ljubljana. </w:t>
      </w:r>
    </w:p>
    <w:p w14:paraId="2B05F2DB" w14:textId="77777777" w:rsidR="00695AE2" w:rsidRPr="00CB5050" w:rsidRDefault="00695AE2" w:rsidP="00695AE2">
      <w:pPr>
        <w:widowControl w:val="0"/>
        <w:autoSpaceDE w:val="0"/>
        <w:autoSpaceDN w:val="0"/>
        <w:adjustRightInd w:val="0"/>
        <w:spacing w:line="240" w:lineRule="auto"/>
        <w:jc w:val="both"/>
        <w:rPr>
          <w:rFonts w:eastAsia="Times New Roman"/>
          <w:szCs w:val="22"/>
          <w:lang w:eastAsia="sl-SI"/>
        </w:rPr>
      </w:pPr>
    </w:p>
    <w:p w14:paraId="1E429417" w14:textId="77777777" w:rsidR="00695AE2" w:rsidRPr="00CB5050" w:rsidRDefault="00695AE2" w:rsidP="00695AE2">
      <w:pPr>
        <w:widowControl w:val="0"/>
        <w:autoSpaceDE w:val="0"/>
        <w:autoSpaceDN w:val="0"/>
        <w:adjustRightInd w:val="0"/>
        <w:spacing w:line="240" w:lineRule="auto"/>
        <w:jc w:val="both"/>
        <w:rPr>
          <w:rFonts w:eastAsia="Calibri"/>
          <w:szCs w:val="22"/>
        </w:rPr>
      </w:pPr>
      <w:r w:rsidRPr="00CB5050">
        <w:rPr>
          <w:rFonts w:eastAsia="Times New Roman"/>
          <w:szCs w:val="22"/>
          <w:lang w:eastAsia="sl-SI"/>
        </w:rPr>
        <w:t xml:space="preserve">Ravno tako pa beleži tudi večje število upravnih sporov zoper sklep o uvedbi postopkov za </w:t>
      </w:r>
      <w:r w:rsidRPr="00CB5050">
        <w:rPr>
          <w:rFonts w:eastAsia="Calibri"/>
          <w:szCs w:val="22"/>
        </w:rPr>
        <w:t xml:space="preserve">začasno omejitev lastninske pravice oziroma razlastitve v drugih razlastitvenih postopkih, tako v upravnih sporih, kjer je Državno odvetništvo RS nastopalo kot stranka v razlastitvenih postopkih, kot tudi v upravnih sporih, kjer sploh nismo bili stranka upravnega razlastitvenega postopka, pri čemer na podlagi Sklepa Vlade RS zastopamo toženo stranko Upravno enoto Ljubljana. Iz slednjega gre zaključiti, da lahko Državno odvetništvo RS tudi v prihodnje pričakuje povečan obseg predmetnih upravnih sporov zoper sklep o uvedbi razlastitvenih postopkov, vse zavoljo spremenjene sodne prakse ter zavedanja upravnih enot, da za zastopanje v tovrstnih upravnih sporih lahko pooblastijo Državno odvetništvo RS. </w:t>
      </w:r>
    </w:p>
    <w:p w14:paraId="7B37EDFD" w14:textId="77777777" w:rsidR="00695AE2" w:rsidRPr="00CB5050" w:rsidRDefault="00695AE2" w:rsidP="00695AE2">
      <w:pPr>
        <w:spacing w:line="240" w:lineRule="auto"/>
        <w:jc w:val="both"/>
        <w:rPr>
          <w:rFonts w:eastAsia="Aptos"/>
          <w:szCs w:val="22"/>
        </w:rPr>
      </w:pPr>
    </w:p>
    <w:p w14:paraId="2BB1EAE0" w14:textId="77777777" w:rsidR="00695AE2" w:rsidRPr="00CB5050" w:rsidRDefault="00695AE2" w:rsidP="00695AE2">
      <w:pPr>
        <w:pStyle w:val="Naslov4"/>
        <w:ind w:left="0" w:firstLine="0"/>
      </w:pPr>
      <w:r>
        <w:rPr>
          <w:lang w:eastAsia="sl-SI"/>
        </w:rPr>
        <w:t xml:space="preserve"> </w:t>
      </w:r>
      <w:bookmarkStart w:id="960" w:name="_Toc223094046"/>
      <w:r w:rsidRPr="00CB5050">
        <w:rPr>
          <w:lang w:eastAsia="sl-SI"/>
        </w:rPr>
        <w:t>Problematika, ki se nakazuje pri razlastitvah kmetijskih površin zaradi gradenj suhih zadrževalnikov</w:t>
      </w:r>
      <w:bookmarkEnd w:id="960"/>
    </w:p>
    <w:p w14:paraId="638C5B14" w14:textId="77777777" w:rsidR="00695AE2" w:rsidRPr="00CB5050" w:rsidRDefault="00695AE2" w:rsidP="00695AE2">
      <w:pPr>
        <w:spacing w:line="240" w:lineRule="auto"/>
        <w:jc w:val="both"/>
        <w:rPr>
          <w:rFonts w:eastAsia="Aptos"/>
          <w:color w:val="007466"/>
        </w:rPr>
      </w:pPr>
    </w:p>
    <w:p w14:paraId="1A8F07F4" w14:textId="77777777" w:rsidR="00695AE2" w:rsidRPr="00CB5050" w:rsidRDefault="00695AE2" w:rsidP="00695AE2">
      <w:pPr>
        <w:spacing w:line="240" w:lineRule="auto"/>
        <w:jc w:val="both"/>
        <w:rPr>
          <w:rFonts w:eastAsia="Aptos"/>
        </w:rPr>
      </w:pPr>
      <w:r w:rsidRPr="00CB5050">
        <w:rPr>
          <w:rFonts w:eastAsia="Aptos"/>
        </w:rPr>
        <w:t xml:space="preserve">V postopkih razlastitev kmetijskih zemljišč za potrebe izgradnje suhih zadrževalnikov, ki so predvideni kot eden ključnih ukrepov za blaženje vse hujših poplav, se v Republiki Sloveniji vse izraziteje odpira problem obravnave kmetijskih površin znotraj območij teh zadrževalnikov. Trenutno namreč še ni celovito dorečeno, kakšna bo dolgoročna usoda teh zemljišč in pod </w:t>
      </w:r>
      <w:r w:rsidRPr="00CB5050">
        <w:rPr>
          <w:rFonts w:eastAsia="Aptos"/>
        </w:rPr>
        <w:lastRenderedPageBreak/>
        <w:t>kakšnimi pogoji bo njihova raba sploh dopustna. Dejanska uporaba tovrstnih parcel je bistveno omejena, hkrati pa je njihov potencial za nastanek škodnih dogodkov zelo velik.</w:t>
      </w:r>
    </w:p>
    <w:p w14:paraId="7C30CE83" w14:textId="77777777" w:rsidR="00695AE2" w:rsidRPr="00CB5050" w:rsidRDefault="00695AE2" w:rsidP="00695AE2">
      <w:pPr>
        <w:spacing w:line="240" w:lineRule="auto"/>
        <w:jc w:val="both"/>
        <w:rPr>
          <w:rFonts w:eastAsia="Aptos"/>
        </w:rPr>
      </w:pPr>
    </w:p>
    <w:p w14:paraId="776F849A" w14:textId="77777777" w:rsidR="00695AE2" w:rsidRPr="00CB5050" w:rsidRDefault="00695AE2" w:rsidP="00695AE2">
      <w:pPr>
        <w:spacing w:line="240" w:lineRule="auto"/>
        <w:jc w:val="both"/>
        <w:rPr>
          <w:rFonts w:eastAsia="Aptos"/>
        </w:rPr>
      </w:pPr>
      <w:r w:rsidRPr="00CB5050">
        <w:rPr>
          <w:rFonts w:eastAsia="Aptos"/>
        </w:rPr>
        <w:t>Najbolj enostavna in pravno jasna rešitev bi bil odkup vseh zemljišč, ki se nahajajo znotraj območja predvidene zajezitve zadrževalnika. Vendar pa je takšna rešitev v praksi pogosto finančno nevzdržna, zlasti kadar nastopa investitor v vlogi države. Zato se trenutni predlogi večinoma usmerjajo v ohranjanje obstoječega lastništva parcel v (širšem) območju zadrževalnikov, ob hkratni prilagoditvi oziroma omejitvi njihove rabe. Te omejitve bodo praviloma predmet sprememb in dopolnitev občinskih prostorskih aktov.</w:t>
      </w:r>
    </w:p>
    <w:p w14:paraId="0C3F0275" w14:textId="77777777" w:rsidR="00695AE2" w:rsidRPr="00CB5050" w:rsidRDefault="00695AE2" w:rsidP="00695AE2">
      <w:pPr>
        <w:spacing w:line="240" w:lineRule="auto"/>
        <w:jc w:val="both"/>
        <w:rPr>
          <w:rFonts w:eastAsia="Aptos"/>
        </w:rPr>
      </w:pPr>
    </w:p>
    <w:p w14:paraId="684DF561" w14:textId="77777777" w:rsidR="00695AE2" w:rsidRPr="00CB5050" w:rsidRDefault="00695AE2" w:rsidP="00695AE2">
      <w:pPr>
        <w:spacing w:line="240" w:lineRule="auto"/>
        <w:jc w:val="both"/>
        <w:rPr>
          <w:rFonts w:eastAsia="Aptos"/>
        </w:rPr>
      </w:pPr>
      <w:r w:rsidRPr="00CB5050">
        <w:rPr>
          <w:rFonts w:eastAsia="Aptos"/>
        </w:rPr>
        <w:t>Ob tem pa se odpira ključno vprašanje odškodninske odgovornosti in nadomestil za različne vrste škod, ki bodo na teh območjih neizogibno nastajale. Čeprav so takšne parcele v določenem obsegu še vedno lahko namenjene kmetijski rabi, se zaradi hidroloških učinkov podnebnih sprememb – ki se ne kažejo zgolj v večji pogostosti, temveč tudi v večji intenzivnosti padavinskih dogodkov – tveganje za obsežne škode bistveno povečuje. Pričakovati je pogostejše poplavljanje, odlaganje naplavin in sedimentov, prepoved skladiščenja pridelkov ter vprašljive sanitarne razmere zaradi onesnaženosti naplavin in njihovega vpliva na pridelke. Dodatno bo treba omejiti uporabo gnojil in drugih kmetijskih sredstev, saj obstaja nevarnost njihovega izpiranja ob poplavah in posledičnega onesnaževanja voda.</w:t>
      </w:r>
    </w:p>
    <w:p w14:paraId="11CB70E5" w14:textId="77777777" w:rsidR="00695AE2" w:rsidRPr="00CB5050" w:rsidRDefault="00695AE2" w:rsidP="00695AE2">
      <w:pPr>
        <w:spacing w:line="240" w:lineRule="auto"/>
        <w:jc w:val="both"/>
        <w:rPr>
          <w:rFonts w:eastAsia="Aptos"/>
        </w:rPr>
      </w:pPr>
    </w:p>
    <w:p w14:paraId="44B6AED3" w14:textId="77777777" w:rsidR="00695AE2" w:rsidRPr="00CB5050" w:rsidRDefault="00695AE2" w:rsidP="00695AE2">
      <w:pPr>
        <w:spacing w:line="240" w:lineRule="auto"/>
        <w:jc w:val="both"/>
        <w:rPr>
          <w:rFonts w:eastAsia="Aptos"/>
        </w:rPr>
      </w:pPr>
      <w:r w:rsidRPr="00CB5050">
        <w:rPr>
          <w:rFonts w:eastAsia="Aptos"/>
        </w:rPr>
        <w:t>V primeru nastanka navedenih škod bo ob delnih razlastitvah oziroma ob ne odkupu vseh zemljišč v območju zajezitve odškodninsko odgovorna država. Zato bo nujno pravočasno in jasno opredeliti mehanizme za uveljavljanje odškodnin ter postopke sanacije škode v primeru poplavljanja teh parcel, saj tovrstni mehanizmi trenutno še niso sistemsko urejeni. Jasna pravila so ključna tako za zaščito interesov lastnikov in uporabnikov kmetijskih zemljišč kot  tudi za pravno in finančno predvidljivost izvajanja protipoplavnih ukrepov.</w:t>
      </w:r>
    </w:p>
    <w:p w14:paraId="2F5D9FE2" w14:textId="77777777" w:rsidR="00695AE2" w:rsidRPr="00CB5050" w:rsidRDefault="00695AE2" w:rsidP="00695AE2">
      <w:pPr>
        <w:spacing w:line="240" w:lineRule="auto"/>
        <w:jc w:val="both"/>
        <w:rPr>
          <w:rFonts w:eastAsia="Aptos"/>
        </w:rPr>
      </w:pPr>
    </w:p>
    <w:p w14:paraId="35CB62AA" w14:textId="77777777" w:rsidR="00695AE2" w:rsidRPr="00CB5050" w:rsidRDefault="00695AE2" w:rsidP="00695AE2">
      <w:pPr>
        <w:pStyle w:val="Naslov4"/>
        <w:ind w:left="0" w:firstLine="0"/>
      </w:pPr>
      <w:r>
        <w:rPr>
          <w:rFonts w:eastAsia="Aptos"/>
        </w:rPr>
        <w:t xml:space="preserve"> </w:t>
      </w:r>
      <w:bookmarkStart w:id="961" w:name="_Toc223094047"/>
      <w:r w:rsidRPr="00CB5050">
        <w:rPr>
          <w:rFonts w:eastAsia="Aptos"/>
        </w:rPr>
        <w:t>Problematika glede možnosti zahteve za razlastitev, ko jo lahko poda tudi razlastitveni zavezanec</w:t>
      </w:r>
      <w:bookmarkEnd w:id="961"/>
    </w:p>
    <w:p w14:paraId="5694EB20" w14:textId="77777777" w:rsidR="00695AE2" w:rsidRPr="00CB5050" w:rsidRDefault="00695AE2" w:rsidP="00695AE2">
      <w:pPr>
        <w:widowControl w:val="0"/>
        <w:spacing w:line="240" w:lineRule="auto"/>
        <w:jc w:val="both"/>
        <w:rPr>
          <w:rFonts w:eastAsia="Aptos"/>
          <w:color w:val="000000"/>
        </w:rPr>
      </w:pPr>
    </w:p>
    <w:p w14:paraId="2A0CFC86" w14:textId="77777777" w:rsidR="00695AE2" w:rsidRPr="00CB5050" w:rsidRDefault="00695AE2" w:rsidP="00695AE2">
      <w:pPr>
        <w:widowControl w:val="0"/>
        <w:spacing w:line="240" w:lineRule="auto"/>
        <w:jc w:val="both"/>
        <w:rPr>
          <w:rFonts w:eastAsia="Aptos"/>
          <w:color w:val="000000"/>
        </w:rPr>
      </w:pPr>
      <w:r w:rsidRPr="00CB5050">
        <w:rPr>
          <w:rFonts w:eastAsia="Aptos"/>
          <w:color w:val="000000"/>
        </w:rPr>
        <w:t>Pravica do zasebne lastnine iz 33. člena Ustave RS varuje človekovo svobodo na premoženjskem področju in ima dvojni varovalni učinek. Na eni strani varuje konkretni položaj imetnika pravice pred oblastnimi posegi, na drugi strani pa varuje pravni institut lastnine in s tem svobodo pridobivanja lastnine, uživanja in pravico do odtujevanja lastnine in zaupanje v pridobljene pravice.</w:t>
      </w:r>
    </w:p>
    <w:p w14:paraId="4F40689C" w14:textId="77777777" w:rsidR="00695AE2" w:rsidRPr="00CB5050" w:rsidRDefault="00695AE2" w:rsidP="00695AE2">
      <w:pPr>
        <w:widowControl w:val="0"/>
        <w:spacing w:line="240" w:lineRule="auto"/>
        <w:jc w:val="both"/>
        <w:rPr>
          <w:rFonts w:eastAsia="Aptos"/>
          <w:color w:val="000000"/>
        </w:rPr>
      </w:pPr>
    </w:p>
    <w:p w14:paraId="74FA10E5" w14:textId="77777777" w:rsidR="00695AE2" w:rsidRPr="00CB5050" w:rsidRDefault="00695AE2" w:rsidP="00695AE2">
      <w:pPr>
        <w:widowControl w:val="0"/>
        <w:spacing w:line="240" w:lineRule="auto"/>
        <w:jc w:val="both"/>
        <w:rPr>
          <w:rFonts w:eastAsia="Aptos"/>
          <w:color w:val="000000"/>
        </w:rPr>
      </w:pPr>
      <w:r w:rsidRPr="00CB5050">
        <w:rPr>
          <w:rFonts w:eastAsia="Aptos"/>
          <w:color w:val="000000"/>
        </w:rPr>
        <w:t>Vendar pravica do zasebne lastnine ni neomejena, upoštevati je potrebno njen socialni in ekološki vidik, kar izhaja iz 67. člena Ustave RS, ki daje zakonodajalcu pooblastilo, da uredi način pridobivanja in uživanja lastnine, da se ohrani njena gospodarska, socialna in ekološka funkcija. Iz tega razloga Ustava RS v 69. členu določa tudi podlago za posege vanjo ter njen odvzem kot tudi pogoje za to, ter določa, da se lahko lastninska pravica odvzame v javnem interesu proti nadomestilu v naravi ali odškodnini in pod pogoji, ki jih določa zakon.</w:t>
      </w:r>
    </w:p>
    <w:p w14:paraId="3867146F" w14:textId="77777777" w:rsidR="00695AE2" w:rsidRPr="00CB5050" w:rsidRDefault="00695AE2" w:rsidP="00695AE2">
      <w:pPr>
        <w:widowControl w:val="0"/>
        <w:spacing w:line="240" w:lineRule="auto"/>
        <w:jc w:val="both"/>
        <w:rPr>
          <w:rFonts w:eastAsia="Aptos"/>
          <w:color w:val="000000"/>
        </w:rPr>
      </w:pPr>
    </w:p>
    <w:p w14:paraId="6587A7E2" w14:textId="77777777" w:rsidR="00695AE2" w:rsidRPr="00CB5050" w:rsidRDefault="00695AE2" w:rsidP="00695AE2">
      <w:pPr>
        <w:widowControl w:val="0"/>
        <w:spacing w:line="240" w:lineRule="auto"/>
        <w:jc w:val="both"/>
        <w:rPr>
          <w:rFonts w:eastAsia="Aptos"/>
          <w:color w:val="000000"/>
        </w:rPr>
      </w:pPr>
      <w:r w:rsidRPr="00CB5050">
        <w:rPr>
          <w:rFonts w:eastAsia="Aptos"/>
          <w:color w:val="000000"/>
        </w:rPr>
        <w:t xml:space="preserve">Zato glede možnosti zahteve za razlastitev, ki jo lahko poda tudi sam razlastitveni zavezanec, Državno odvetništvo RS meni, da gre zgolj za možnost, ki jo ima zavezanec. Posegi v lastninsko pravico so namreč dopustni zgolj v javno korist, gre za ukrep namenjen nosilcem oblasti in če jim je to upravičenje dano, je potrebno, da ga tudi izpeljejo v razumnem roku, sicer je v </w:t>
      </w:r>
      <w:r w:rsidRPr="00CB5050">
        <w:rPr>
          <w:rFonts w:eastAsia="Aptos"/>
          <w:color w:val="000000"/>
        </w:rPr>
        <w:lastRenderedPageBreak/>
        <w:t>nasprotnem primeru lahko vprašljiva nujnost oziroma sorazmernost tega ukrepa. Kot je znano, je v prvem odstavku 117. členu Energetskega zakona (EZ-1) ta možnost zavezancu celo v celoti odvzeta, kar je z vidika varovanja prej izpostavljenih ustavnih pravic lahko problematično in je v tej zvezi treba poudariti, da je navedena določba trenutno v postopku presoje ustavnosti (pobuda vložena 2. 12. 2024 – zadeva št. U-l-148/24).</w:t>
      </w:r>
    </w:p>
    <w:p w14:paraId="204086D5" w14:textId="77777777" w:rsidR="00695AE2" w:rsidRPr="00CB5050" w:rsidRDefault="00695AE2" w:rsidP="00695AE2">
      <w:pPr>
        <w:widowControl w:val="0"/>
        <w:spacing w:line="240" w:lineRule="auto"/>
        <w:jc w:val="both"/>
        <w:rPr>
          <w:rFonts w:eastAsia="Aptos"/>
          <w:b/>
          <w:bCs/>
          <w:color w:val="007466"/>
        </w:rPr>
      </w:pPr>
    </w:p>
    <w:p w14:paraId="66816B46" w14:textId="77777777" w:rsidR="00695AE2" w:rsidRPr="00C70D20" w:rsidRDefault="00695AE2" w:rsidP="00695AE2">
      <w:pPr>
        <w:pStyle w:val="Naslov4"/>
        <w:ind w:left="0" w:firstLine="0"/>
        <w:rPr>
          <w:rFonts w:eastAsia="Calibri"/>
        </w:rPr>
      </w:pPr>
      <w:bookmarkStart w:id="962" w:name="_Toc223094048"/>
      <w:r w:rsidRPr="00C70D20">
        <w:rPr>
          <w:rFonts w:eastAsia="Aptos"/>
        </w:rPr>
        <w:t xml:space="preserve">Problematika </w:t>
      </w:r>
      <w:r w:rsidRPr="00C70D20">
        <w:rPr>
          <w:rFonts w:eastAsia="Calibri"/>
        </w:rPr>
        <w:t>izkazovanja splošne (abstraktne) javne koristi in konkretne javne koristi v postopkih zaradi razlastitev (zadeva Ministrstvo za infrastrukturo proti Občini Ankaran)</w:t>
      </w:r>
      <w:bookmarkStart w:id="963" w:name="_Hlk159229301"/>
      <w:bookmarkEnd w:id="962"/>
    </w:p>
    <w:p w14:paraId="0DFD4ABA" w14:textId="77777777" w:rsidR="00695AE2" w:rsidRPr="00C70D20" w:rsidRDefault="00695AE2" w:rsidP="00695AE2">
      <w:pPr>
        <w:widowControl w:val="0"/>
        <w:spacing w:line="240" w:lineRule="auto"/>
        <w:jc w:val="both"/>
        <w:rPr>
          <w:rFonts w:eastAsia="Calibri"/>
          <w:color w:val="000000"/>
          <w:kern w:val="2"/>
          <w14:ligatures w14:val="standardContextual"/>
        </w:rPr>
      </w:pPr>
    </w:p>
    <w:p w14:paraId="4928836F"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Državno odvetništvo RS predstavlja odločitev Ministrstva za naravne vire in prostor z dne 30. 12. 2024, kot upravnopravne prakse, ki je za postopke razlastitev lahko zanimiva tudi v drugih primerih, saj naslavlja in odgovarja na vprašanje razmejitve med splošno (abstraktno) javno koristjo in konkretno javno koristjo (nujnost in sorazmernost posega) za odvzem lastninske pravice na nepremičninah.</w:t>
      </w:r>
    </w:p>
    <w:p w14:paraId="32470634"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69C5BA4D"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Razlastitveni postopek se je vodil zaradi razlastitve nepremičnin (last razlastitvene zavezanke Občine Ankaran) za potrebe investicij širitve tovornega pristanišča za mednarodni promet v Kopru, in sicer ureditve parkirišča za skladiščenje avtomobilov ter izgradnjo spremljajoče ureditve cestnih navezav na območju na podlagi Uredbe DPN za celovito prostorsko ureditev pristanišča za mednarodni tovorni promet v Kopru. Razlastitvena zavezanka je s pritožbo izpodbijala odločbo o razlastitvi iz številnih razlogov. Na tem mestu izpostavljamo (zgolj) ugovore o obstoju abstraktnega in konkretnega javnega interesa z očitki o zakonitosti, razumnosti obsežnih posegov v prostor in okoljske ustreznosti sprejete Uredbe o DPN ter dalje, ali je skladiščenje avtomobilov v tako velikem obsegu sploh nujno, ali je nujno na tem mestu ter ali je mogoče drugače urediti cestne navezave znotraj obsežnega območja Luke Koper.</w:t>
      </w:r>
    </w:p>
    <w:p w14:paraId="61890BC4"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61953857"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Pritožbeni organ je glede splošne (abstraktne) javne koristi pojasnil, da je slednja podana oziroma se domneva že s tem, da so nepremičnine zajete v državnem prostorskem aktu ter v njem tako podrobno opredeljene, da se lahko prikažejo v zemljiškem katastru (prva alineja prvega odstavka 194. člena ZUreP-2). Omenjena pogoja sta bila v konkretnem primeru, ob sklicevanju na Uredbo o DPN, tudi izpolnjena. Upravni organ ne sme odkloniti uporabe veljavnega predpisa, t. j. Uredbe o DPN. Veljavni državni prostorski načrt je rezultat prostorskega načrtovanja strokovnjakov različnih področij in organov, pristojnih za varovanje javnega interesa, zainteresirani pa imajo možnost podajati ugovore in predloge v času javne razgrnitve. Za tem, ko je ureditev natančno umeščena v prostor, jo je potrebno obravnavati kot celoto in zavezanec z ugovarjanjem poteku trase ne more (več) uspeti, saj je vsako odstopanje od sprejete rešitve DPN težko izvedljivo in vpliva na vse ostale dejavnike navedenega projekta.</w:t>
      </w:r>
    </w:p>
    <w:p w14:paraId="349F4F27"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5EAC5412"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 xml:space="preserve">Javna korist pa mora biti podana tudi </w:t>
      </w:r>
      <w:r w:rsidRPr="00CB5050">
        <w:rPr>
          <w:rFonts w:eastAsia="Calibri" w:cs="Times New Roman"/>
          <w:bCs/>
          <w:color w:val="000000"/>
          <w:kern w:val="2"/>
          <w14:ligatures w14:val="standardContextual"/>
        </w:rPr>
        <w:t xml:space="preserve">na konkretni ravni, </w:t>
      </w:r>
      <w:r w:rsidRPr="00CB5050">
        <w:rPr>
          <w:rFonts w:eastAsia="Calibri" w:cs="Times New Roman"/>
          <w:color w:val="000000"/>
          <w:kern w:val="2"/>
          <w14:ligatures w14:val="standardContextual"/>
        </w:rPr>
        <w:t>kar pomeni presojo pogojev, ali je razlastitev za dosego javne koristi nujno potrebna, ali je poseg za dosego tega namena primeren, ali ni mogoče doseči namena z drugim, blažjim sredstvom ter ali obstaja pogoj sorazmernosti med javno koristjo konkretnega namena in težo posega v lastnino razlastitvenega zavezanca. V konkretnem primeru je pritožbeni organ potrdil, da vse navedeno obstaja, kar je bilo med dokaznim postopkom dodatno pojasnjeno in izkazano.</w:t>
      </w:r>
    </w:p>
    <w:p w14:paraId="14222CA1"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7E16DA27"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 xml:space="preserve">Glede pogoja sorazmernosti pritožbeni organ pritrdi, da državna korist avtomatično ne </w:t>
      </w:r>
      <w:r w:rsidRPr="00CB5050">
        <w:rPr>
          <w:rFonts w:eastAsia="Calibri" w:cs="Times New Roman"/>
          <w:color w:val="000000"/>
          <w:kern w:val="2"/>
          <w14:ligatures w14:val="standardContextual"/>
        </w:rPr>
        <w:lastRenderedPageBreak/>
        <w:t>prevlada nad lokalnimi interesi. Da pa je pri tehtanju javne koristi, kadar je razlastitveni zavezanec občina in se nepremičnina (že prej) uporablja za javne namene, potrebno tehtati javno korist, ki se zasleduje z razlastitvijo, v primerjavi z javno koristjo, ki se (že) zagotavlja z uporabo nepremičnine pred razlastitvijo. V obravnavanem primeru je ta podana, ker umestitev skladišč za avtomobile, ob sočasni ureditvi nadomestnih cest, ohranja in celo izboljšuje dosedanjo lokalno javno infrastrukturo, javni koristi pa se medsebojno ne izključujeta, saj so v DPN vključene tudi koristne ureditve za lokalno skupnost; da gre za prostorsko medsebojno funkcionalno celoto, preko katere se zagotavlja mednarodni promet; milejši poseg v lastninsko pravico ni možen tudi zato, ker gre za trajni poseg v prostor.</w:t>
      </w:r>
    </w:p>
    <w:p w14:paraId="4DBBF6D0"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3EF87216"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Kot omenjeno, je bila pozitivna odločitev o razlastitvi nepremičnin v obravnavanem razlastitvenem postopku rezultat kasnejših obsežnih dopolnilnih pojasnjevanj v smeri konkretne javne koristi. Ob tem je treba izpostaviti, da pristojne službe investitorjev za razlastitvene upravičence v zahtevah praviloma navajajo zgolj splošno (abstraktno) javno korist, sklicujoč se na državne prostorske akte. Zaradi vse večje osveščenosti razlastitvenih zavezancev ter ob novejši upravni in sodni praksi, bo potrebno že v začetni fazi več pozornosti nameniti konkretni javni koristi, t. j. utemeljevanju sorazmernosti in nujnosti zahtevanega posega v lastninsko pravico.</w:t>
      </w:r>
    </w:p>
    <w:p w14:paraId="5C3D9EBE" w14:textId="77777777" w:rsidR="00695AE2" w:rsidRPr="00CB5050" w:rsidRDefault="00695AE2" w:rsidP="00695AE2">
      <w:pPr>
        <w:spacing w:line="240" w:lineRule="auto"/>
        <w:jc w:val="both"/>
        <w:rPr>
          <w:rFonts w:eastAsia="Calibri"/>
        </w:rPr>
      </w:pPr>
    </w:p>
    <w:p w14:paraId="42FFB651" w14:textId="77777777" w:rsidR="00695AE2" w:rsidRPr="00CB5050" w:rsidRDefault="00695AE2" w:rsidP="00695AE2">
      <w:pPr>
        <w:pStyle w:val="Naslov4"/>
        <w:ind w:left="0" w:firstLine="0"/>
      </w:pPr>
      <w:bookmarkStart w:id="964" w:name="_Toc191562046"/>
      <w:bookmarkStart w:id="965" w:name="_Toc95149816"/>
      <w:bookmarkEnd w:id="963"/>
      <w:r>
        <w:t xml:space="preserve"> </w:t>
      </w:r>
      <w:bookmarkStart w:id="966" w:name="_Toc223094049"/>
      <w:r w:rsidRPr="00CB5050">
        <w:t>Zadeva Republika Slovenija zoper etažne lastnike – zahteva za začasno omejitev lastninske pravice zaradi prenove stavbe SNG Drama Ljubljana</w:t>
      </w:r>
      <w:bookmarkEnd w:id="964"/>
      <w:bookmarkEnd w:id="966"/>
    </w:p>
    <w:p w14:paraId="67020C5A" w14:textId="77777777" w:rsidR="00695AE2" w:rsidRPr="00CB5050" w:rsidRDefault="00695AE2" w:rsidP="00695AE2">
      <w:pPr>
        <w:spacing w:line="240" w:lineRule="auto"/>
        <w:jc w:val="both"/>
        <w:rPr>
          <w:rFonts w:eastAsia="Times New Roman"/>
          <w:color w:val="1F3864"/>
        </w:rPr>
      </w:pPr>
    </w:p>
    <w:p w14:paraId="54A0CB1C" w14:textId="77777777" w:rsidR="00695AE2" w:rsidRPr="00CB5050" w:rsidRDefault="00695AE2" w:rsidP="00695AE2">
      <w:pPr>
        <w:spacing w:line="240" w:lineRule="auto"/>
        <w:jc w:val="both"/>
        <w:rPr>
          <w:rFonts w:eastAsia="Calibri"/>
        </w:rPr>
      </w:pPr>
      <w:r w:rsidRPr="00CB5050">
        <w:rPr>
          <w:rFonts w:eastAsia="Calibri"/>
        </w:rPr>
        <w:t>SNG Drama Ljubljana je na podlagi Sklepa o ustanovitvi javnega zavoda Slovensko narodno gledališče Drama Ljubljana (Uradni list RS, št. 56/2003, 46/2005, 99/2008, 76/2017 in 19720/21) upravljavec stavbe na naslovu Erjavčeva cesta 1, Ljubljana, ID znak 1721-317-1 (v naravi gledališka stavba), ki stoji na parceli št. 28/1, katastrska občina 1721 GRADIŠČE I, in dela stavbe ID znak 1721-145-126 (v naravi tehnični prostori v t. i. Nemški hiši, na naslovu Gradišče 6, 8, Ljubljana), katerih zemljiškoknjižna lastnica je Republika Slovenija.</w:t>
      </w:r>
    </w:p>
    <w:p w14:paraId="379CD906" w14:textId="77777777" w:rsidR="00695AE2" w:rsidRPr="00CB5050" w:rsidRDefault="00695AE2" w:rsidP="00695AE2">
      <w:pPr>
        <w:spacing w:line="240" w:lineRule="auto"/>
        <w:jc w:val="both"/>
        <w:rPr>
          <w:rFonts w:eastAsia="Calibri"/>
        </w:rPr>
      </w:pPr>
    </w:p>
    <w:p w14:paraId="173E8B95" w14:textId="77777777" w:rsidR="00695AE2" w:rsidRPr="00CB5050" w:rsidRDefault="00695AE2" w:rsidP="00695AE2">
      <w:pPr>
        <w:spacing w:line="240" w:lineRule="auto"/>
        <w:jc w:val="both"/>
        <w:rPr>
          <w:rFonts w:eastAsia="Calibri"/>
        </w:rPr>
      </w:pPr>
      <w:r w:rsidRPr="00CB5050">
        <w:rPr>
          <w:rFonts w:eastAsia="Calibri"/>
        </w:rPr>
        <w:t>Na podlagi Sklepa Vlade RS o določitvi javne infrastrukture na področju kulture št. 00716-10/2015 z dne 28. 8. 2015 (Uradni list RS, št. 62/2015) je bila nepremičnina na naslovu Erjavčeva cesta 1, Ljubljana, zaznamovana kot javna infrastruktura na področju kulture. Z Odlokom o razglasitvi spomenikov naravne in kulturne dediščine na območju občine Ljubljana Center med Aškerčevo, Tivolsko in Slovensko cesto (Uradni list RS, št. 60/1993 in 105/2008) je gledališka stavba SNG Drama razglašena za kulturni spomenik lokalnega pomena. Zakon o varstvu kulturne dediščine (Uradni list RS, št. 16/2008, 123/2008, 8/2011 – ORZVKD39, 90/2012, 111/2013, 32/2016, 21/2018 – ZNOrg in 78/2023 – ZUNPEOVE) v 2. členu med drugim določa, da javna korist varstva dediščine obsega ohranitev dediščine in preprečevanje škodljivih vplivov nanjo, omogočanje dostopa do dediščine ali do informacij o njej vsakomur, še posebej mladim, starejšim in invalidom in celostno ohranjanje dediščine (ukrepi, s katerimi se zagotavljajo nadaljnji obstoj in obogatitev dediščine, njeno vzdrževanje, obnova, prenova, uporaba in oživljanje).</w:t>
      </w:r>
    </w:p>
    <w:p w14:paraId="557D82C8" w14:textId="77777777" w:rsidR="00695AE2" w:rsidRPr="00CB5050" w:rsidRDefault="00695AE2" w:rsidP="00695AE2">
      <w:pPr>
        <w:spacing w:line="240" w:lineRule="auto"/>
        <w:jc w:val="both"/>
        <w:rPr>
          <w:rFonts w:eastAsia="Calibri"/>
        </w:rPr>
      </w:pPr>
    </w:p>
    <w:p w14:paraId="4B0F2093" w14:textId="77777777" w:rsidR="00695AE2" w:rsidRPr="00CB5050" w:rsidRDefault="00695AE2" w:rsidP="00695AE2">
      <w:pPr>
        <w:spacing w:line="240" w:lineRule="auto"/>
        <w:jc w:val="both"/>
        <w:rPr>
          <w:rFonts w:eastAsia="Calibri"/>
        </w:rPr>
      </w:pPr>
      <w:r w:rsidRPr="00CB5050">
        <w:rPr>
          <w:rFonts w:eastAsia="Calibri"/>
        </w:rPr>
        <w:t xml:space="preserve">SNG Drama kot investitor načrtuje izvedbo nujno potrebne prenove gledališke stavbe v javno korist, po projektu Prenova SNG Drama št. 12/2023, št. 13/2023 in št. 14/2023 in po projektni dokumentaciji za pridobitev gradbenega dovoljenja DGD SNG Drama Ljubljana. </w:t>
      </w:r>
    </w:p>
    <w:p w14:paraId="1E619327" w14:textId="77777777" w:rsidR="00695AE2" w:rsidRPr="00CB5050" w:rsidRDefault="00695AE2" w:rsidP="00695AE2">
      <w:pPr>
        <w:spacing w:line="240" w:lineRule="auto"/>
        <w:jc w:val="both"/>
        <w:rPr>
          <w:rFonts w:eastAsia="Times New Roman"/>
          <w:shd w:val="clear" w:color="auto" w:fill="FFFFFF"/>
          <w:lang w:eastAsia="sl-SI"/>
        </w:rPr>
      </w:pPr>
    </w:p>
    <w:p w14:paraId="2056FA4A" w14:textId="77777777" w:rsidR="00695AE2" w:rsidRPr="00CB5050" w:rsidRDefault="00695AE2" w:rsidP="00695AE2">
      <w:pPr>
        <w:spacing w:line="240" w:lineRule="auto"/>
        <w:jc w:val="both"/>
        <w:rPr>
          <w:rFonts w:eastAsia="Calibri"/>
        </w:rPr>
      </w:pPr>
      <w:r w:rsidRPr="00CB5050">
        <w:rPr>
          <w:rFonts w:eastAsia="Calibri"/>
        </w:rPr>
        <w:lastRenderedPageBreak/>
        <w:t>Investitor kljub večletnim pogajanjem na sporazumen način ni mogel pridobiti vseh soglasij za začasno uporabo zemljišč in je primoran nujno potrebne dele nepremičnin za izvedbo gradbenih del v javno korist pridobiti z omejitvijo lastninske pravice, in sicer z začasno uporabo nepremičnin.</w:t>
      </w:r>
    </w:p>
    <w:p w14:paraId="43CCA86C" w14:textId="77777777" w:rsidR="00695AE2" w:rsidRPr="00CB5050" w:rsidRDefault="00695AE2" w:rsidP="00695AE2">
      <w:pPr>
        <w:spacing w:line="240" w:lineRule="auto"/>
        <w:jc w:val="both"/>
        <w:rPr>
          <w:rFonts w:eastAsia="Times New Roman"/>
          <w:shd w:val="clear" w:color="auto" w:fill="FFFFFF"/>
          <w:lang w:eastAsia="sl-SI"/>
        </w:rPr>
      </w:pPr>
    </w:p>
    <w:p w14:paraId="1D661246" w14:textId="77777777" w:rsidR="00695AE2" w:rsidRPr="00CB5050" w:rsidRDefault="00695AE2" w:rsidP="00695AE2">
      <w:pPr>
        <w:spacing w:line="240" w:lineRule="auto"/>
        <w:jc w:val="both"/>
        <w:rPr>
          <w:rFonts w:eastAsia="Times New Roman"/>
          <w:lang w:eastAsia="ar-SA"/>
        </w:rPr>
      </w:pPr>
      <w:r w:rsidRPr="00CB5050">
        <w:rPr>
          <w:rFonts w:eastAsia="Times New Roman"/>
          <w:shd w:val="clear" w:color="auto" w:fill="FFFFFF"/>
          <w:lang w:eastAsia="sl-SI"/>
        </w:rPr>
        <w:t>Glede na to, da stavba SNG Drama neposredno meji na zemljišče, ki sicer, skladno z odločitvijo Okrajnega sodišča v Ljubljani, predstavlja skupno pripadajoče zemljišče tako k stavbi SNG Drama kot tudi nekaterim sosednjim poslovno-stanovanjskim stavbam (</w:t>
      </w:r>
      <w:r w:rsidRPr="00CB5050">
        <w:rPr>
          <w:rFonts w:eastAsia="Calibri"/>
        </w:rPr>
        <w:t>Gradišče 6, Gradišče 8, Slovenska cesta 11 in Igriška ulica 3, vse Ljubljana), se je Republika Slovenija, kot ustanoviteljica javnega zavoda SNG Drama, z namenom pričetka prenove stavbe SNG Drama, poskušala z lastniki preostalih stavb sporazumno dogovoriti o začasni uporabi (za čas prenove) mejnih zemljišč</w:t>
      </w:r>
      <w:r w:rsidRPr="00CB5050">
        <w:rPr>
          <w:rFonts w:eastAsia="Times New Roman"/>
          <w:lang w:eastAsia="ar-SA"/>
        </w:rPr>
        <w:t xml:space="preserve"> za potrebe dostopa do gradbišča, ureditve gradbišča ter izkopa in zaščite gradbene jame. Upoštevaje samo lokacijo stavbe SNG Drama je namreč le-ta nujno potrebna za izvedbo njene celovite prenove.</w:t>
      </w:r>
    </w:p>
    <w:p w14:paraId="6FD7D581" w14:textId="77777777" w:rsidR="00695AE2" w:rsidRPr="00CB5050" w:rsidRDefault="00695AE2" w:rsidP="00695AE2">
      <w:pPr>
        <w:spacing w:line="240" w:lineRule="auto"/>
        <w:jc w:val="both"/>
        <w:rPr>
          <w:rFonts w:eastAsia="Times New Roman"/>
          <w:lang w:eastAsia="ar-SA"/>
        </w:rPr>
      </w:pPr>
    </w:p>
    <w:p w14:paraId="46269A0B" w14:textId="77777777" w:rsidR="00695AE2" w:rsidRPr="00CB5050" w:rsidRDefault="00695AE2" w:rsidP="00695AE2">
      <w:pPr>
        <w:spacing w:line="240" w:lineRule="auto"/>
        <w:jc w:val="both"/>
        <w:rPr>
          <w:rFonts w:eastAsia="Calibri"/>
        </w:rPr>
      </w:pPr>
      <w:r w:rsidRPr="00CB5050">
        <w:rPr>
          <w:rFonts w:eastAsia="Times New Roman"/>
          <w:lang w:eastAsia="ar-SA"/>
        </w:rPr>
        <w:t xml:space="preserve">Ker pogajanja z delom etažnih lastnikov omenjenih stavb niso bila uspešna, </w:t>
      </w:r>
      <w:r w:rsidRPr="00CB5050">
        <w:rPr>
          <w:rFonts w:eastAsia="Calibri"/>
        </w:rPr>
        <w:t xml:space="preserve">je Ministrstvo za kulturo </w:t>
      </w:r>
      <w:r w:rsidRPr="00CB5050">
        <w:rPr>
          <w:rFonts w:eastAsia="Times New Roman"/>
          <w:lang w:eastAsia="ar-SA"/>
        </w:rPr>
        <w:t>Državnemu odvetništvu RS</w:t>
      </w:r>
      <w:r w:rsidRPr="00CB5050">
        <w:rPr>
          <w:rFonts w:eastAsia="Times New Roman"/>
          <w:shd w:val="clear" w:color="auto" w:fill="FFFFFF"/>
          <w:lang w:eastAsia="sl-SI"/>
        </w:rPr>
        <w:t xml:space="preserve"> predlagalo vložitev zahtev </w:t>
      </w:r>
      <w:r w:rsidRPr="00CB5050">
        <w:rPr>
          <w:rFonts w:eastAsia="Calibri"/>
        </w:rPr>
        <w:t xml:space="preserve">za začasno omejitev lastninske pravice s pravico začasne uporabe, ki je nujno potrebna za gradnjo in prevzem objektov družbene infrastrukture – konkretno za potrebe dostopa in ureditve gradbišča ter izkopa in zaščite gradbene jame za čas prenove stavbe SNG Drama. </w:t>
      </w:r>
    </w:p>
    <w:p w14:paraId="51F06C4A" w14:textId="77777777" w:rsidR="00695AE2" w:rsidRPr="00CB5050" w:rsidRDefault="00695AE2" w:rsidP="00695AE2">
      <w:pPr>
        <w:spacing w:line="240" w:lineRule="auto"/>
        <w:jc w:val="both"/>
        <w:rPr>
          <w:rFonts w:eastAsia="Calibri"/>
        </w:rPr>
      </w:pPr>
    </w:p>
    <w:p w14:paraId="0F7739FD" w14:textId="77777777" w:rsidR="00695AE2" w:rsidRPr="00CB5050" w:rsidRDefault="00695AE2" w:rsidP="00695AE2">
      <w:pPr>
        <w:spacing w:line="240" w:lineRule="auto"/>
        <w:jc w:val="both"/>
        <w:rPr>
          <w:rFonts w:eastAsia="Calibri"/>
        </w:rPr>
      </w:pPr>
      <w:r w:rsidRPr="00CB5050">
        <w:rPr>
          <w:rFonts w:eastAsia="Calibri"/>
        </w:rPr>
        <w:t>Predlogi so bili vloženi zoper etažne lastnike, ki z Ministrstvom za kulturo  niso sklenili ustreznega dogovora o začasni uporabi dela predmetnega pripadajočega zemljišča, ki se sicer nahaja neposredno ob južnem delu stavbe SNG Drama in je nujno potrebno za izvedbo predvidenih obnovitvenih del.</w:t>
      </w:r>
    </w:p>
    <w:p w14:paraId="6BF84FFC" w14:textId="77777777" w:rsidR="00695AE2" w:rsidRPr="00CB5050" w:rsidRDefault="00695AE2" w:rsidP="00695AE2">
      <w:pPr>
        <w:spacing w:line="240" w:lineRule="auto"/>
        <w:jc w:val="both"/>
        <w:rPr>
          <w:rFonts w:eastAsia="Calibri"/>
        </w:rPr>
      </w:pPr>
    </w:p>
    <w:p w14:paraId="302175C7" w14:textId="77777777" w:rsidR="00695AE2" w:rsidRPr="00CB5050" w:rsidRDefault="00695AE2" w:rsidP="00695AE2">
      <w:pPr>
        <w:spacing w:line="240" w:lineRule="auto"/>
        <w:jc w:val="both"/>
        <w:rPr>
          <w:rFonts w:eastAsia="Calibri"/>
        </w:rPr>
      </w:pPr>
      <w:r w:rsidRPr="00CB5050">
        <w:rPr>
          <w:rFonts w:eastAsia="Calibri"/>
        </w:rPr>
        <w:t>Pravna podlaga za postopanje Državnega odvetništva RS v predmetni zadevi je ZUreP-3. ZUreP-3 v prvem odstavku 220. člena med drugim določa, da se za namene iz 203. člena tega zakona lastninska pravica na nepremičnini lahko omeji s pravico uporabe za določen čas (t.i. začasna uporaba), pri čemer se za ustanovitev pravice začasne uporabe uporabljajo določbe tega zakona, ki veljajo za služnost v javno korist. Prvi odstavek 203. člena ZUreP-3 pri tem med drugim določa, da se nepremičnina lahko razlasti tudi za gradnjo in prevzem objektov družbene infrastrukture. Podlago za obremenitev lastninske pravice na nepremičnini s služnostjo v javno korist predstavlja določba 221. členu ZUreP-3, ki v drugem odstavku med drugim določa, da se s služnostjo lastninska pravica lahko omeji, če je to nujno potrebno za gradnjo omrežij in objektov gospodarske javne infrastrukture ali njihovo nemoteno delovanje. Nadalje je v istem odstavku določeno, da lahko ustanovitev služnosti predlaga država, občina oziroma izvajalec javne službe.</w:t>
      </w:r>
    </w:p>
    <w:p w14:paraId="0EB01742" w14:textId="77777777" w:rsidR="00695AE2" w:rsidRPr="00CB5050" w:rsidRDefault="00695AE2" w:rsidP="00695AE2">
      <w:pPr>
        <w:spacing w:line="240" w:lineRule="auto"/>
        <w:jc w:val="both"/>
        <w:rPr>
          <w:rFonts w:eastAsia="Calibri"/>
        </w:rPr>
      </w:pPr>
    </w:p>
    <w:p w14:paraId="1478E8CA" w14:textId="77777777" w:rsidR="00695AE2" w:rsidRPr="00CB5050" w:rsidRDefault="00695AE2" w:rsidP="00695AE2">
      <w:pPr>
        <w:spacing w:line="240" w:lineRule="auto"/>
        <w:jc w:val="both"/>
        <w:rPr>
          <w:rFonts w:eastAsia="Calibri"/>
        </w:rPr>
      </w:pPr>
      <w:r w:rsidRPr="00CB5050">
        <w:rPr>
          <w:rFonts w:eastAsia="Calibri"/>
        </w:rPr>
        <w:t xml:space="preserve">ZUreP-3 med drugim določa, da se, ne glede na predpise, ki urejajo stvarnopravna razmerja, lahko uvede postopek omejitve lastninske pravice tudi zoper posameznega solastnika ali skupnega lastnika nepremičnine, če so zanj izkazani pogoji za uvedbo postopka. V praksi se namreč pogosto dogaja, da posamezni etažni lastniki še pred uvedbo postopka sklenejo ustrezne sporazume, zato seveda ni smiselno (in tudi ni podlage), da se zoper njih vodi postopek. Tudi v konkretnem primeru so posamezni etažni lastniki soglašali z začasno omejitvijo lastninske pravice, zato se postopki vodijo le zoper etažne lastnike, ki z začasno omejitvijo ne soglašajo. </w:t>
      </w:r>
    </w:p>
    <w:p w14:paraId="7D874E7E" w14:textId="77777777" w:rsidR="00695AE2" w:rsidRPr="00CB5050" w:rsidRDefault="00695AE2" w:rsidP="00695AE2">
      <w:pPr>
        <w:spacing w:line="240" w:lineRule="auto"/>
        <w:jc w:val="both"/>
        <w:rPr>
          <w:rFonts w:eastAsia="Calibri"/>
        </w:rPr>
      </w:pPr>
    </w:p>
    <w:p w14:paraId="4ADB320E" w14:textId="77777777" w:rsidR="00695AE2" w:rsidRPr="00CB5050" w:rsidRDefault="00695AE2" w:rsidP="00695AE2">
      <w:pPr>
        <w:spacing w:line="240" w:lineRule="auto"/>
        <w:jc w:val="both"/>
        <w:rPr>
          <w:rFonts w:eastAsia="Calibri"/>
          <w:szCs w:val="22"/>
        </w:rPr>
      </w:pPr>
      <w:r w:rsidRPr="00CB5050">
        <w:rPr>
          <w:rFonts w:eastAsia="Calibri"/>
          <w:szCs w:val="22"/>
        </w:rPr>
        <w:t xml:space="preserve">Začasna omejitev lastninske pravice je torej zakonsko urejena predvsem kot pravica začasne uporabe po ZUreP-3, ki se uvede s postopkom omejitve lastninske pravice. Ta postopek vključuje odločitev upravnega organa o uvedbi postopka, prepoved razpolaganja z nepremičnino brez soglasja upravičenca do pravice začasne uporabe do pravnomočne odločitve in vpis zaznambe v zemljiško knjigo. Omejitev mora biti utemeljena z javnim interesom in sorazmerna posegu v lastninsko pravico. Sklep o ugotovitvi javne koristi prenove stavbe Slovensko narodno gledališče Drama Ljubljana potrjuje, da je prenova gledališča  nujno potrebna in v javno korist, kar je bilo v nadaljevanju podlaga za omejitev lastninske pravice s pravico začasne uporabe. </w:t>
      </w:r>
      <w:r w:rsidRPr="00CB5050">
        <w:rPr>
          <w:rFonts w:eastAsia="Calibri"/>
        </w:rPr>
        <w:t>Pri tem je treba upoštevati, da Republika Slovenija ne razlašča etažnih lastnikov, temveč gre zgolj za zagotovitev zemljišča potrebnega za začasno uporabo za čas gradnje.</w:t>
      </w:r>
    </w:p>
    <w:p w14:paraId="561C2DB5" w14:textId="77777777" w:rsidR="00695AE2" w:rsidRPr="003702AE" w:rsidRDefault="00695AE2" w:rsidP="00695AE2">
      <w:pPr>
        <w:pStyle w:val="Jasna"/>
        <w:rPr>
          <w:sz w:val="32"/>
          <w:szCs w:val="32"/>
        </w:rPr>
      </w:pPr>
    </w:p>
    <w:p w14:paraId="121264CE" w14:textId="77777777" w:rsidR="00695AE2" w:rsidRPr="00CB5050" w:rsidRDefault="00695AE2" w:rsidP="00695AE2">
      <w:pPr>
        <w:pStyle w:val="Naslov2"/>
      </w:pPr>
      <w:bookmarkStart w:id="967" w:name="_Toc168845051"/>
      <w:bookmarkStart w:id="968" w:name="_Toc191562047"/>
      <w:bookmarkStart w:id="969" w:name="_Toc223094050"/>
      <w:r w:rsidRPr="00CB5050">
        <w:t>Upravne zadeve</w:t>
      </w:r>
      <w:bookmarkEnd w:id="965"/>
      <w:bookmarkEnd w:id="967"/>
      <w:bookmarkEnd w:id="968"/>
      <w:bookmarkEnd w:id="969"/>
    </w:p>
    <w:p w14:paraId="66B1E376" w14:textId="77777777" w:rsidR="00695AE2" w:rsidRPr="00CB5050" w:rsidRDefault="00695AE2" w:rsidP="00695AE2">
      <w:pPr>
        <w:spacing w:line="240" w:lineRule="auto"/>
        <w:rPr>
          <w:rFonts w:eastAsia="Calibri"/>
          <w:sz w:val="32"/>
          <w:szCs w:val="32"/>
        </w:rPr>
      </w:pPr>
    </w:p>
    <w:p w14:paraId="517021A6" w14:textId="77777777" w:rsidR="00695AE2" w:rsidRPr="00CB5050" w:rsidRDefault="00695AE2" w:rsidP="00695AE2">
      <w:pPr>
        <w:pStyle w:val="Naslov3"/>
      </w:pPr>
      <w:bookmarkStart w:id="970" w:name="_Toc95149817"/>
      <w:bookmarkStart w:id="971" w:name="_Toc168845052"/>
      <w:bookmarkStart w:id="972" w:name="_Toc191562048"/>
      <w:bookmarkStart w:id="973" w:name="_Toc223094051"/>
      <w:r w:rsidRPr="00CB5050">
        <w:t>Uvod</w:t>
      </w:r>
      <w:bookmarkEnd w:id="970"/>
      <w:bookmarkEnd w:id="971"/>
      <w:bookmarkEnd w:id="972"/>
      <w:bookmarkEnd w:id="973"/>
    </w:p>
    <w:p w14:paraId="55C7B9D7" w14:textId="77777777" w:rsidR="00695AE2" w:rsidRPr="003702AE" w:rsidRDefault="00695AE2" w:rsidP="00695AE2">
      <w:pPr>
        <w:pStyle w:val="Jasna"/>
        <w:rPr>
          <w:sz w:val="28"/>
          <w:szCs w:val="28"/>
        </w:rPr>
      </w:pPr>
      <w:bookmarkStart w:id="974" w:name="_Toc95149818"/>
      <w:bookmarkStart w:id="975" w:name="_Hlk221194613"/>
    </w:p>
    <w:p w14:paraId="6A315375" w14:textId="77777777" w:rsidR="00695AE2" w:rsidRPr="00C70D20" w:rsidRDefault="00695AE2" w:rsidP="00695AE2">
      <w:pPr>
        <w:pStyle w:val="Naslov4"/>
      </w:pPr>
      <w:bookmarkStart w:id="976" w:name="_Toc168845053"/>
      <w:bookmarkStart w:id="977" w:name="_Toc191562049"/>
      <w:bookmarkStart w:id="978" w:name="_Toc223094052"/>
      <w:bookmarkEnd w:id="974"/>
      <w:r w:rsidRPr="00C70D20">
        <w:t>Upravni postopek in upravni spor</w:t>
      </w:r>
      <w:bookmarkEnd w:id="976"/>
      <w:bookmarkEnd w:id="977"/>
      <w:bookmarkEnd w:id="978"/>
    </w:p>
    <w:p w14:paraId="015B8DFE" w14:textId="77777777" w:rsidR="00695AE2" w:rsidRPr="00CB5050" w:rsidRDefault="00695AE2" w:rsidP="00695AE2">
      <w:pPr>
        <w:spacing w:line="240" w:lineRule="auto"/>
        <w:jc w:val="both"/>
        <w:rPr>
          <w:rFonts w:eastAsia="Calibri"/>
        </w:rPr>
      </w:pPr>
    </w:p>
    <w:p w14:paraId="3062FEA0" w14:textId="77777777" w:rsidR="00695AE2" w:rsidRPr="00CB5050" w:rsidRDefault="00695AE2" w:rsidP="00695AE2">
      <w:pPr>
        <w:spacing w:line="240" w:lineRule="auto"/>
        <w:jc w:val="both"/>
        <w:rPr>
          <w:rFonts w:eastAsia="Calibri" w:cs="Times New Roman"/>
          <w:szCs w:val="22"/>
        </w:rPr>
      </w:pPr>
      <w:r w:rsidRPr="00CB5050">
        <w:rPr>
          <w:rFonts w:eastAsia="Calibri"/>
        </w:rPr>
        <w:t xml:space="preserve">Poleg zastopanja države pred sodišči Državno odvetništvo RS opravlja tudi druge naloge, določene z zakonom. Med te naloge spadajo naloge, določene z </w:t>
      </w:r>
      <w:r w:rsidRPr="00CB5050">
        <w:rPr>
          <w:rFonts w:eastAsia="Calibri"/>
          <w:bCs/>
        </w:rPr>
        <w:t>Zakonom o splošnem upravnem postopku (v nadaljevanju: ZUP)</w:t>
      </w:r>
      <w:r w:rsidRPr="00CB5050">
        <w:rPr>
          <w:rFonts w:eastAsia="Calibri"/>
        </w:rPr>
        <w:t xml:space="preserve">. </w:t>
      </w:r>
      <w:r w:rsidRPr="00CB5050">
        <w:rPr>
          <w:rFonts w:eastAsia="Calibri" w:cs="Times New Roman"/>
          <w:szCs w:val="22"/>
        </w:rPr>
        <w:t xml:space="preserve">Državno odvetništvo RS se v </w:t>
      </w:r>
      <w:r w:rsidRPr="00CB5050">
        <w:rPr>
          <w:rFonts w:eastAsia="Calibri" w:cs="Times New Roman"/>
          <w:b/>
          <w:bCs/>
          <w:color w:val="007466"/>
          <w:szCs w:val="22"/>
        </w:rPr>
        <w:t>upravnem postopku</w:t>
      </w:r>
      <w:r w:rsidRPr="00CB5050">
        <w:rPr>
          <w:rFonts w:eastAsia="Calibri" w:cs="Times New Roman"/>
          <w:color w:val="007466"/>
          <w:szCs w:val="22"/>
        </w:rPr>
        <w:t xml:space="preserve"> </w:t>
      </w:r>
      <w:r w:rsidRPr="00CB5050">
        <w:rPr>
          <w:rFonts w:eastAsia="Calibri" w:cs="Times New Roman"/>
          <w:szCs w:val="22"/>
        </w:rPr>
        <w:t xml:space="preserve">pojavlja v dveh vlogah, in sicer prvič kot </w:t>
      </w:r>
      <w:r w:rsidRPr="00CB5050">
        <w:rPr>
          <w:rFonts w:eastAsia="Calibri" w:cs="Times New Roman"/>
          <w:color w:val="007466"/>
          <w:szCs w:val="22"/>
        </w:rPr>
        <w:t>zastopnik stranke</w:t>
      </w:r>
      <w:r w:rsidRPr="00CB5050">
        <w:rPr>
          <w:rFonts w:eastAsia="Calibri" w:cs="Times New Roman"/>
          <w:szCs w:val="22"/>
        </w:rPr>
        <w:t xml:space="preserve">, kjer deluje na podlagi pooblastila, to je sklepa vlade, in upošteva interese zastopanega subjekta, ter drugič kot </w:t>
      </w:r>
      <w:r w:rsidRPr="00CB5050">
        <w:rPr>
          <w:rFonts w:eastAsia="Calibri" w:cs="Times New Roman"/>
          <w:color w:val="007466"/>
          <w:szCs w:val="22"/>
        </w:rPr>
        <w:t>zastopnik javne koristi</w:t>
      </w:r>
      <w:r w:rsidRPr="00CB5050">
        <w:rPr>
          <w:rFonts w:eastAsia="Calibri" w:cs="Times New Roman"/>
          <w:szCs w:val="22"/>
        </w:rPr>
        <w:t xml:space="preserve">, kjer nastopa kot samostojna stranka. </w:t>
      </w:r>
    </w:p>
    <w:p w14:paraId="60CF0030" w14:textId="77777777" w:rsidR="00695AE2" w:rsidRPr="00CB5050" w:rsidRDefault="00695AE2" w:rsidP="00695AE2">
      <w:pPr>
        <w:spacing w:line="240" w:lineRule="auto"/>
        <w:jc w:val="both"/>
        <w:rPr>
          <w:rFonts w:eastAsia="Calibri" w:cs="Times New Roman"/>
          <w:szCs w:val="22"/>
        </w:rPr>
      </w:pPr>
    </w:p>
    <w:p w14:paraId="00472265" w14:textId="77777777" w:rsidR="00695AE2" w:rsidRPr="00CB5050" w:rsidRDefault="00695AE2" w:rsidP="00695AE2">
      <w:pPr>
        <w:spacing w:line="240" w:lineRule="auto"/>
        <w:jc w:val="both"/>
        <w:rPr>
          <w:rFonts w:eastAsia="Calibri" w:cs="Times New Roman"/>
          <w:szCs w:val="22"/>
        </w:rPr>
      </w:pPr>
      <w:r w:rsidRPr="00CB5050">
        <w:rPr>
          <w:rFonts w:eastAsia="Calibri" w:cs="Times New Roman"/>
          <w:szCs w:val="22"/>
        </w:rPr>
        <w:t xml:space="preserve">Zakonsko podlago za zastopanje s strani Državnega odvetništva RS v upravnih postopkih pred upravnimi organi predstavlja določba prvega odstavka 13. člen ZDOdv, ki določa, da državno odvetništvo pred upravnimi organi zastopa subjekte na podlagi pooblastila. </w:t>
      </w:r>
      <w:r w:rsidRPr="00CB5050">
        <w:rPr>
          <w:rFonts w:eastAsia="Calibri"/>
        </w:rPr>
        <w:t>Državno odvetništvo RS mora sprejeti pooblastilo za zastopanje države in državnih organov.</w:t>
      </w:r>
    </w:p>
    <w:p w14:paraId="43FF3C88" w14:textId="77777777" w:rsidR="00695AE2" w:rsidRPr="00CB5050" w:rsidRDefault="00695AE2" w:rsidP="00695AE2">
      <w:pPr>
        <w:tabs>
          <w:tab w:val="left" w:pos="180"/>
          <w:tab w:val="left" w:pos="720"/>
          <w:tab w:val="left" w:pos="1080"/>
        </w:tabs>
        <w:spacing w:line="240" w:lineRule="auto"/>
        <w:jc w:val="both"/>
        <w:rPr>
          <w:rFonts w:eastAsia="Calibri"/>
        </w:rPr>
      </w:pPr>
    </w:p>
    <w:p w14:paraId="31C1FDF5" w14:textId="77777777" w:rsidR="00695AE2" w:rsidRPr="00CB5050" w:rsidRDefault="00695AE2" w:rsidP="00695AE2">
      <w:pPr>
        <w:tabs>
          <w:tab w:val="left" w:pos="180"/>
          <w:tab w:val="left" w:pos="720"/>
          <w:tab w:val="left" w:pos="1080"/>
        </w:tabs>
        <w:spacing w:line="240" w:lineRule="auto"/>
        <w:jc w:val="both"/>
        <w:rPr>
          <w:rFonts w:eastAsia="Calibri"/>
        </w:rPr>
      </w:pPr>
      <w:r w:rsidRPr="00CB5050">
        <w:rPr>
          <w:rFonts w:eastAsia="Calibri"/>
        </w:rPr>
        <w:t xml:space="preserve">Položaj Državnega odvetništva RS kot samostojne stranke v upravnem postopku pa določa 45. člen ZUP, in sicer imajo državni tožilec, državni odvetnik in drugi državni organi, ki so po zakonu upravičeni v upravnem postopku zastopati javne koristi, v mejah takega pooblastila pravice in dolžnosti stranke. Tako lahko Državno odvetništvo RS sodeluje v postopku, vloži pritožbo zoper upravni akt, </w:t>
      </w:r>
      <w:r w:rsidRPr="00CB5050">
        <w:rPr>
          <w:rFonts w:eastAsia="Calibri"/>
          <w:szCs w:val="22"/>
        </w:rPr>
        <w:t>pri čemer ni pomembno, ali je sodeloval v postopku na prvi stopnji, mora pa jo vložiti v roku, v katerem bi jo lahko vložila stranka oziroma dokler se stranka ne odpove pravici do pritožbe, predlaga obnovo postopka, če odločba posega v javne koristi,</w:t>
      </w:r>
      <w:r w:rsidRPr="00CB5050">
        <w:rPr>
          <w:rFonts w:eastAsia="Calibri"/>
          <w:szCs w:val="22"/>
          <w:vertAlign w:val="superscript"/>
        </w:rPr>
        <w:t xml:space="preserve"> </w:t>
      </w:r>
      <w:r w:rsidRPr="00CB5050">
        <w:rPr>
          <w:rFonts w:eastAsia="Calibri"/>
          <w:szCs w:val="22"/>
        </w:rPr>
        <w:t xml:space="preserve"> zahteva odpravo ali razveljavitev odločbe po nadzorstveni pravici in uveljavlja ničnost odločbe. </w:t>
      </w:r>
      <w:r w:rsidRPr="00CB5050">
        <w:rPr>
          <w:rFonts w:eastAsia="Calibri"/>
        </w:rPr>
        <w:t>Poleg tega lahko, če je kot stranka sodeloval v postopku, vloži pritožbo zoper odločbo, s katero je prekršen zakon v korist stranke in škodo javnih koristi (četrti odstavek 229. člena ZUP).</w:t>
      </w:r>
    </w:p>
    <w:p w14:paraId="7A386BFA" w14:textId="77777777" w:rsidR="00695AE2" w:rsidRPr="00CB5050" w:rsidRDefault="00695AE2" w:rsidP="00695AE2">
      <w:pPr>
        <w:tabs>
          <w:tab w:val="left" w:pos="180"/>
          <w:tab w:val="left" w:pos="720"/>
          <w:tab w:val="left" w:pos="1080"/>
        </w:tabs>
        <w:spacing w:line="240" w:lineRule="auto"/>
        <w:jc w:val="both"/>
        <w:rPr>
          <w:rFonts w:eastAsia="Calibri"/>
        </w:rPr>
      </w:pPr>
    </w:p>
    <w:p w14:paraId="61935D10" w14:textId="77777777" w:rsidR="00695AE2" w:rsidRPr="00CB5050" w:rsidRDefault="00695AE2" w:rsidP="00695AE2">
      <w:pPr>
        <w:tabs>
          <w:tab w:val="left" w:pos="180"/>
          <w:tab w:val="left" w:pos="720"/>
          <w:tab w:val="left" w:pos="1080"/>
        </w:tabs>
        <w:spacing w:line="240" w:lineRule="auto"/>
        <w:jc w:val="both"/>
        <w:rPr>
          <w:rFonts w:eastAsia="Calibri"/>
        </w:rPr>
      </w:pPr>
      <w:r w:rsidRPr="00CB5050">
        <w:rPr>
          <w:rFonts w:eastAsia="Calibri"/>
        </w:rPr>
        <w:t xml:space="preserve">Državno odvetništvo RS glede na določbo prvega odstavka 12. člena ZDOdv v postopkih pred sodišči </w:t>
      </w:r>
      <w:r w:rsidRPr="00CB5050">
        <w:rPr>
          <w:rFonts w:eastAsia="Calibri"/>
          <w:iCs/>
        </w:rPr>
        <w:t>zastopa</w:t>
      </w:r>
      <w:r w:rsidRPr="00CB5050">
        <w:rPr>
          <w:rFonts w:eastAsia="Calibri"/>
        </w:rPr>
        <w:t xml:space="preserve"> državo in državne organe, drugačen položaj pa ima po </w:t>
      </w:r>
      <w:r w:rsidRPr="00CB5050">
        <w:rPr>
          <w:rFonts w:eastAsia="Calibri"/>
          <w:bCs/>
        </w:rPr>
        <w:t>Zakonu o upravnem sporu (ZUS-1)</w:t>
      </w:r>
      <w:r w:rsidRPr="00CB5050">
        <w:rPr>
          <w:rFonts w:eastAsia="Calibri"/>
        </w:rPr>
        <w:t xml:space="preserve">, ki opredeljuje stranke v </w:t>
      </w:r>
      <w:r w:rsidRPr="00CB5050">
        <w:rPr>
          <w:rFonts w:eastAsia="Calibri"/>
          <w:b/>
          <w:bCs/>
          <w:color w:val="007466"/>
        </w:rPr>
        <w:t>upravnem sporu</w:t>
      </w:r>
      <w:r w:rsidRPr="00CB5050">
        <w:rPr>
          <w:rFonts w:eastAsia="Calibri"/>
        </w:rPr>
        <w:t xml:space="preserve">, in sicer so to tožnik, toženec in prizadeta oseba s položajem stranke, če tako določa zakon. Državno odvetništvo RS se lahko </w:t>
      </w:r>
      <w:r w:rsidRPr="00CB5050">
        <w:rPr>
          <w:rFonts w:eastAsia="Calibri"/>
        </w:rPr>
        <w:lastRenderedPageBreak/>
        <w:t xml:space="preserve">pojavlja v vseh vlogah </w:t>
      </w:r>
      <w:r w:rsidRPr="00CB5050">
        <w:rPr>
          <w:rFonts w:eastAsia="Calibri"/>
          <w:iCs/>
        </w:rPr>
        <w:t xml:space="preserve">kot </w:t>
      </w:r>
      <w:r w:rsidRPr="00CB5050">
        <w:rPr>
          <w:rFonts w:eastAsia="Calibri"/>
          <w:iCs/>
          <w:color w:val="007466"/>
        </w:rPr>
        <w:t>zastopnik stranke</w:t>
      </w:r>
      <w:r w:rsidRPr="00CB5050">
        <w:rPr>
          <w:rFonts w:eastAsia="Calibri"/>
          <w:color w:val="007466"/>
        </w:rPr>
        <w:t xml:space="preserve"> (t. j. kot zastopnik tožnika, toženca ali prizadete osebe s položajem stranke) ali </w:t>
      </w:r>
      <w:r w:rsidRPr="00CB5050">
        <w:rPr>
          <w:rFonts w:eastAsia="Calibri"/>
          <w:iCs/>
          <w:color w:val="007466"/>
        </w:rPr>
        <w:t>kot stranka,</w:t>
      </w:r>
      <w:r w:rsidRPr="00CB5050">
        <w:rPr>
          <w:rFonts w:eastAsia="Calibri"/>
          <w:color w:val="007466"/>
        </w:rPr>
        <w:t xml:space="preserve"> in sicer kot tožnik v varovanju javnega interesa</w:t>
      </w:r>
      <w:r w:rsidRPr="00CB5050">
        <w:rPr>
          <w:rFonts w:eastAsia="Calibri"/>
        </w:rPr>
        <w:t xml:space="preserve">. </w:t>
      </w:r>
    </w:p>
    <w:p w14:paraId="6D6629C4" w14:textId="77777777" w:rsidR="00695AE2" w:rsidRPr="00CB5050" w:rsidRDefault="00695AE2" w:rsidP="00695AE2">
      <w:pPr>
        <w:tabs>
          <w:tab w:val="left" w:pos="180"/>
          <w:tab w:val="left" w:pos="720"/>
          <w:tab w:val="left" w:pos="1080"/>
        </w:tabs>
        <w:spacing w:line="240" w:lineRule="auto"/>
        <w:jc w:val="both"/>
        <w:rPr>
          <w:rFonts w:eastAsia="Calibri"/>
        </w:rPr>
      </w:pPr>
    </w:p>
    <w:p w14:paraId="035D472F" w14:textId="77777777" w:rsidR="00695AE2" w:rsidRPr="00CB5050" w:rsidRDefault="00695AE2" w:rsidP="00695AE2">
      <w:pPr>
        <w:tabs>
          <w:tab w:val="left" w:pos="180"/>
          <w:tab w:val="left" w:pos="720"/>
          <w:tab w:val="left" w:pos="1080"/>
        </w:tabs>
        <w:spacing w:line="240" w:lineRule="auto"/>
        <w:jc w:val="both"/>
        <w:rPr>
          <w:rFonts w:eastAsia="Calibri"/>
        </w:rPr>
      </w:pPr>
      <w:r w:rsidRPr="00CB5050">
        <w:rPr>
          <w:rFonts w:eastAsia="Calibri"/>
        </w:rPr>
        <w:t xml:space="preserve">V upravni zadevi stranka postavi zahtevek do države oziroma do lokalne skupnosti. Zato prihaja do kolizije interesov med posameznikom ali pravno osebo in državo. Sodišče poseže v sporno razmerje le, če je javna korist prizadeta do te mere, da je prizadeta tudi zakonitost. Ker je Republika Slovenija kot pravna oseba lahko stranka v upravnem sporu kot nosilec pravic, obveznosti in pravnih koristi, je lahko tudi </w:t>
      </w:r>
      <w:r w:rsidRPr="00CB5050">
        <w:rPr>
          <w:rFonts w:eastAsia="Calibri"/>
          <w:bCs/>
        </w:rPr>
        <w:t>tožnik</w:t>
      </w:r>
      <w:r w:rsidRPr="00CB5050">
        <w:rPr>
          <w:rFonts w:eastAsia="Calibri"/>
        </w:rPr>
        <w:t xml:space="preserve"> v upravnem sporu, če je bilo z dokončnim upravnim aktom poseženo v njen pravni položaj. Postopek v upravnem sporu poteka pred Upravnim sodiščem RS, kar pomeni, da </w:t>
      </w:r>
      <w:r w:rsidRPr="00CB5050">
        <w:rPr>
          <w:rFonts w:eastAsia="Calibri"/>
          <w:color w:val="007466"/>
        </w:rPr>
        <w:t>Republiko Slovenijo kot tožnika v upravnem sporu zastopa Državno odvetništvo RS kot zastopnik glede na generalno določbo 12. člena ZDOdv.</w:t>
      </w:r>
    </w:p>
    <w:p w14:paraId="2C8076AB" w14:textId="77777777" w:rsidR="00695AE2" w:rsidRPr="00CB5050" w:rsidRDefault="00695AE2" w:rsidP="00695AE2">
      <w:pPr>
        <w:tabs>
          <w:tab w:val="left" w:pos="180"/>
          <w:tab w:val="left" w:pos="720"/>
          <w:tab w:val="left" w:pos="1080"/>
        </w:tabs>
        <w:spacing w:line="240" w:lineRule="auto"/>
        <w:jc w:val="both"/>
        <w:rPr>
          <w:rFonts w:eastAsia="Calibri"/>
        </w:rPr>
      </w:pPr>
    </w:p>
    <w:p w14:paraId="5755587C" w14:textId="77777777" w:rsidR="00695AE2" w:rsidRPr="00CB5050" w:rsidRDefault="00695AE2" w:rsidP="00695AE2">
      <w:pPr>
        <w:tabs>
          <w:tab w:val="left" w:pos="180"/>
          <w:tab w:val="left" w:pos="720"/>
          <w:tab w:val="left" w:pos="1080"/>
        </w:tabs>
        <w:spacing w:line="240" w:lineRule="auto"/>
        <w:jc w:val="both"/>
        <w:rPr>
          <w:rFonts w:eastAsia="Times New Roman"/>
          <w:color w:val="000000"/>
          <w:lang w:eastAsia="sl-SI"/>
        </w:rPr>
      </w:pPr>
      <w:r w:rsidRPr="00CB5050">
        <w:rPr>
          <w:rFonts w:eastAsia="Calibri"/>
        </w:rPr>
        <w:t xml:space="preserve">Pomemben je tudi položaj </w:t>
      </w:r>
      <w:r w:rsidRPr="00CB5050">
        <w:rPr>
          <w:rFonts w:eastAsia="Calibri"/>
          <w:bCs/>
          <w:color w:val="007466"/>
        </w:rPr>
        <w:t>zastopanja toženca</w:t>
      </w:r>
      <w:r w:rsidRPr="00CB5050">
        <w:rPr>
          <w:rFonts w:eastAsia="Calibri"/>
        </w:rPr>
        <w:t xml:space="preserve">, ki je po zakonu lahko le država, lokalna skupnost oziroma druga pravna oseba, ki je izdala dokončni upravni akt, s katerim je bil postopek odločanja končan, kar pomeni, da zakon toženca izrecno opredeljuje kot pravno osebo. Toženca v upravnem sporu zastopa organ, ki je izdal akt, s katerim je bil postopek odločanja končan, razen če v primeru tožbe zoper državo Vlada RS za zastopnika določi državno odvetništvo ali za zastopanje pooblasti odvetnika ali odvetniško družbo. V primeru tožbe zoper državo jo tako v upravnem sporu praviloma zastopa ministrstvo, ki je izdalo dokončni upravni akt, razen če Vlada RS ne </w:t>
      </w:r>
      <w:r w:rsidRPr="00CB5050">
        <w:rPr>
          <w:rFonts w:eastAsia="Calibri"/>
          <w:color w:val="007466"/>
        </w:rPr>
        <w:t>določi, da bo naloge zastopnika opravljalo Državno odvetništvo RS</w:t>
      </w:r>
      <w:r w:rsidRPr="00CB5050">
        <w:rPr>
          <w:rFonts w:eastAsia="Calibri"/>
        </w:rPr>
        <w:t xml:space="preserve"> (ureditev iz petega odstavka 17. člena ZUS-1 je bila spremenjena z </w:t>
      </w:r>
      <w:r w:rsidRPr="00CB5050">
        <w:rPr>
          <w:rFonts w:eastAsia="Times New Roman"/>
          <w:color w:val="000000"/>
          <w:lang w:eastAsia="sl-SI"/>
        </w:rPr>
        <w:t xml:space="preserve">Zakonom o spremembah in dopolnitvah Zakona o upravnem sporu (ZUS-1C), Uradni list RS, št. 49/23 z dne 28. 4. 2023; v prehodnih določbah ZUS-1C je določeno, da do </w:t>
      </w:r>
      <w:r w:rsidRPr="00CB5050">
        <w:rPr>
          <w:rFonts w:eastAsia="Calibri"/>
          <w:color w:val="000000"/>
          <w:shd w:val="clear" w:color="auto" w:fill="FFFFFF"/>
        </w:rPr>
        <w:t>ureditve v zakonu, ki ureja državno odvetništvo, lahko v skladu s spremenjenim petim odstavkom 17. člena zakona Vlada RS za zastopanje pooblasti odvetnika ali odvetniško družbo le v primeru, ko generalni državni odvetnik Vladi RS sporoči, da zaradi dejanskih ali pravnih ovir ne more opravljati nalog zastopanja).</w:t>
      </w:r>
    </w:p>
    <w:p w14:paraId="00306923" w14:textId="77777777" w:rsidR="00695AE2" w:rsidRPr="00CB5050" w:rsidRDefault="00695AE2" w:rsidP="00695AE2">
      <w:pPr>
        <w:tabs>
          <w:tab w:val="left" w:pos="180"/>
          <w:tab w:val="left" w:pos="720"/>
          <w:tab w:val="left" w:pos="1080"/>
        </w:tabs>
        <w:spacing w:line="240" w:lineRule="auto"/>
        <w:jc w:val="both"/>
        <w:rPr>
          <w:rFonts w:eastAsia="Calibri"/>
        </w:rPr>
      </w:pPr>
    </w:p>
    <w:p w14:paraId="5C3E2041" w14:textId="77777777" w:rsidR="00695AE2" w:rsidRPr="00CB5050" w:rsidRDefault="00695AE2" w:rsidP="00695AE2">
      <w:pPr>
        <w:tabs>
          <w:tab w:val="left" w:pos="180"/>
          <w:tab w:val="left" w:pos="720"/>
          <w:tab w:val="left" w:pos="1080"/>
        </w:tabs>
        <w:spacing w:line="240" w:lineRule="auto"/>
        <w:jc w:val="both"/>
        <w:rPr>
          <w:rFonts w:eastAsia="Calibri"/>
        </w:rPr>
      </w:pPr>
      <w:r w:rsidRPr="00CB5050">
        <w:rPr>
          <w:rFonts w:eastAsia="Calibri"/>
        </w:rPr>
        <w:t xml:space="preserve">V upravnem sporu je poleg tožnika in toženca stranka tudi </w:t>
      </w:r>
      <w:r w:rsidRPr="00CB5050">
        <w:rPr>
          <w:rFonts w:eastAsia="Calibri"/>
          <w:bCs/>
        </w:rPr>
        <w:t>prizadeta oseba</w:t>
      </w:r>
      <w:r w:rsidRPr="00CB5050">
        <w:rPr>
          <w:rFonts w:eastAsia="Calibri"/>
        </w:rPr>
        <w:t>, če tako določa zakon, in sicer če bi ji lahko bila odprava oziroma sprememba izpodbijanega upravnega akta v neposredno škodo. Upravno sodišče RS mora med upravnim sporom po uradni dolžnosti prizadeto stranko obvestiti, če bi ureditev spornega razmerja lahko posegla v njene pravice ali na zakon oprte neposredne koristi (19. člen ZUS-1).</w:t>
      </w:r>
    </w:p>
    <w:p w14:paraId="566854D3" w14:textId="77777777" w:rsidR="00695AE2" w:rsidRPr="00CB5050" w:rsidRDefault="00695AE2" w:rsidP="00695AE2">
      <w:pPr>
        <w:tabs>
          <w:tab w:val="left" w:pos="180"/>
          <w:tab w:val="left" w:pos="720"/>
          <w:tab w:val="left" w:pos="1080"/>
        </w:tabs>
        <w:spacing w:line="240" w:lineRule="auto"/>
        <w:jc w:val="both"/>
        <w:rPr>
          <w:rFonts w:eastAsia="Calibri"/>
        </w:rPr>
      </w:pPr>
    </w:p>
    <w:p w14:paraId="7B8B0A80" w14:textId="77777777" w:rsidR="00695AE2" w:rsidRPr="00CB5050" w:rsidRDefault="00695AE2" w:rsidP="00695AE2">
      <w:pPr>
        <w:tabs>
          <w:tab w:val="left" w:pos="180"/>
          <w:tab w:val="left" w:pos="720"/>
          <w:tab w:val="left" w:pos="1080"/>
        </w:tabs>
        <w:spacing w:line="240" w:lineRule="auto"/>
        <w:jc w:val="both"/>
        <w:rPr>
          <w:rFonts w:eastAsia="Calibri"/>
        </w:rPr>
      </w:pPr>
      <w:r w:rsidRPr="00CB5050">
        <w:rPr>
          <w:rFonts w:eastAsia="Calibri"/>
        </w:rPr>
        <w:t xml:space="preserve">V skladu z materialno zakonodajo ima </w:t>
      </w:r>
      <w:r w:rsidRPr="00CB5050">
        <w:rPr>
          <w:rFonts w:eastAsia="Calibri"/>
          <w:bCs/>
        </w:rPr>
        <w:t xml:space="preserve">Državno odvetništvo RS tudi </w:t>
      </w:r>
      <w:r w:rsidRPr="00CB5050">
        <w:rPr>
          <w:rFonts w:eastAsia="Calibri"/>
          <w:bCs/>
          <w:color w:val="007466"/>
        </w:rPr>
        <w:t>neposredni položaj tožnika v upravnem sporu</w:t>
      </w:r>
      <w:r w:rsidRPr="00CB5050">
        <w:rPr>
          <w:rFonts w:eastAsia="Calibri"/>
        </w:rPr>
        <w:t xml:space="preserve">. Tako kot nosilec funkcije, na primer v skladu z Zakonom o brezplačni pravni pomoči (ZBPP), lahko zoper odločbo ali sklep organa za brezplačno pravno pomoč vloži tožbo v upravnem sporu, saj pritožba zoper takšno odločbo ali sklep ni možna. Za vložitev tožbe v upravnem sporu Državno odvetništvo RS ne potrebuje morebitnega dokazovanja posega v javno korist, temveč uveljavlja le presojo njene zakonitosti, s čimer skrbi za zakonito porabo proračunskih sredstev. </w:t>
      </w:r>
    </w:p>
    <w:p w14:paraId="201EC743" w14:textId="77777777" w:rsidR="00695AE2" w:rsidRPr="00CB5050" w:rsidRDefault="00695AE2" w:rsidP="00695AE2">
      <w:pPr>
        <w:tabs>
          <w:tab w:val="left" w:pos="180"/>
          <w:tab w:val="left" w:pos="720"/>
          <w:tab w:val="left" w:pos="1080"/>
        </w:tabs>
        <w:spacing w:line="240" w:lineRule="auto"/>
        <w:jc w:val="both"/>
        <w:rPr>
          <w:rFonts w:eastAsia="Calibri"/>
        </w:rPr>
      </w:pPr>
    </w:p>
    <w:p w14:paraId="57CF2B6E" w14:textId="77777777" w:rsidR="00695AE2" w:rsidRPr="00CB5050" w:rsidRDefault="00695AE2" w:rsidP="00695AE2">
      <w:pPr>
        <w:pStyle w:val="Naslov4"/>
      </w:pPr>
      <w:bookmarkStart w:id="979" w:name="_Toc168845054"/>
      <w:bookmarkStart w:id="980" w:name="_Toc191562050"/>
      <w:bookmarkStart w:id="981" w:name="_Toc223094053"/>
      <w:r w:rsidRPr="00CB5050">
        <w:t>Državno odvetništvo RS kot zastopnik javnega interesa</w:t>
      </w:r>
      <w:bookmarkEnd w:id="979"/>
      <w:bookmarkEnd w:id="980"/>
      <w:bookmarkEnd w:id="981"/>
      <w:r w:rsidRPr="00CB5050">
        <w:t xml:space="preserve"> </w:t>
      </w:r>
    </w:p>
    <w:p w14:paraId="41C20FD9" w14:textId="77777777" w:rsidR="00695AE2" w:rsidRPr="00CB5050" w:rsidRDefault="00695AE2" w:rsidP="00695AE2">
      <w:pPr>
        <w:spacing w:line="240" w:lineRule="auto"/>
        <w:rPr>
          <w:rFonts w:eastAsia="Calibri"/>
          <w:szCs w:val="22"/>
        </w:rPr>
      </w:pPr>
      <w:bookmarkStart w:id="982" w:name="_Hlk221195966"/>
      <w:bookmarkEnd w:id="975"/>
    </w:p>
    <w:p w14:paraId="4CE6DF75" w14:textId="77777777" w:rsidR="00695AE2" w:rsidRPr="00CB5050" w:rsidRDefault="00695AE2" w:rsidP="00695AE2">
      <w:pPr>
        <w:tabs>
          <w:tab w:val="left" w:pos="180"/>
          <w:tab w:val="left" w:pos="720"/>
          <w:tab w:val="left" w:pos="1080"/>
        </w:tabs>
        <w:spacing w:line="240" w:lineRule="auto"/>
        <w:jc w:val="both"/>
        <w:rPr>
          <w:rFonts w:eastAsia="Calibri"/>
        </w:rPr>
      </w:pPr>
      <w:r w:rsidRPr="00CB5050">
        <w:rPr>
          <w:rFonts w:eastAsia="Calibri"/>
        </w:rPr>
        <w:t xml:space="preserve">Vsebinsko najzahtevnejša naloga Državnega odvetništva RS na področju upravnih sporov je zagotovo njegova vloga zastopnika javnega interesa v upravnem sporu in drugih primerih, ki jih določa zakon. </w:t>
      </w:r>
    </w:p>
    <w:p w14:paraId="50176D5C" w14:textId="77777777" w:rsidR="00695AE2" w:rsidRPr="00CB5050" w:rsidRDefault="00695AE2" w:rsidP="00695AE2">
      <w:pPr>
        <w:tabs>
          <w:tab w:val="left" w:pos="180"/>
          <w:tab w:val="left" w:pos="720"/>
          <w:tab w:val="left" w:pos="1080"/>
        </w:tabs>
        <w:spacing w:line="240" w:lineRule="auto"/>
        <w:jc w:val="both"/>
        <w:rPr>
          <w:rFonts w:eastAsia="Calibri"/>
        </w:rPr>
      </w:pPr>
    </w:p>
    <w:p w14:paraId="2DCB44CE" w14:textId="77777777" w:rsidR="00695AE2" w:rsidRPr="00CB5050" w:rsidRDefault="00695AE2" w:rsidP="00695AE2">
      <w:pPr>
        <w:spacing w:line="240" w:lineRule="auto"/>
        <w:jc w:val="both"/>
        <w:rPr>
          <w:rFonts w:eastAsia="Calibri"/>
        </w:rPr>
      </w:pPr>
      <w:r w:rsidRPr="00CB5050">
        <w:rPr>
          <w:rFonts w:eastAsia="Calibri"/>
        </w:rPr>
        <w:t xml:space="preserve">Po določbi 17. člena ZUS-1 je stranka v upravnem sporu lahko poleg tožnika in toženca ter drugih oseb, če tako določa zakon, tudi </w:t>
      </w:r>
      <w:r w:rsidRPr="00CB5050">
        <w:rPr>
          <w:rFonts w:eastAsia="Calibri"/>
          <w:bCs/>
        </w:rPr>
        <w:t>zastopnik javnega interesa</w:t>
      </w:r>
      <w:r w:rsidRPr="00CB5050">
        <w:rPr>
          <w:rFonts w:eastAsia="Calibri"/>
        </w:rPr>
        <w:t xml:space="preserve">. Državno odvetništvo RS je zastopnik javnega interesa (prvi odstavek 18. člen ZUS-1), ko oceni obstoj kršitve zakona v škodo javnega interesa v posameznem primeru, kot stranka pa lahko vloži tožbo zoper upravni akt, na katerega se obstoj zatrjevane kršitve nanaša. Lahko pa Vlada RS Državnemu odvetništvu RS, ne glede na njegovo oceno, tudi odredi, da v posamezni zadevi vloži tožbo, če oceni, da je to potrebno zaradi zaščite javnega interesa. Državno odvetništvo RS je v tem primeru vezano na odredbo Vlade RS in tožbo zoper domnevno kršitev zakona v škodo javnega interesa mora vložiti. </w:t>
      </w:r>
    </w:p>
    <w:p w14:paraId="6A1B5944" w14:textId="77777777" w:rsidR="00695AE2" w:rsidRPr="00CB5050" w:rsidRDefault="00695AE2" w:rsidP="00695AE2">
      <w:pPr>
        <w:spacing w:line="240" w:lineRule="auto"/>
        <w:jc w:val="both"/>
        <w:rPr>
          <w:rFonts w:eastAsia="Calibri"/>
        </w:rPr>
      </w:pPr>
    </w:p>
    <w:p w14:paraId="363C7C04"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Veljavni zakon določa, da je treba vložiti tožbo v tridesetih dneh od vročitve upravnega akta, s katerim je bil postopek končan, oziroma v roku, ki velja za stranko, v korist katere je bil upravni akt izdan. Ker je Državno odvetništvo RS zastopnik javnega interesa na podlagi zakona, izdaja posebnega pooblastila Vlade RS, ki bi mu dodelila aktivno legitimacijo za vložitev tožbe, ni več potrebna. Kot zastopnik javnega interesa lahko Državno odvetništvo RS vloži tožbo vselej, kadar oceni, da je treba zaradi zatrjevane kršitve javnega interesa v nekem primeru izpodbijati upravni akt, s katerim je bilo v upravnem postopku dokončno odločeno o pravici oziroma koristi posameznika ali druge osebe. Cilj, ki se želi doseči s tožbo, je odprava upravnega akta oziroma sprememba upravnega akta, ki lahko glede na izkazani javni interes sorazmerno poseže v pravico oziroma pravno korist posameznika, o kateri je dokončno odločil upravni oziroma drug državni organ ali organ lokalne skupnosti. </w:t>
      </w:r>
    </w:p>
    <w:p w14:paraId="496E7806" w14:textId="77777777" w:rsidR="00695AE2" w:rsidRPr="00CB5050" w:rsidRDefault="00695AE2" w:rsidP="00695AE2">
      <w:pPr>
        <w:spacing w:line="240" w:lineRule="auto"/>
        <w:jc w:val="both"/>
        <w:rPr>
          <w:rFonts w:eastAsia="Calibri"/>
        </w:rPr>
      </w:pPr>
    </w:p>
    <w:p w14:paraId="2DFF5E77" w14:textId="77777777" w:rsidR="00695AE2" w:rsidRPr="00CB5050" w:rsidRDefault="00695AE2" w:rsidP="00695AE2">
      <w:pPr>
        <w:spacing w:line="240" w:lineRule="auto"/>
        <w:jc w:val="both"/>
        <w:rPr>
          <w:rFonts w:eastAsia="Calibri"/>
        </w:rPr>
      </w:pPr>
      <w:r w:rsidRPr="00CB5050">
        <w:rPr>
          <w:rFonts w:eastAsia="Calibri"/>
        </w:rPr>
        <w:t xml:space="preserve">Javni interes je vsebinsko sicer nedoločen pravni pojem. Praviloma ga mora opredeliti materialni zakon ali na njegovi podlagi izdan predpis. Opredeljen je kot splošna družbena korist, ki jo področni predpis opredeli kot tako. Pri tem velja navesti, da teorija in ZUP izraza javni interes in javna korist uporabljata kot sinonima. Kaj točno pomenita pojma javni interes oziroma javna korist, pa ZUP ne določa. Gre torej za nedoločen pravni pojem, ki ga je treba v posameznem primeru vsebinsko napolniti. Kljub temu pa je v 18. členu ZUP in v drugem odstavku 144. člena ZUP javni interes vendarle nekoliko opredeljen. ZUP v 144. členu govori o tako imenovanem skrajšanem postopku, ko gre za izdajo nujnih ukrepov v javnem interesu, </w:t>
      </w:r>
      <w:r w:rsidRPr="00CB5050">
        <w:rPr>
          <w:rFonts w:eastAsia="Calibri"/>
          <w:rtl/>
          <w:lang w:bidi="ar-YE"/>
        </w:rPr>
        <w:t>č</w:t>
      </w:r>
      <w:r w:rsidRPr="00CB5050">
        <w:rPr>
          <w:rFonts w:eastAsia="Calibri"/>
          <w:lang w:bidi="ar-YE"/>
        </w:rPr>
        <w:t>e gre za varovanje</w:t>
      </w:r>
      <w:r w:rsidRPr="00CB5050">
        <w:rPr>
          <w:rFonts w:eastAsia="Calibri"/>
          <w:rtl/>
          <w:lang w:bidi="ar-YE"/>
        </w:rPr>
        <w:t xml:space="preserve"> </w:t>
      </w:r>
      <w:r w:rsidRPr="00CB5050">
        <w:rPr>
          <w:rFonts w:eastAsia="Calibri"/>
          <w:lang w:bidi="ar-YE"/>
        </w:rPr>
        <w:t>življenja, zdravja ljudi, javnega reda in miru, javne varnosti in premoženja ve</w:t>
      </w:r>
      <w:r w:rsidRPr="00CB5050">
        <w:rPr>
          <w:rFonts w:eastAsia="Calibri"/>
          <w:rtl/>
          <w:lang w:bidi="ar-YE"/>
        </w:rPr>
        <w:t>č</w:t>
      </w:r>
      <w:r w:rsidRPr="00CB5050">
        <w:rPr>
          <w:rFonts w:eastAsia="Calibri"/>
          <w:lang w:bidi="ar-YE"/>
        </w:rPr>
        <w:t>je vrednosti</w:t>
      </w:r>
      <w:r w:rsidRPr="00CB5050">
        <w:rPr>
          <w:rFonts w:eastAsia="Calibri"/>
        </w:rPr>
        <w:t xml:space="preserve">. Tretji odstavek 18. člena ZUP pa navaja naslednje </w:t>
      </w:r>
      <w:r w:rsidRPr="00CB5050">
        <w:rPr>
          <w:rFonts w:eastAsia="Calibri"/>
          <w:bCs/>
        </w:rPr>
        <w:t>zavarovane skupine: življenje in zdravje ljudi, naravno oziroma življenjsko okolje ali premoženje.</w:t>
      </w:r>
      <w:r w:rsidRPr="00CB5050">
        <w:rPr>
          <w:rFonts w:eastAsia="Calibri"/>
        </w:rPr>
        <w:t xml:space="preserve"> Glede posebnih upravnih postopkov velja, da naj bi področni predpisi določili, kaj v teh postopkih šteje za javno korist, kar nekateri področni predpisi tudi urejajo. </w:t>
      </w:r>
    </w:p>
    <w:p w14:paraId="38D7BE5E" w14:textId="77777777" w:rsidR="00695AE2" w:rsidRPr="00CB5050" w:rsidRDefault="00695AE2" w:rsidP="00695AE2">
      <w:pPr>
        <w:spacing w:line="240" w:lineRule="auto"/>
        <w:jc w:val="both"/>
        <w:rPr>
          <w:rFonts w:eastAsia="Calibri"/>
          <w:lang w:eastAsia="sl-SI"/>
        </w:rPr>
      </w:pPr>
    </w:p>
    <w:p w14:paraId="47AEEC66"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V posamezni upravni zadevi oziroma posameznem upravnem aktu, ki ga izpodbija tožnik kot zastopnik javnega interesa, je vselej dokončno odločeno o neki pravici ali pravni koristi posameznika. Domnevna kršitev zakona v škodo javne koristi je lahko le stvarna oziroma mora biti utemeljena s stvarno javno koristjo, ki je opredeljena v splošnem aktu pristojnega državnega organa. Le sodišče pa lahko odloči o zatrjevani nezakonitosti in razreši spor o koliziji pravice posameznika na eni strani in o (na zakon oprti) javni koristi, ki posega v pravni interes oziroma pravico posameznika, o kateri je v upravnem postopku že dokončno odločeno, na drugi strani. Tudi sodišče presoja kršitev zakona v škodo javnega interesa glede na vsak posamezen primer. </w:t>
      </w:r>
    </w:p>
    <w:p w14:paraId="1CAFCD23" w14:textId="77777777" w:rsidR="00695AE2" w:rsidRPr="00CB5050" w:rsidRDefault="00695AE2" w:rsidP="00695AE2">
      <w:pPr>
        <w:spacing w:line="240" w:lineRule="auto"/>
        <w:jc w:val="both"/>
        <w:rPr>
          <w:rFonts w:eastAsia="Calibri"/>
          <w:lang w:eastAsia="sl-SI"/>
        </w:rPr>
      </w:pPr>
    </w:p>
    <w:p w14:paraId="1F5D8784" w14:textId="77777777" w:rsidR="00695AE2" w:rsidRPr="00CB5050" w:rsidRDefault="00695AE2" w:rsidP="00695AE2">
      <w:pPr>
        <w:spacing w:line="240" w:lineRule="auto"/>
        <w:jc w:val="both"/>
        <w:rPr>
          <w:rFonts w:eastAsia="Calibri"/>
        </w:rPr>
      </w:pPr>
      <w:r w:rsidRPr="00CB5050">
        <w:rPr>
          <w:rFonts w:eastAsia="Calibri"/>
        </w:rPr>
        <w:lastRenderedPageBreak/>
        <w:t xml:space="preserve">Javni interes je torej državni ali družbeni interes; izrazi, ki se običajno uporabljajo v političnih razpravah, v finančni in gospodarski politiki, kadar je namen označiti koristi in prednosti skupnosti kot celote, drugače od zasebnega interesa. Ima politično, etično in čustveno konotacijo. Vprašanje je, ali so zasebni interesi v nasprotju (v sporu) z družbenimi interesi. Zasebni interes je lahko tudi del javnega interesa, ni pa to nujno. Krog zasebnosti ni nujno sestavni del kroga javnosti. Kot že navedeno, zakon ne opredeljuje, kaj je javni interes, zato njegovo vsebino ugotavlja in presoja sodišče ob upoštevanju vseh okoliščin vsakokratnega primera in tehtanju obeh konkurenčnih si pravic. </w:t>
      </w:r>
    </w:p>
    <w:p w14:paraId="62249796" w14:textId="77777777" w:rsidR="00695AE2" w:rsidRPr="00CB5050" w:rsidRDefault="00695AE2" w:rsidP="00695AE2">
      <w:pPr>
        <w:spacing w:line="240" w:lineRule="auto"/>
        <w:jc w:val="both"/>
        <w:rPr>
          <w:rFonts w:eastAsia="Calibri"/>
          <w:lang w:eastAsia="sl-SI"/>
        </w:rPr>
      </w:pPr>
    </w:p>
    <w:p w14:paraId="30D83E05"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Ustava RS v 157. členu ureja subjektivni upravni spor. V skladu z navedeno ustavno določbo ZUS-1 zagotavlja sodno varstvo pravic in pravnih koristi posameznika in organizacij proti meritornim odločitvam, s katerimi se posega v njihov pravni položaj, ter proti aktom in dejanjem organov, če se z njimi posega v človekove pravice in svoboščine ter ni zagotovljeno drugo sodno varstvo. Zato je institut zastopnika javnega interesa, ki ga ureja zakon, treba razumeti kot izjemo oziroma korektiv, ki v primeru ugotovljene kršitve zakona v škodo javnega interesa zagotovi varstvo objektivne zakonitosti. </w:t>
      </w:r>
    </w:p>
    <w:p w14:paraId="72D00833" w14:textId="77777777" w:rsidR="00695AE2" w:rsidRPr="00CB5050" w:rsidRDefault="00695AE2" w:rsidP="00695AE2">
      <w:pPr>
        <w:spacing w:line="240" w:lineRule="auto"/>
        <w:jc w:val="both"/>
        <w:rPr>
          <w:rFonts w:eastAsia="Calibri"/>
          <w:lang w:eastAsia="sl-SI"/>
        </w:rPr>
      </w:pPr>
    </w:p>
    <w:p w14:paraId="31D78A2F"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Ob analizi veljavne ureditve upravnega spora je ugotovljeno, da pri ureditvi zastopnika javnega interesa ne gre za škodljivo nasprotje interesov državnega organa, temveč za nasprotje interesov med pravico posameznika, o kateri je v upravnem postopku dokončno odločil pristojni organ, in javnim interesom v tej zadevi. Zastopnik javnega interesa v vlogi tožeče stranke s tožbo izpodbija dokončni upravni akt, s katerim je bilo stranki ugodeno, in s tem zaradi zaščite na zakon oprtega in močnejšega javnega interesa posega v pričakovano pravico oziroma pravni interes posameznika ali pravne osebe oziroma organizacije, o kateri je pristojni organ vodil upravni postopek, ugotavljal pravno odločilna dejstva in v zadevi meritorno odločil, tako da je ugodil temu zahtevku stranke. </w:t>
      </w:r>
    </w:p>
    <w:bookmarkEnd w:id="982"/>
    <w:p w14:paraId="34DCF814" w14:textId="77777777" w:rsidR="00695AE2" w:rsidRPr="00CB5050" w:rsidRDefault="00695AE2" w:rsidP="00695AE2">
      <w:pPr>
        <w:spacing w:line="240" w:lineRule="auto"/>
        <w:jc w:val="both"/>
        <w:rPr>
          <w:rFonts w:eastAsia="Calibri"/>
          <w:lang w:eastAsia="sl-SI"/>
        </w:rPr>
      </w:pPr>
    </w:p>
    <w:p w14:paraId="1C25EA4A" w14:textId="77777777" w:rsidR="00695AE2" w:rsidRPr="00CB5050" w:rsidRDefault="00695AE2" w:rsidP="00695AE2">
      <w:pPr>
        <w:pStyle w:val="Naslov4"/>
        <w:rPr>
          <w:rFonts w:eastAsia="Calibri"/>
          <w:lang w:eastAsia="sl-SI"/>
        </w:rPr>
      </w:pPr>
      <w:bookmarkStart w:id="983" w:name="_Toc95149819"/>
      <w:bookmarkStart w:id="984" w:name="_Toc168845055"/>
      <w:bookmarkStart w:id="985" w:name="_Toc191562051"/>
      <w:bookmarkStart w:id="986" w:name="_Toc223094054"/>
      <w:r w:rsidRPr="00CB5050">
        <w:rPr>
          <w:rFonts w:eastAsia="Calibri"/>
          <w:lang w:eastAsia="sl-SI"/>
        </w:rPr>
        <w:t>Druge pristojnosti</w:t>
      </w:r>
      <w:bookmarkEnd w:id="983"/>
      <w:bookmarkEnd w:id="984"/>
      <w:bookmarkEnd w:id="985"/>
      <w:bookmarkEnd w:id="986"/>
    </w:p>
    <w:p w14:paraId="7599D63F" w14:textId="77777777" w:rsidR="00695AE2" w:rsidRPr="00CB5050" w:rsidRDefault="00695AE2" w:rsidP="00695AE2">
      <w:pPr>
        <w:spacing w:line="240" w:lineRule="auto"/>
        <w:rPr>
          <w:rFonts w:eastAsia="Calibri"/>
          <w:lang w:eastAsia="sl-SI"/>
        </w:rPr>
      </w:pPr>
    </w:p>
    <w:p w14:paraId="29BD2606" w14:textId="77777777" w:rsidR="00695AE2" w:rsidRPr="003702AE" w:rsidRDefault="00695AE2" w:rsidP="00695AE2">
      <w:pPr>
        <w:pStyle w:val="Naslov5"/>
      </w:pPr>
      <w:bookmarkStart w:id="987" w:name="_Toc95149820"/>
      <w:bookmarkStart w:id="988" w:name="_Toc168845056"/>
      <w:bookmarkStart w:id="989" w:name="_Toc191562052"/>
      <w:bookmarkStart w:id="990" w:name="_Toc223094055"/>
      <w:r w:rsidRPr="003702AE">
        <w:rPr>
          <w:rFonts w:eastAsia="Calibri"/>
        </w:rPr>
        <w:t>Pristojnosti po Zakonu o ugotavljanju vzajemnosti</w:t>
      </w:r>
      <w:bookmarkEnd w:id="987"/>
      <w:bookmarkEnd w:id="988"/>
      <w:bookmarkEnd w:id="989"/>
      <w:bookmarkEnd w:id="990"/>
      <w:r w:rsidRPr="003702AE">
        <w:rPr>
          <w:rFonts w:eastAsia="Calibri"/>
        </w:rPr>
        <w:t xml:space="preserve"> </w:t>
      </w:r>
    </w:p>
    <w:p w14:paraId="586886D3" w14:textId="77777777" w:rsidR="00695AE2" w:rsidRPr="00CB5050" w:rsidRDefault="00695AE2" w:rsidP="00695AE2">
      <w:pPr>
        <w:spacing w:line="240" w:lineRule="auto"/>
        <w:rPr>
          <w:rFonts w:eastAsia="Calibri"/>
          <w:lang w:eastAsia="sl-SI"/>
        </w:rPr>
      </w:pPr>
    </w:p>
    <w:p w14:paraId="3D0933E7"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Ministrstvo za pravosodje na podlagi Zakona o ugotavljanju vzajemnosti (ZUVza-1) in Zakona o pogojih za pridobitev lastninske pravice fizičnih in pravnih oseb držav kandidatk za članstvo v Evropski uniji na nepremičninah (ZPPLPKEU) ugotavlja obstoj materialne vzajemnosti za pridobitev lastninske pravice na določenih nepremičninah tujih fizičnih in pravnih oseb držav kandidatk za članstvo v EU. Formalno pravico do pridobivanja lastninske pravice na nepremičninah na ozemlju Republike Slovenije na podlagi ZPPLPKEU imajo torej državljani in pravne osebe držav kandidatk za članstvo v Evropski uniji, pod pogojem obstoja vzajemnosti, ki se ugotavlja na podlagi vloge stranke v skladu z ZUVza-1. </w:t>
      </w:r>
    </w:p>
    <w:p w14:paraId="25190A4C" w14:textId="77777777" w:rsidR="00695AE2" w:rsidRPr="00CB5050" w:rsidRDefault="00695AE2" w:rsidP="00695AE2">
      <w:pPr>
        <w:spacing w:line="240" w:lineRule="auto"/>
        <w:jc w:val="both"/>
        <w:rPr>
          <w:rFonts w:eastAsia="Calibri"/>
          <w:lang w:eastAsia="sl-SI"/>
        </w:rPr>
      </w:pPr>
    </w:p>
    <w:p w14:paraId="4CACD63B" w14:textId="77777777" w:rsidR="00695AE2" w:rsidRPr="00CB5050" w:rsidRDefault="00695AE2" w:rsidP="00695AE2">
      <w:pPr>
        <w:spacing w:line="240" w:lineRule="auto"/>
        <w:jc w:val="both"/>
        <w:rPr>
          <w:rFonts w:eastAsia="Calibri"/>
          <w:lang w:eastAsia="sl-SI"/>
        </w:rPr>
      </w:pPr>
      <w:r w:rsidRPr="00CB5050">
        <w:rPr>
          <w:rFonts w:eastAsia="Calibri"/>
          <w:lang w:eastAsia="sl-SI"/>
        </w:rPr>
        <w:t>Državnemu odvetništvu RS se odločbe vročajo kot zastopniku javnega interesa na podlagi sklepa Vlade RS št. 7000-2/2007/5 z dne 5. 4. 2007.</w:t>
      </w:r>
    </w:p>
    <w:p w14:paraId="1DA3805C" w14:textId="77777777" w:rsidR="00695AE2" w:rsidRPr="00CB5050" w:rsidRDefault="00695AE2" w:rsidP="00695AE2">
      <w:pPr>
        <w:spacing w:line="240" w:lineRule="auto"/>
        <w:jc w:val="both"/>
        <w:rPr>
          <w:rFonts w:eastAsia="Calibri"/>
          <w:lang w:eastAsia="sl-SI"/>
        </w:rPr>
      </w:pPr>
    </w:p>
    <w:p w14:paraId="2480049E"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prejelo 1.100 </w:t>
      </w:r>
      <w:r w:rsidRPr="00CB5050">
        <w:rPr>
          <w:rFonts w:eastAsia="Calibri"/>
          <w:szCs w:val="22"/>
          <w:lang w:eastAsia="sl-SI"/>
        </w:rPr>
        <w:t>odločb, izdanih v postopkih ugotavljanja vzajemnosti</w:t>
      </w:r>
      <w:r w:rsidRPr="00CB5050">
        <w:rPr>
          <w:rFonts w:eastAsia="Calibri"/>
          <w:szCs w:val="22"/>
        </w:rPr>
        <w:t>.</w:t>
      </w:r>
    </w:p>
    <w:p w14:paraId="5E3DE7E8" w14:textId="77777777" w:rsidR="00695AE2" w:rsidRPr="00CB5050" w:rsidRDefault="00695AE2" w:rsidP="00695AE2">
      <w:pPr>
        <w:spacing w:line="240" w:lineRule="auto"/>
        <w:jc w:val="both"/>
        <w:rPr>
          <w:rFonts w:eastAsia="Calibri"/>
          <w:szCs w:val="22"/>
        </w:rPr>
      </w:pPr>
    </w:p>
    <w:p w14:paraId="07F68634" w14:textId="77777777" w:rsidR="00695AE2" w:rsidRPr="00CB5050" w:rsidRDefault="00695AE2" w:rsidP="00695AE2">
      <w:pPr>
        <w:pStyle w:val="Naslov5"/>
        <w:rPr>
          <w:lang w:eastAsia="sl-SI"/>
        </w:rPr>
      </w:pPr>
      <w:bookmarkStart w:id="991" w:name="_Toc95149821"/>
      <w:bookmarkStart w:id="992" w:name="_Toc168845057"/>
      <w:bookmarkStart w:id="993" w:name="_Toc191562053"/>
      <w:bookmarkStart w:id="994" w:name="_Toc223094056"/>
      <w:r w:rsidRPr="00CB5050">
        <w:rPr>
          <w:lang w:eastAsia="sl-SI"/>
        </w:rPr>
        <w:lastRenderedPageBreak/>
        <w:t>Pristojnost po Zakonu o brezplačni pravni pomoči</w:t>
      </w:r>
      <w:bookmarkEnd w:id="991"/>
      <w:bookmarkEnd w:id="992"/>
      <w:bookmarkEnd w:id="993"/>
      <w:bookmarkEnd w:id="994"/>
      <w:r w:rsidRPr="00CB5050">
        <w:rPr>
          <w:lang w:eastAsia="sl-SI"/>
        </w:rPr>
        <w:t xml:space="preserve"> </w:t>
      </w:r>
    </w:p>
    <w:p w14:paraId="178720FB" w14:textId="77777777" w:rsidR="00695AE2" w:rsidRPr="00CB5050" w:rsidRDefault="00695AE2" w:rsidP="00695AE2">
      <w:pPr>
        <w:spacing w:line="240" w:lineRule="auto"/>
        <w:jc w:val="both"/>
        <w:rPr>
          <w:rFonts w:eastAsia="Calibri"/>
          <w:color w:val="7030A0"/>
        </w:rPr>
      </w:pPr>
    </w:p>
    <w:p w14:paraId="3608F77B" w14:textId="77777777" w:rsidR="00695AE2" w:rsidRPr="00CB5050" w:rsidRDefault="00695AE2" w:rsidP="00695AE2">
      <w:pPr>
        <w:spacing w:line="240" w:lineRule="auto"/>
        <w:jc w:val="both"/>
        <w:rPr>
          <w:rFonts w:eastAsia="Calibri"/>
        </w:rPr>
      </w:pPr>
      <w:r w:rsidRPr="00CB5050">
        <w:rPr>
          <w:rFonts w:eastAsia="Calibri"/>
        </w:rPr>
        <w:t xml:space="preserve">Pristojnosti Državnega odvetništva RS določa tudi </w:t>
      </w:r>
      <w:r w:rsidRPr="00CB5050">
        <w:rPr>
          <w:rFonts w:eastAsia="Calibri"/>
          <w:bCs/>
        </w:rPr>
        <w:t>Zakon o brezplačni pravni pomoči</w:t>
      </w:r>
      <w:r w:rsidRPr="00CB5050">
        <w:rPr>
          <w:rFonts w:eastAsia="Calibri"/>
          <w:b/>
        </w:rPr>
        <w:t xml:space="preserve"> </w:t>
      </w:r>
      <w:r w:rsidRPr="00CB5050">
        <w:rPr>
          <w:rFonts w:eastAsia="Calibri"/>
        </w:rPr>
        <w:t xml:space="preserve">(ZBPP-C). </w:t>
      </w:r>
      <w:r w:rsidRPr="00CB5050">
        <w:rPr>
          <w:rFonts w:eastAsia="Calibri" w:cs="Times New Roman"/>
          <w:color w:val="000000"/>
        </w:rPr>
        <w:t xml:space="preserve">Državnemu odvetništvu RS je v ZBPP podeljena institucionalna pristojnost za izpodbijanje odločb glede dodeljevanja brezplačne pravne pomoči (v </w:t>
      </w:r>
      <w:r w:rsidRPr="00CB5050">
        <w:rPr>
          <w:rFonts w:eastAsia="Calibri" w:cs="Times New Roman"/>
          <w:iCs/>
          <w:color w:val="000000"/>
        </w:rPr>
        <w:t xml:space="preserve">nadaljevanju BPP) </w:t>
      </w:r>
      <w:r w:rsidRPr="00CB5050">
        <w:rPr>
          <w:rFonts w:eastAsia="Calibri"/>
        </w:rPr>
        <w:t xml:space="preserve">s tožbo v upravnem sporu. </w:t>
      </w:r>
      <w:r w:rsidRPr="00CB5050">
        <w:rPr>
          <w:rFonts w:eastAsia="Calibri" w:cs="Times New Roman"/>
          <w:iCs/>
          <w:color w:val="000000"/>
        </w:rPr>
        <w:t>To je tudi razlog, da s</w:t>
      </w:r>
      <w:r w:rsidRPr="00CB5050">
        <w:rPr>
          <w:rFonts w:eastAsia="Calibri"/>
        </w:rPr>
        <w:t xml:space="preserve">odišča zaradi varstva zakonitosti in proračunskih sredstev Državnemu odvetništvu RS vročajo odločbe o dodelitvi brezplačne pravne pomoči. </w:t>
      </w:r>
    </w:p>
    <w:p w14:paraId="110AE94D" w14:textId="77777777" w:rsidR="00695AE2" w:rsidRPr="00CB5050" w:rsidRDefault="00695AE2" w:rsidP="00695AE2">
      <w:pPr>
        <w:spacing w:line="240" w:lineRule="auto"/>
        <w:jc w:val="both"/>
        <w:rPr>
          <w:rFonts w:eastAsia="Calibri"/>
        </w:rPr>
      </w:pPr>
    </w:p>
    <w:p w14:paraId="6AA4EA9D"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 xml:space="preserve">Državnemu odvetništvu RS je bilo v letu 2025 vročenih 17.124 odločb, s katerimi je bilo odločeno o zahtevkih za dodelitev brezplačne pravne pomoči. </w:t>
      </w:r>
    </w:p>
    <w:p w14:paraId="53C9795A" w14:textId="77777777" w:rsidR="00695AE2" w:rsidRPr="00CB5050" w:rsidRDefault="00695AE2" w:rsidP="00695AE2">
      <w:pPr>
        <w:spacing w:line="240" w:lineRule="auto"/>
        <w:jc w:val="both"/>
        <w:rPr>
          <w:rFonts w:eastAsia="Calibri"/>
        </w:rPr>
      </w:pPr>
    </w:p>
    <w:p w14:paraId="7341563F" w14:textId="77777777" w:rsidR="00695AE2" w:rsidRPr="00CB5050" w:rsidRDefault="00695AE2" w:rsidP="00695AE2">
      <w:pPr>
        <w:spacing w:line="240" w:lineRule="auto"/>
        <w:jc w:val="both"/>
        <w:rPr>
          <w:rFonts w:eastAsia="Calibri"/>
        </w:rPr>
      </w:pPr>
      <w:r w:rsidRPr="00CB5050">
        <w:rPr>
          <w:rFonts w:eastAsia="Calibri"/>
        </w:rPr>
        <w:t xml:space="preserve">V letu 2025 je Državno odvetništvo RS zoper odločbo o dodelitvi brezplačne pravne pomoči vložilo 15 tožb na Upravno sodišče RS. </w:t>
      </w:r>
    </w:p>
    <w:p w14:paraId="2C96A5F3" w14:textId="77777777" w:rsidR="00695AE2" w:rsidRPr="00CB5050" w:rsidRDefault="00695AE2" w:rsidP="00695AE2">
      <w:pPr>
        <w:spacing w:line="240" w:lineRule="auto"/>
        <w:jc w:val="both"/>
        <w:rPr>
          <w:rFonts w:eastAsia="Calibri"/>
        </w:rPr>
      </w:pPr>
    </w:p>
    <w:p w14:paraId="2A6926E2" w14:textId="77777777" w:rsidR="00695AE2" w:rsidRPr="00CB5050" w:rsidRDefault="00695AE2" w:rsidP="00695AE2">
      <w:pPr>
        <w:pStyle w:val="Naslov5"/>
        <w:rPr>
          <w:lang w:eastAsia="sl-SI"/>
        </w:rPr>
      </w:pPr>
      <w:bookmarkStart w:id="995" w:name="_Toc168845059"/>
      <w:bookmarkStart w:id="996" w:name="_Toc191562054"/>
      <w:bookmarkStart w:id="997" w:name="_Toc223094057"/>
      <w:r w:rsidRPr="00CB5050">
        <w:rPr>
          <w:rFonts w:eastAsia="Calibri"/>
          <w:lang w:eastAsia="sl-SI"/>
        </w:rPr>
        <w:t xml:space="preserve">Pristojnost Državnega odvetništva RS po </w:t>
      </w:r>
      <w:r w:rsidRPr="00CB5050">
        <w:t>Zakonu o tujcih</w:t>
      </w:r>
      <w:bookmarkEnd w:id="995"/>
      <w:bookmarkEnd w:id="996"/>
      <w:bookmarkEnd w:id="997"/>
      <w:r w:rsidRPr="00CB5050">
        <w:rPr>
          <w:lang w:eastAsia="sl-SI"/>
        </w:rPr>
        <w:t xml:space="preserve"> </w:t>
      </w:r>
    </w:p>
    <w:p w14:paraId="1F056A25" w14:textId="77777777" w:rsidR="00695AE2" w:rsidRPr="00CB5050" w:rsidRDefault="00695AE2" w:rsidP="00695AE2">
      <w:pPr>
        <w:spacing w:line="240" w:lineRule="auto"/>
        <w:jc w:val="both"/>
        <w:rPr>
          <w:rFonts w:eastAsia="Calibri"/>
        </w:rPr>
      </w:pPr>
    </w:p>
    <w:p w14:paraId="2DC5D034" w14:textId="77777777" w:rsidR="00695AE2" w:rsidRPr="00CB5050" w:rsidRDefault="00695AE2" w:rsidP="00695AE2">
      <w:pPr>
        <w:shd w:val="clear" w:color="auto" w:fill="FFFFFF"/>
        <w:spacing w:line="240" w:lineRule="auto"/>
        <w:jc w:val="both"/>
        <w:rPr>
          <w:rFonts w:eastAsia="Times New Roman"/>
          <w:color w:val="000000"/>
          <w:lang w:eastAsia="sl-SI"/>
        </w:rPr>
      </w:pPr>
      <w:r w:rsidRPr="00CB5050">
        <w:rPr>
          <w:rFonts w:eastAsia="Calibri"/>
        </w:rPr>
        <w:t xml:space="preserve">V letu 2021 je bil sprejet </w:t>
      </w:r>
      <w:r w:rsidRPr="00CB5050">
        <w:rPr>
          <w:rFonts w:eastAsia="Calibri"/>
          <w:bCs/>
        </w:rPr>
        <w:t>Zakon o spremembah in dopolnitvah Zakona o tujcih  (ZTuj-2; Uradni list RS, št. 46/25 - uradno prečiščeno besedilo),</w:t>
      </w:r>
      <w:r w:rsidRPr="00CB5050">
        <w:rPr>
          <w:rFonts w:eastAsia="Calibri"/>
          <w:bCs/>
          <w:szCs w:val="22"/>
        </w:rPr>
        <w:t xml:space="preserve"> </w:t>
      </w:r>
      <w:r w:rsidRPr="00CB5050">
        <w:rPr>
          <w:rFonts w:eastAsia="Times New Roman"/>
          <w:bCs/>
          <w:lang w:eastAsia="sl-SI"/>
        </w:rPr>
        <w:t>ki se je začel uporabljati 27. 5. 2021 in je pomembno vplival na izvajanje nalog in pristojnosti Državnega odvetništva RS.</w:t>
      </w:r>
      <w:r w:rsidRPr="00CB5050">
        <w:rPr>
          <w:rFonts w:eastAsia="Times New Roman"/>
          <w:color w:val="000000"/>
          <w:lang w:eastAsia="sl-SI"/>
        </w:rPr>
        <w:t xml:space="preserve"> </w:t>
      </w:r>
    </w:p>
    <w:p w14:paraId="18D12EAA" w14:textId="77777777" w:rsidR="00695AE2" w:rsidRPr="00CB5050" w:rsidRDefault="00695AE2" w:rsidP="00695AE2">
      <w:pPr>
        <w:spacing w:line="240" w:lineRule="auto"/>
        <w:jc w:val="both"/>
        <w:rPr>
          <w:rFonts w:eastAsia="Times New Roman"/>
          <w:bCs/>
          <w:lang w:eastAsia="sl-SI"/>
        </w:rPr>
      </w:pPr>
    </w:p>
    <w:p w14:paraId="2BF7E615"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ima zakonsko pristojnost zastopanja Ministrstva za notranje zadeve (kot tožene stranke) v upravnem sporu po vloženi tožbi zoper odločbe in sklepe, ki jih izdaja policija v postopkih s tujci za omejitve oziroma podaljšanje omejitve gibanja, v zvezi z ukrepi, sprejetimi glede bivanja v centrih za tujce.   </w:t>
      </w:r>
    </w:p>
    <w:p w14:paraId="6042818D" w14:textId="77777777" w:rsidR="00695AE2" w:rsidRPr="00CB5050" w:rsidRDefault="00695AE2" w:rsidP="00695AE2">
      <w:pPr>
        <w:spacing w:line="240" w:lineRule="auto"/>
        <w:jc w:val="both"/>
        <w:rPr>
          <w:rFonts w:eastAsia="Times New Roman"/>
          <w:bCs/>
          <w:lang w:eastAsia="sl-SI"/>
        </w:rPr>
      </w:pPr>
    </w:p>
    <w:p w14:paraId="7270FAD3"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Gre za postopke, povezane s tujci, ki so na ozemlju Republike Slovenije nezakonito, pa jih ni mogoče odstraniti iz katerega koli razloga, in sicer v zvezi: </w:t>
      </w:r>
    </w:p>
    <w:p w14:paraId="73537379" w14:textId="77777777" w:rsidR="00695AE2" w:rsidRPr="00CB5050" w:rsidRDefault="00695AE2" w:rsidP="00695AE2">
      <w:pPr>
        <w:numPr>
          <w:ilvl w:val="0"/>
          <w:numId w:val="120"/>
        </w:numPr>
        <w:spacing w:after="160" w:line="240" w:lineRule="auto"/>
        <w:jc w:val="both"/>
        <w:rPr>
          <w:rFonts w:eastAsia="Times New Roman"/>
          <w:bCs/>
          <w:lang w:eastAsia="sl-SI"/>
        </w:rPr>
      </w:pPr>
      <w:r w:rsidRPr="00CB5050">
        <w:rPr>
          <w:rFonts w:eastAsia="Times New Roman"/>
          <w:bCs/>
          <w:lang w:eastAsia="sl-SI"/>
        </w:rPr>
        <w:t xml:space="preserve">z njihovo omejitvijo gibanja, </w:t>
      </w:r>
    </w:p>
    <w:p w14:paraId="6381EEDA" w14:textId="77777777" w:rsidR="00695AE2" w:rsidRPr="00CB5050" w:rsidRDefault="00695AE2" w:rsidP="00695AE2">
      <w:pPr>
        <w:numPr>
          <w:ilvl w:val="0"/>
          <w:numId w:val="120"/>
        </w:numPr>
        <w:spacing w:after="160" w:line="240" w:lineRule="auto"/>
        <w:jc w:val="both"/>
        <w:rPr>
          <w:rFonts w:eastAsia="Times New Roman"/>
          <w:bCs/>
          <w:lang w:eastAsia="sl-SI"/>
        </w:rPr>
      </w:pPr>
      <w:r w:rsidRPr="00CB5050">
        <w:rPr>
          <w:rFonts w:eastAsia="Times New Roman"/>
          <w:bCs/>
          <w:lang w:eastAsia="sl-SI"/>
        </w:rPr>
        <w:t xml:space="preserve">s podaljšanjem omejitve gibanja, </w:t>
      </w:r>
    </w:p>
    <w:p w14:paraId="0AB511D1" w14:textId="77777777" w:rsidR="00695AE2" w:rsidRPr="00CB5050" w:rsidRDefault="00695AE2" w:rsidP="00695AE2">
      <w:pPr>
        <w:numPr>
          <w:ilvl w:val="0"/>
          <w:numId w:val="120"/>
        </w:numPr>
        <w:spacing w:after="160" w:line="240" w:lineRule="auto"/>
        <w:jc w:val="both"/>
        <w:rPr>
          <w:rFonts w:eastAsia="Times New Roman"/>
          <w:bCs/>
          <w:lang w:eastAsia="sl-SI"/>
        </w:rPr>
      </w:pPr>
      <w:r w:rsidRPr="00CB5050">
        <w:rPr>
          <w:rFonts w:eastAsia="Times New Roman"/>
          <w:bCs/>
          <w:lang w:eastAsia="sl-SI"/>
        </w:rPr>
        <w:t xml:space="preserve">s preizkusom utemeljenosti omejitve gibanja v centru, </w:t>
      </w:r>
    </w:p>
    <w:p w14:paraId="5F7932A0" w14:textId="77777777" w:rsidR="00695AE2" w:rsidRPr="00CB5050" w:rsidRDefault="00695AE2" w:rsidP="00695AE2">
      <w:pPr>
        <w:numPr>
          <w:ilvl w:val="0"/>
          <w:numId w:val="120"/>
        </w:numPr>
        <w:spacing w:after="160" w:line="240" w:lineRule="auto"/>
        <w:jc w:val="both"/>
        <w:rPr>
          <w:rFonts w:eastAsia="Times New Roman"/>
          <w:bCs/>
          <w:lang w:eastAsia="sl-SI"/>
        </w:rPr>
      </w:pPr>
      <w:r w:rsidRPr="00CB5050">
        <w:rPr>
          <w:rFonts w:eastAsia="Times New Roman"/>
          <w:bCs/>
          <w:lang w:eastAsia="sl-SI"/>
        </w:rPr>
        <w:t xml:space="preserve">z dovolitvijo zadrževanja ter kršitvijo pravil bivanja v centru,  </w:t>
      </w:r>
    </w:p>
    <w:p w14:paraId="47980AB4"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ter policija po uradni dolžnosti sproži postopek, ko ugotovi, da obstaja razlog za njegovo uvedbo. </w:t>
      </w:r>
    </w:p>
    <w:p w14:paraId="2EDF686B" w14:textId="77777777" w:rsidR="00695AE2" w:rsidRPr="00CB5050" w:rsidRDefault="00695AE2" w:rsidP="00695AE2">
      <w:pPr>
        <w:spacing w:line="240" w:lineRule="auto"/>
        <w:jc w:val="both"/>
        <w:rPr>
          <w:rFonts w:eastAsia="Times New Roman"/>
          <w:bCs/>
          <w:lang w:eastAsia="sl-SI"/>
        </w:rPr>
      </w:pPr>
    </w:p>
    <w:p w14:paraId="4BB5A038"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Roki v teh postopkih so zelo kratki, to pa zato, ker se tako lahko osebam omeji gibanje in gre za podobno stanje, kot je pripor. Sprememba je tudi v tem, da je bil prej predviden pritožbeni postopek, pri čemer je bila Pravna služba Ministrstva za notranje zadeve drugostopenjski organ in je velikokrat že sama sanirala nepravilnosti postopka, tako da je zadeve vračala v ponovno odločanje na prvo stopnjo, z novo zakonsko ureditvijo pa se je pritožbeni postopek ukinil in je predviden neposredni upravni spor. Ker nova zakonodaja prinaša izjemno kratke roke, je zelo pomembno dobro in učinkovito sodelovanje s policijo, predvsem v smislu njihovega hitrega odzivanja ter dostave informacij oziroma dokumentacije ministrstvu. </w:t>
      </w:r>
      <w:r w:rsidRPr="00CB5050">
        <w:rPr>
          <w:rFonts w:eastAsia="Calibri"/>
          <w:szCs w:val="22"/>
        </w:rPr>
        <w:t xml:space="preserve">Upravno sodišče RS namreč dodeli Državnemu odvetništvu RS izredno kratek rok (do 3 dni) za pošiljanje dokumentacije in odgovora na tožbo. </w:t>
      </w:r>
    </w:p>
    <w:p w14:paraId="11D06BE6" w14:textId="77777777" w:rsidR="00695AE2" w:rsidRPr="00CB5050" w:rsidRDefault="00695AE2" w:rsidP="00695AE2">
      <w:pPr>
        <w:spacing w:line="240" w:lineRule="auto"/>
        <w:jc w:val="both"/>
        <w:rPr>
          <w:rFonts w:eastAsia="Times New Roman"/>
          <w:lang w:eastAsia="sl-SI"/>
        </w:rPr>
      </w:pPr>
    </w:p>
    <w:p w14:paraId="03C80B15"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lastRenderedPageBreak/>
        <w:t>Državno odvetništvo RS je v letu 2025 prejelo v delo 15 zadev po ZTuj-2.</w:t>
      </w:r>
    </w:p>
    <w:p w14:paraId="2C5DE4C5" w14:textId="77777777" w:rsidR="00695AE2" w:rsidRPr="00CB5050" w:rsidRDefault="00695AE2" w:rsidP="00695AE2">
      <w:pPr>
        <w:spacing w:line="240" w:lineRule="auto"/>
        <w:jc w:val="both"/>
        <w:rPr>
          <w:rFonts w:eastAsia="Times New Roman"/>
          <w:lang w:eastAsia="sl-SI"/>
        </w:rPr>
      </w:pPr>
    </w:p>
    <w:p w14:paraId="291E1FA0" w14:textId="77777777" w:rsidR="00695AE2" w:rsidRPr="00CB5050" w:rsidRDefault="00695AE2" w:rsidP="00695AE2">
      <w:pPr>
        <w:pStyle w:val="Naslov5"/>
        <w:rPr>
          <w:b/>
          <w:lang w:eastAsia="sl-SI"/>
        </w:rPr>
      </w:pPr>
      <w:bookmarkStart w:id="998" w:name="_Toc168845060"/>
      <w:bookmarkStart w:id="999" w:name="_Toc191562055"/>
      <w:bookmarkStart w:id="1000" w:name="_Toc223094058"/>
      <w:r w:rsidRPr="00CB5050">
        <w:rPr>
          <w:lang w:eastAsia="sl-SI"/>
        </w:rPr>
        <w:t>Zastopanje Državne revizijske komisije</w:t>
      </w:r>
      <w:bookmarkEnd w:id="998"/>
      <w:bookmarkEnd w:id="999"/>
      <w:bookmarkEnd w:id="1000"/>
    </w:p>
    <w:p w14:paraId="03B01099" w14:textId="77777777" w:rsidR="00695AE2" w:rsidRPr="00CB5050" w:rsidRDefault="00695AE2" w:rsidP="00695AE2">
      <w:pPr>
        <w:spacing w:line="240" w:lineRule="auto"/>
        <w:jc w:val="both"/>
        <w:rPr>
          <w:rFonts w:eastAsia="Times New Roman"/>
          <w:bCs/>
          <w:lang w:eastAsia="sl-SI"/>
        </w:rPr>
      </w:pPr>
    </w:p>
    <w:p w14:paraId="14797E66"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Državna revizijska komisija za revizijo postopkov oddaje javnih naročil je na podlagi prvega odstavka 60. člena Zakona o pravnem varstvu v postopkih javnega naročanja (Uradni list RS, št. 43/11, s spremembami; v nadaljevanju: ZPVPJN) poseben, neodvisen in samostojen državni organ, ki odloča o zakonitosti oddaje javnih naročil na vseh stopnjah postopka javnega naročanja. Z novelo ZPVPJN-C (Uradni list RS, št. 72/19) je od 1. 1. 2021 uvedena pravica strank v revizijskem postopku, da zoper nekatere odločitve Državne revizijske komisije lahko sprožijo upravni spor. </w:t>
      </w:r>
    </w:p>
    <w:p w14:paraId="13F2C71B" w14:textId="77777777" w:rsidR="00695AE2" w:rsidRPr="00CB5050" w:rsidRDefault="00695AE2" w:rsidP="00695AE2">
      <w:pPr>
        <w:spacing w:line="240" w:lineRule="auto"/>
        <w:jc w:val="both"/>
        <w:rPr>
          <w:rFonts w:eastAsia="Times New Roman"/>
          <w:bCs/>
          <w:lang w:eastAsia="sl-SI"/>
        </w:rPr>
      </w:pPr>
    </w:p>
    <w:p w14:paraId="63CD0530"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39.a člen ZPVPJN tako med drugim določa, da zoper odločitev Državne revizijske komisije ni pritožbe, da pa je dovoljen upravni spor, v katerem se lahko zahteva le ugotovitev nezakonitosti odločitve (ugotovitvena tožba – drugi odstavek 39.a člena ZPVPJN), in da so ne glede na določbe zakona, ki ureja upravni spor, stranke v tem upravnem sporu tožnik (kot tožnik lahko nastopa vlagatelj zahtevka za revizijo, naročnik ali izbrani ponudnik) in kot toženec Državna revizijska komisija. </w:t>
      </w:r>
    </w:p>
    <w:p w14:paraId="4B4CECFC" w14:textId="77777777" w:rsidR="00695AE2" w:rsidRPr="00CB5050" w:rsidRDefault="00695AE2" w:rsidP="00695AE2">
      <w:pPr>
        <w:spacing w:line="240" w:lineRule="auto"/>
        <w:jc w:val="both"/>
        <w:rPr>
          <w:rFonts w:eastAsia="Times New Roman"/>
          <w:bCs/>
          <w:lang w:eastAsia="sl-SI"/>
        </w:rPr>
      </w:pPr>
    </w:p>
    <w:p w14:paraId="612C64A0"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Glede na določbe ZUS-1 so takšne določbe nedvomno posebne določbe, kar pomeni, da se glede teh vprašanj uporablja 39.a člen ZPVPJN in da je ta upravni spor poseben upravni spor. </w:t>
      </w:r>
    </w:p>
    <w:p w14:paraId="7F1D293C" w14:textId="77777777" w:rsidR="00695AE2" w:rsidRPr="00CB5050" w:rsidRDefault="00695AE2" w:rsidP="00695AE2">
      <w:pPr>
        <w:spacing w:line="240" w:lineRule="auto"/>
        <w:jc w:val="both"/>
        <w:rPr>
          <w:rFonts w:eastAsia="Times New Roman"/>
          <w:bCs/>
          <w:lang w:eastAsia="sl-SI"/>
        </w:rPr>
      </w:pPr>
    </w:p>
    <w:p w14:paraId="1CC3DE35"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ZPVPJN vsebuje torej posebno določbo glede opredelitve toženca, ki je izrecno in izključno Državna revizijska komisija (kot državni organ), drugače kot določba petega odstavka 17. člena ZUS-1, ki kot toženca opredeljuje državo, lokalno skupnost oziroma drugo pravno osebo, ki je izdala upravni akt, s katerim je bil postopek odločanja končan. Ker Državna revizijska komisija nedvomno ne spada med tako v ZUS-1 opredeljene tožence, Državno odvetništvo RS v predmetnih zadevah zastopa Državno revizijsko komisijo na podlagi določbe prvega odstavka 12. člena ZDOdv in ne petega odstavka 17. člena ZUS-1. </w:t>
      </w:r>
    </w:p>
    <w:p w14:paraId="21305107" w14:textId="77777777" w:rsidR="00695AE2" w:rsidRPr="00CB5050" w:rsidRDefault="00695AE2" w:rsidP="00695AE2">
      <w:pPr>
        <w:spacing w:line="240" w:lineRule="auto"/>
        <w:jc w:val="both"/>
        <w:rPr>
          <w:rFonts w:eastAsia="Times New Roman"/>
          <w:bCs/>
          <w:lang w:eastAsia="sl-SI"/>
        </w:rPr>
      </w:pPr>
    </w:p>
    <w:p w14:paraId="55A12EBE"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V letu 2025 je Državno odvetništvo RS na novo prejelo v delo 5 zadev, v katerih zastopa Državno revizijsko komisijo v upravnem sporu, ki se na Upravnem sodišču RS vodi po tožbi zoper odločitev Državne revizijske komisije. </w:t>
      </w:r>
    </w:p>
    <w:p w14:paraId="238B0784" w14:textId="77777777" w:rsidR="00695AE2" w:rsidRPr="00CB5050" w:rsidRDefault="00695AE2" w:rsidP="00695AE2">
      <w:pPr>
        <w:spacing w:line="240" w:lineRule="auto"/>
        <w:rPr>
          <w:rFonts w:eastAsia="Calibri"/>
          <w:sz w:val="28"/>
          <w:szCs w:val="28"/>
          <w:lang w:eastAsia="sl-SI"/>
        </w:rPr>
      </w:pPr>
      <w:bookmarkStart w:id="1001" w:name="_Toc95149823"/>
    </w:p>
    <w:p w14:paraId="27AC1A49" w14:textId="77777777" w:rsidR="00695AE2" w:rsidRPr="00CB5050" w:rsidRDefault="00695AE2" w:rsidP="00695AE2">
      <w:pPr>
        <w:pStyle w:val="Naslov3"/>
        <w:rPr>
          <w:rFonts w:eastAsia="Calibri"/>
          <w:lang w:eastAsia="sl-SI"/>
        </w:rPr>
      </w:pPr>
      <w:bookmarkStart w:id="1002" w:name="_Toc168845061"/>
      <w:bookmarkStart w:id="1003" w:name="_Toc191562056"/>
      <w:bookmarkStart w:id="1004" w:name="_Toc223094059"/>
      <w:r w:rsidRPr="00CB5050">
        <w:rPr>
          <w:rFonts w:eastAsia="Calibri"/>
          <w:lang w:eastAsia="sl-SI"/>
        </w:rPr>
        <w:t>Statisti</w:t>
      </w:r>
      <w:bookmarkEnd w:id="1001"/>
      <w:bookmarkEnd w:id="1002"/>
      <w:r w:rsidRPr="00CB5050">
        <w:rPr>
          <w:rFonts w:eastAsia="Calibri"/>
          <w:lang w:eastAsia="sl-SI"/>
        </w:rPr>
        <w:t>čni podatki</w:t>
      </w:r>
      <w:bookmarkEnd w:id="1003"/>
      <w:bookmarkEnd w:id="1004"/>
    </w:p>
    <w:p w14:paraId="1079395D" w14:textId="77777777" w:rsidR="00695AE2" w:rsidRPr="00CB5050" w:rsidRDefault="00695AE2" w:rsidP="00695AE2">
      <w:pPr>
        <w:spacing w:line="240" w:lineRule="auto"/>
        <w:rPr>
          <w:rFonts w:eastAsia="Calibri"/>
          <w:sz w:val="28"/>
          <w:szCs w:val="28"/>
          <w:lang w:eastAsia="sl-SI"/>
        </w:rPr>
      </w:pPr>
    </w:p>
    <w:p w14:paraId="159A6C45"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Državno odvetništvo RS ločeno vodi upravne postopke in upravne spore, v katerih zastopa stranke ali javne koristi, in zadeve, v katerih ima Državno odvetništvo RS pristojnosti po posebnih zakonih – statistični podatki o na novo prejetih zadevah v delo po posebnih zakonih so predstavljeni zgoraj v okviru predstavitve posamezne pristojnosti po posebnih zakonih. </w:t>
      </w:r>
    </w:p>
    <w:p w14:paraId="6038517B" w14:textId="77777777" w:rsidR="00695AE2" w:rsidRPr="00CB5050" w:rsidRDefault="00695AE2" w:rsidP="00695AE2">
      <w:pPr>
        <w:spacing w:line="240" w:lineRule="auto"/>
        <w:jc w:val="both"/>
        <w:rPr>
          <w:rFonts w:eastAsia="Calibri"/>
        </w:rPr>
      </w:pPr>
    </w:p>
    <w:p w14:paraId="6B9AC149" w14:textId="77777777" w:rsidR="00695AE2" w:rsidRPr="00CB5050" w:rsidRDefault="00695AE2" w:rsidP="00695AE2">
      <w:pPr>
        <w:spacing w:line="240" w:lineRule="auto"/>
        <w:jc w:val="both"/>
        <w:rPr>
          <w:rFonts w:eastAsia="Calibri"/>
          <w:szCs w:val="22"/>
        </w:rPr>
      </w:pPr>
      <w:r w:rsidRPr="00CB5050">
        <w:rPr>
          <w:rFonts w:eastAsia="Calibri"/>
          <w:szCs w:val="22"/>
        </w:rPr>
        <w:t>V letu 2025 je Državno odvetništvo RS prejelo 18.343 upravnih zadev (v upravnih postopkih in upravnih sporih).</w:t>
      </w:r>
    </w:p>
    <w:p w14:paraId="2AF5F30D" w14:textId="77777777" w:rsidR="00695AE2" w:rsidRPr="00CB5050" w:rsidRDefault="00695AE2" w:rsidP="00695AE2">
      <w:pPr>
        <w:spacing w:line="240" w:lineRule="auto"/>
        <w:jc w:val="both"/>
        <w:rPr>
          <w:rFonts w:eastAsia="Calibri"/>
        </w:rPr>
      </w:pPr>
    </w:p>
    <w:p w14:paraId="3879F1FF" w14:textId="77777777" w:rsidR="00695AE2" w:rsidRPr="00CB5050" w:rsidRDefault="00695AE2" w:rsidP="00695AE2">
      <w:pPr>
        <w:spacing w:line="240" w:lineRule="auto"/>
        <w:jc w:val="both"/>
        <w:rPr>
          <w:rFonts w:eastAsia="Calibri"/>
          <w:szCs w:val="22"/>
        </w:rPr>
      </w:pPr>
      <w:r w:rsidRPr="00CB5050">
        <w:rPr>
          <w:rFonts w:eastAsia="Calibri"/>
          <w:szCs w:val="22"/>
        </w:rPr>
        <w:t>Skupno je imelo Državno odvetništvo RS leta 2025 v delu 18.926 zadev (v upravnih postopkih in upravnih sporih), zaključenih pa je bilo 18.403 zadev (v upravnih postopkih in upravnih sporih).</w:t>
      </w:r>
    </w:p>
    <w:p w14:paraId="394586EC" w14:textId="77777777" w:rsidR="00695AE2" w:rsidRPr="00CB5050" w:rsidRDefault="00695AE2" w:rsidP="00695AE2">
      <w:pPr>
        <w:spacing w:line="240" w:lineRule="auto"/>
        <w:jc w:val="both"/>
        <w:rPr>
          <w:rFonts w:eastAsia="Calibri"/>
        </w:rPr>
      </w:pPr>
    </w:p>
    <w:p w14:paraId="3B55E9EB" w14:textId="77777777" w:rsidR="00695AE2" w:rsidRPr="00CB5050" w:rsidRDefault="00695AE2" w:rsidP="00695AE2">
      <w:pPr>
        <w:spacing w:line="240" w:lineRule="auto"/>
        <w:jc w:val="both"/>
        <w:rPr>
          <w:rFonts w:eastAsia="Calibri"/>
          <w:szCs w:val="22"/>
        </w:rPr>
      </w:pPr>
      <w:r w:rsidRPr="00CB5050">
        <w:rPr>
          <w:rFonts w:eastAsia="Calibri"/>
          <w:szCs w:val="22"/>
        </w:rPr>
        <w:t>Na dan 31. 12. 2025 ostaja odprtih 523 zadev (v upravnih postopkih in upravnih sporih).</w:t>
      </w:r>
    </w:p>
    <w:p w14:paraId="69FBC292" w14:textId="77777777" w:rsidR="00695AE2" w:rsidRPr="00CB5050" w:rsidRDefault="00695AE2" w:rsidP="00695AE2">
      <w:pPr>
        <w:spacing w:line="240" w:lineRule="auto"/>
        <w:jc w:val="both"/>
        <w:rPr>
          <w:rFonts w:eastAsia="Calibri"/>
          <w:szCs w:val="22"/>
          <w:lang w:eastAsia="sl-SI"/>
        </w:rPr>
      </w:pPr>
    </w:p>
    <w:p w14:paraId="7A6451F2" w14:textId="77777777" w:rsidR="00695AE2" w:rsidRPr="00CB5050" w:rsidRDefault="00695AE2" w:rsidP="00695AE2">
      <w:pPr>
        <w:spacing w:line="240" w:lineRule="auto"/>
        <w:jc w:val="both"/>
        <w:rPr>
          <w:rFonts w:eastAsia="Calibri"/>
          <w:szCs w:val="22"/>
          <w:lang w:eastAsia="sl-SI"/>
        </w:rPr>
      </w:pPr>
      <w:r w:rsidRPr="00CB5050">
        <w:rPr>
          <w:rFonts w:eastAsia="Calibri"/>
          <w:szCs w:val="22"/>
          <w:lang w:eastAsia="sl-SI"/>
        </w:rPr>
        <w:t xml:space="preserve">V letu 2025 je Državno odvetništvo RS kot zastopnik stranke vložilo skupno 21 tožb. </w:t>
      </w:r>
    </w:p>
    <w:p w14:paraId="75A8BB3B"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szCs w:val="22"/>
          <w:highlight w:val="yellow"/>
          <w:lang w:eastAsia="sl-SI"/>
        </w:rPr>
      </w:pPr>
    </w:p>
    <w:p w14:paraId="6523AC42"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FF0000"/>
          <w:szCs w:val="22"/>
          <w:lang w:eastAsia="sl-SI"/>
        </w:rPr>
      </w:pPr>
      <w:r w:rsidRPr="00CB5050">
        <w:rPr>
          <w:rFonts w:eastAsia="Calibri"/>
          <w:szCs w:val="22"/>
          <w:lang w:eastAsia="sl-SI"/>
        </w:rPr>
        <w:t xml:space="preserve">V letu 2025 Državno odvetništvo RS ni vložilo nobene tožbe v javnem interesu. </w:t>
      </w:r>
    </w:p>
    <w:p w14:paraId="24945A7C" w14:textId="77777777" w:rsidR="00695AE2" w:rsidRPr="00CB5050" w:rsidRDefault="00695AE2" w:rsidP="00695AE2">
      <w:pPr>
        <w:spacing w:line="240" w:lineRule="auto"/>
        <w:jc w:val="both"/>
        <w:rPr>
          <w:rFonts w:eastAsia="Calibri"/>
          <w:sz w:val="28"/>
          <w:szCs w:val="28"/>
        </w:rPr>
      </w:pPr>
    </w:p>
    <w:p w14:paraId="6A602036" w14:textId="77777777" w:rsidR="00695AE2" w:rsidRPr="00CB5050" w:rsidRDefault="00695AE2" w:rsidP="00695AE2">
      <w:pPr>
        <w:pStyle w:val="Naslov3"/>
        <w:rPr>
          <w:rFonts w:eastAsia="Calibri"/>
        </w:rPr>
      </w:pPr>
      <w:bookmarkStart w:id="1005" w:name="_Toc95149824"/>
      <w:bookmarkStart w:id="1006" w:name="_Toc168845062"/>
      <w:bookmarkStart w:id="1007" w:name="_Toc191562057"/>
      <w:bookmarkStart w:id="1008" w:name="_Toc223094060"/>
      <w:r w:rsidRPr="00CB5050">
        <w:rPr>
          <w:rFonts w:eastAsia="Calibri"/>
        </w:rPr>
        <w:t>Analiza primerjalnih vrednosti</w:t>
      </w:r>
      <w:bookmarkEnd w:id="1005"/>
      <w:bookmarkEnd w:id="1006"/>
      <w:bookmarkEnd w:id="1007"/>
      <w:bookmarkEnd w:id="1008"/>
    </w:p>
    <w:p w14:paraId="04C0974E" w14:textId="77777777" w:rsidR="00695AE2" w:rsidRPr="00CB5050" w:rsidRDefault="00695AE2" w:rsidP="00695AE2">
      <w:pPr>
        <w:spacing w:line="240" w:lineRule="auto"/>
        <w:rPr>
          <w:rFonts w:eastAsia="Calibri"/>
          <w:sz w:val="28"/>
          <w:szCs w:val="28"/>
        </w:rPr>
      </w:pPr>
    </w:p>
    <w:p w14:paraId="6B793D16" w14:textId="77777777" w:rsidR="00695AE2" w:rsidRPr="00CB5050" w:rsidRDefault="00695AE2" w:rsidP="00695AE2">
      <w:pPr>
        <w:spacing w:line="240" w:lineRule="auto"/>
        <w:jc w:val="both"/>
        <w:rPr>
          <w:rFonts w:eastAsia="Calibri"/>
          <w:szCs w:val="22"/>
        </w:rPr>
      </w:pPr>
      <w:r w:rsidRPr="00CB5050">
        <w:rPr>
          <w:rFonts w:eastAsia="Calibri"/>
          <w:szCs w:val="22"/>
        </w:rPr>
        <w:t>V letu 2025 je Državno odvetništvo RS prejelo 18.343 upravnih zadev (v upravnih postopkih in upravnih sporih), kar je 4,18 odstotka več kot leta 2024, ko je Državno odvetništvo RS prejelo 17.607 upravnih zadev (v upravnih postopkih in upravnih sporih).</w:t>
      </w:r>
    </w:p>
    <w:p w14:paraId="25296636" w14:textId="77777777" w:rsidR="00695AE2" w:rsidRPr="00CB5050" w:rsidRDefault="00695AE2" w:rsidP="00695AE2">
      <w:pPr>
        <w:spacing w:line="240" w:lineRule="auto"/>
        <w:jc w:val="both"/>
        <w:rPr>
          <w:rFonts w:eastAsia="Calibri"/>
        </w:rPr>
      </w:pPr>
    </w:p>
    <w:p w14:paraId="4042EAC7" w14:textId="77777777" w:rsidR="00695AE2" w:rsidRPr="00CB5050" w:rsidRDefault="00695AE2" w:rsidP="00695AE2">
      <w:pPr>
        <w:spacing w:line="240" w:lineRule="auto"/>
        <w:jc w:val="both"/>
        <w:rPr>
          <w:rFonts w:eastAsia="Calibri"/>
          <w:szCs w:val="22"/>
        </w:rPr>
      </w:pPr>
      <w:r w:rsidRPr="00CB5050">
        <w:rPr>
          <w:rFonts w:eastAsia="Calibri"/>
          <w:szCs w:val="22"/>
        </w:rPr>
        <w:t>Skupno je imelo Državno odvetništvo RS leta 2025 v delu 18.926 zadev (v upravnih postopkih in upravnih sporih), kar je 1,06 odstotka več kot leta 2024, ko je imelo Državno odvetništvo RS v delu skupno 18.728 zadev.</w:t>
      </w:r>
    </w:p>
    <w:p w14:paraId="6235A0DE" w14:textId="77777777" w:rsidR="00695AE2" w:rsidRPr="00CB5050" w:rsidRDefault="00695AE2" w:rsidP="00695AE2">
      <w:pPr>
        <w:spacing w:line="240" w:lineRule="auto"/>
        <w:jc w:val="both"/>
        <w:rPr>
          <w:rFonts w:eastAsia="Calibri"/>
          <w:szCs w:val="22"/>
        </w:rPr>
      </w:pPr>
    </w:p>
    <w:p w14:paraId="3E6956EA" w14:textId="77777777" w:rsidR="00695AE2" w:rsidRPr="00CB5050" w:rsidRDefault="00695AE2" w:rsidP="00695AE2">
      <w:pPr>
        <w:spacing w:line="240" w:lineRule="auto"/>
        <w:jc w:val="both"/>
        <w:rPr>
          <w:rFonts w:eastAsia="Calibri"/>
          <w:szCs w:val="22"/>
        </w:rPr>
      </w:pPr>
      <w:r w:rsidRPr="00CB5050">
        <w:rPr>
          <w:rFonts w:eastAsia="Calibri"/>
          <w:szCs w:val="22"/>
        </w:rPr>
        <w:t>V letu 2025 je Državno odvetništvo RS zaključilo 18.403 zadev (v upravnih postopkih in upravnih sporih), kar je 2,07 odstotka več kot v letu 2024, ko je bilo zaključenih 18.030 zadev.</w:t>
      </w:r>
    </w:p>
    <w:p w14:paraId="6A3828EB" w14:textId="77777777" w:rsidR="00695AE2" w:rsidRPr="00CB5050" w:rsidRDefault="00695AE2" w:rsidP="00695AE2">
      <w:pPr>
        <w:spacing w:line="240" w:lineRule="auto"/>
        <w:jc w:val="both"/>
        <w:rPr>
          <w:rFonts w:eastAsia="Calibri"/>
        </w:rPr>
      </w:pPr>
    </w:p>
    <w:p w14:paraId="0786BE61" w14:textId="77777777" w:rsidR="00695AE2" w:rsidRPr="00CB5050" w:rsidRDefault="00695AE2" w:rsidP="00695AE2">
      <w:pPr>
        <w:spacing w:line="240" w:lineRule="auto"/>
        <w:jc w:val="both"/>
        <w:rPr>
          <w:rFonts w:eastAsia="Calibri"/>
          <w:szCs w:val="22"/>
        </w:rPr>
      </w:pPr>
      <w:r w:rsidRPr="00CB5050">
        <w:rPr>
          <w:rFonts w:eastAsia="Calibri"/>
          <w:szCs w:val="22"/>
        </w:rPr>
        <w:t>Na dan 31. 12. 2025 ostaja odprtih 523 zadev (v upravnih postopkih in upravnih sporih), kar je 25,07 odstotka manj kot na dan 31. 12. 2024, ko je bilo odprtih 698 zadev.</w:t>
      </w:r>
    </w:p>
    <w:p w14:paraId="57423E24" w14:textId="77777777" w:rsidR="00695AE2" w:rsidRPr="00CB5050" w:rsidRDefault="00695AE2" w:rsidP="00695AE2">
      <w:pPr>
        <w:spacing w:line="240" w:lineRule="auto"/>
        <w:jc w:val="both"/>
        <w:rPr>
          <w:rFonts w:eastAsia="Calibri"/>
        </w:rPr>
      </w:pPr>
    </w:p>
    <w:p w14:paraId="2356E00B" w14:textId="77777777" w:rsidR="00695AE2" w:rsidRPr="00CB5050" w:rsidRDefault="00695AE2" w:rsidP="00695AE2">
      <w:pPr>
        <w:tabs>
          <w:tab w:val="left" w:pos="283"/>
        </w:tabs>
        <w:autoSpaceDE w:val="0"/>
        <w:autoSpaceDN w:val="0"/>
        <w:adjustRightInd w:val="0"/>
        <w:spacing w:line="240" w:lineRule="atLeast"/>
        <w:jc w:val="both"/>
        <w:textAlignment w:val="center"/>
        <w:rPr>
          <w:rFonts w:eastAsia="Calibri"/>
          <w:b/>
          <w:bCs/>
          <w:color w:val="007466"/>
          <w:spacing w:val="1"/>
          <w:sz w:val="20"/>
          <w:szCs w:val="20"/>
        </w:rPr>
      </w:pPr>
      <w:r w:rsidRPr="00CB5050">
        <w:rPr>
          <w:rFonts w:eastAsia="Calibri"/>
          <w:b/>
          <w:bCs/>
          <w:color w:val="007466"/>
          <w:spacing w:val="1"/>
          <w:sz w:val="20"/>
          <w:szCs w:val="20"/>
        </w:rPr>
        <w:t>Grafikon: Število prejetih zadev na področju upravnih postopkov in upravnih sporov v obdobju 2021 – 2025</w:t>
      </w:r>
    </w:p>
    <w:p w14:paraId="56DDCE3A" w14:textId="77777777" w:rsidR="00695AE2" w:rsidRPr="00CB5050" w:rsidRDefault="00695AE2" w:rsidP="00695AE2">
      <w:pPr>
        <w:spacing w:line="240" w:lineRule="auto"/>
        <w:jc w:val="both"/>
        <w:rPr>
          <w:rFonts w:eastAsia="Calibri"/>
          <w:bCs/>
          <w:sz w:val="20"/>
          <w:szCs w:val="20"/>
        </w:rPr>
      </w:pPr>
    </w:p>
    <w:p w14:paraId="163D64CF" w14:textId="77777777" w:rsidR="00695AE2" w:rsidRPr="00CB5050" w:rsidRDefault="00695AE2" w:rsidP="00695AE2">
      <w:pPr>
        <w:spacing w:after="160" w:line="259" w:lineRule="auto"/>
        <w:jc w:val="center"/>
        <w:rPr>
          <w:rFonts w:eastAsia="Calibri"/>
          <w:szCs w:val="22"/>
        </w:rPr>
      </w:pPr>
      <w:r w:rsidRPr="00CB5050">
        <w:rPr>
          <w:rFonts w:eastAsia="Calibri"/>
          <w:noProof/>
          <w:szCs w:val="22"/>
        </w:rPr>
        <w:drawing>
          <wp:inline distT="0" distB="0" distL="0" distR="0" wp14:anchorId="2A60F7FA" wp14:editId="6515F554">
            <wp:extent cx="4584700" cy="2755900"/>
            <wp:effectExtent l="0" t="0" r="6350" b="6350"/>
            <wp:docPr id="1435423631" name="Slika 3"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23631" name="Slika 3" descr="Slika, ki vsebuje besede besedilo, posnetek zaslona, pravokotnik, številka&#10;&#10;Vsebina, ustvarjena z UI, morda ni praviln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511597" w14:textId="77777777" w:rsidR="00695AE2" w:rsidRPr="00CB5050" w:rsidRDefault="00695AE2" w:rsidP="00695AE2">
      <w:pPr>
        <w:pStyle w:val="Jasna"/>
      </w:pPr>
    </w:p>
    <w:p w14:paraId="5DB62B21" w14:textId="77777777" w:rsidR="00695AE2" w:rsidRPr="00CB5050" w:rsidRDefault="00695AE2" w:rsidP="00695AE2">
      <w:pPr>
        <w:spacing w:line="240" w:lineRule="auto"/>
        <w:jc w:val="both"/>
        <w:rPr>
          <w:rFonts w:eastAsia="Calibri"/>
        </w:rPr>
      </w:pPr>
      <w:r w:rsidRPr="00CB5050">
        <w:rPr>
          <w:rFonts w:eastAsia="Calibri"/>
          <w:szCs w:val="22"/>
        </w:rPr>
        <w:t xml:space="preserve">Iz grafikona je razvidno, da je bil pripad novih zadev v letu </w:t>
      </w:r>
      <w:r w:rsidRPr="00CB5050">
        <w:rPr>
          <w:rFonts w:eastAsia="Calibri"/>
        </w:rPr>
        <w:t>2021, ko je bilo prejetih 12.307 zadev, ter v letu 2022, ko je bilo prejetih 12.410 zadev, praktično na enaki ravni, nato pa je od leta 2023 dalje, ko je Državno odvetništvo RS prejelo 13.964 novih zadev,</w:t>
      </w:r>
      <w:r w:rsidRPr="00CB5050">
        <w:rPr>
          <w:rFonts w:eastAsia="Calibri"/>
          <w:szCs w:val="22"/>
        </w:rPr>
        <w:t xml:space="preserve"> število </w:t>
      </w:r>
      <w:r w:rsidRPr="00CB5050">
        <w:rPr>
          <w:rFonts w:eastAsia="Calibri"/>
        </w:rPr>
        <w:t>zadev na področju upravnih postopkov in upravnih sporov začelo naraščati; v letu 2024 je tako prišlo do povečanja števila novih zadev na 17.607, v letu 2025 pa je število zadev, ki jih je Državno odvetništvo RS prejelo v delo, še naraslo in je znašalo število prejetih zadev že 18.343.</w:t>
      </w:r>
    </w:p>
    <w:p w14:paraId="30A172B2" w14:textId="77777777" w:rsidR="00695AE2" w:rsidRPr="00CB5050" w:rsidRDefault="00695AE2" w:rsidP="00695AE2">
      <w:pPr>
        <w:spacing w:line="240" w:lineRule="auto"/>
        <w:jc w:val="both"/>
        <w:rPr>
          <w:rFonts w:eastAsia="Calibri"/>
          <w:sz w:val="28"/>
          <w:szCs w:val="28"/>
        </w:rPr>
      </w:pPr>
    </w:p>
    <w:p w14:paraId="3CB9EB1C" w14:textId="77777777" w:rsidR="00695AE2" w:rsidRPr="00CB5050" w:rsidRDefault="00695AE2" w:rsidP="00695AE2">
      <w:pPr>
        <w:pStyle w:val="Naslov3"/>
      </w:pPr>
      <w:bookmarkStart w:id="1009" w:name="_Toc168845063"/>
      <w:bookmarkStart w:id="1010" w:name="_Toc191562058"/>
      <w:bookmarkStart w:id="1011" w:name="_Toc223094061"/>
      <w:r w:rsidRPr="003702AE">
        <w:t>Ukrepi</w:t>
      </w:r>
      <w:r w:rsidRPr="00CB5050">
        <w:t xml:space="preserve"> za obvladovanje zadev in priporočila Državnega odvetništva RS</w:t>
      </w:r>
      <w:bookmarkEnd w:id="1009"/>
      <w:bookmarkEnd w:id="1010"/>
      <w:bookmarkEnd w:id="1011"/>
    </w:p>
    <w:p w14:paraId="437D5FD9" w14:textId="77777777" w:rsidR="00695AE2" w:rsidRPr="00CB5050" w:rsidRDefault="00695AE2" w:rsidP="00695AE2">
      <w:pPr>
        <w:spacing w:line="240" w:lineRule="auto"/>
        <w:jc w:val="both"/>
        <w:rPr>
          <w:rFonts w:eastAsia="Calibri"/>
          <w:szCs w:val="22"/>
        </w:rPr>
      </w:pPr>
    </w:p>
    <w:p w14:paraId="3BD2D708" w14:textId="77777777" w:rsidR="00695AE2" w:rsidRPr="00CB5050" w:rsidRDefault="00695AE2" w:rsidP="00695AE2">
      <w:pPr>
        <w:pStyle w:val="Naslov4"/>
        <w:rPr>
          <w:lang w:eastAsia="sl-SI"/>
        </w:rPr>
      </w:pPr>
      <w:bookmarkStart w:id="1012" w:name="_Toc168845064"/>
      <w:bookmarkStart w:id="1013" w:name="_Toc191562059"/>
      <w:bookmarkStart w:id="1014" w:name="_Toc223094062"/>
      <w:r w:rsidRPr="00CB5050">
        <w:rPr>
          <w:lang w:eastAsia="sl-SI"/>
        </w:rPr>
        <w:t>Prevzem zastopanja v upravnih sporih</w:t>
      </w:r>
      <w:bookmarkEnd w:id="1012"/>
      <w:bookmarkEnd w:id="1013"/>
      <w:bookmarkEnd w:id="1014"/>
    </w:p>
    <w:p w14:paraId="22902786" w14:textId="77777777" w:rsidR="00695AE2" w:rsidRPr="00CB5050" w:rsidRDefault="00695AE2" w:rsidP="00695AE2">
      <w:pPr>
        <w:overflowPunct w:val="0"/>
        <w:autoSpaceDE w:val="0"/>
        <w:autoSpaceDN w:val="0"/>
        <w:adjustRightInd w:val="0"/>
        <w:spacing w:line="240" w:lineRule="auto"/>
        <w:jc w:val="both"/>
        <w:textAlignment w:val="baseline"/>
        <w:rPr>
          <w:rFonts w:eastAsia="Calibri"/>
          <w:bCs/>
          <w:lang w:eastAsia="sl-SI"/>
        </w:rPr>
      </w:pPr>
    </w:p>
    <w:p w14:paraId="0F48FC73" w14:textId="77777777" w:rsidR="00695AE2" w:rsidRPr="00CB5050" w:rsidRDefault="00695AE2" w:rsidP="00695AE2">
      <w:pPr>
        <w:spacing w:line="240" w:lineRule="auto"/>
        <w:jc w:val="both"/>
        <w:rPr>
          <w:rFonts w:eastAsia="Calibri"/>
          <w:color w:val="000000"/>
          <w:szCs w:val="22"/>
        </w:rPr>
      </w:pPr>
      <w:r w:rsidRPr="00CB5050">
        <w:rPr>
          <w:rFonts w:eastAsia="Calibri"/>
          <w:color w:val="000000"/>
          <w:szCs w:val="22"/>
        </w:rPr>
        <w:t xml:space="preserve">V upravnem sporu, v katerem je toženec država oziroma druga pravna oseba, ki je izdala upravni akt, s katerim je bil postopek odločanja končan, skladno z zakonom toženca praviloma zastopa organ, ki je izdal upravni akt, razen če v primeru tožbe zoper državo Vlada RS po vložitvi tožbe za zastopnika določi Državno odvetništvo RS. Če se organ, ki je izdal upravni akt, v posameznem postopku odloči Vladi RS predlagati prenos zakonske pristojnosti zastopanja na Državno odvetništvo RS, mora priskrbeti in Državnemu odvetništvu RS pravočasno poslati ustrezno pooblastilo Vlade RS za zastopanje v posameznem upravnem sporu. </w:t>
      </w:r>
    </w:p>
    <w:p w14:paraId="7E09872A" w14:textId="77777777" w:rsidR="00695AE2" w:rsidRPr="00CB5050" w:rsidRDefault="00695AE2" w:rsidP="00695AE2">
      <w:pPr>
        <w:spacing w:line="240" w:lineRule="auto"/>
        <w:jc w:val="both"/>
        <w:rPr>
          <w:rFonts w:eastAsia="Calibri"/>
          <w:color w:val="000000"/>
          <w:szCs w:val="22"/>
        </w:rPr>
      </w:pPr>
    </w:p>
    <w:p w14:paraId="4E9349B9" w14:textId="77777777" w:rsidR="00695AE2" w:rsidRPr="00CB5050" w:rsidRDefault="00695AE2" w:rsidP="00695AE2">
      <w:pPr>
        <w:spacing w:line="240" w:lineRule="auto"/>
        <w:jc w:val="both"/>
        <w:rPr>
          <w:rFonts w:eastAsia="Calibri"/>
          <w:color w:val="000000"/>
          <w:szCs w:val="22"/>
        </w:rPr>
      </w:pPr>
      <w:r w:rsidRPr="00CB5050">
        <w:rPr>
          <w:rFonts w:eastAsia="Calibri"/>
          <w:color w:val="000000"/>
          <w:szCs w:val="22"/>
        </w:rPr>
        <w:t xml:space="preserve">V letu 2025 je Državno odvetništvo RS na novo prejelo 43 zadev, v katerih je na podlagi pooblastila Vlade RS prišlo do prenosa pristojnosti zastopanja v upravnem sporu na Državno odvetništvo RS. </w:t>
      </w:r>
    </w:p>
    <w:p w14:paraId="0380149A" w14:textId="77777777" w:rsidR="00695AE2" w:rsidRPr="00CB5050" w:rsidRDefault="00695AE2" w:rsidP="00695AE2">
      <w:pPr>
        <w:spacing w:line="240" w:lineRule="auto"/>
        <w:jc w:val="both"/>
        <w:rPr>
          <w:rFonts w:eastAsia="Calibri"/>
          <w:color w:val="000000"/>
          <w:szCs w:val="22"/>
        </w:rPr>
      </w:pPr>
    </w:p>
    <w:p w14:paraId="63A31BFA" w14:textId="77777777" w:rsidR="00695AE2" w:rsidRPr="00CB5050" w:rsidRDefault="00695AE2" w:rsidP="00695AE2">
      <w:pPr>
        <w:spacing w:line="240" w:lineRule="auto"/>
        <w:jc w:val="both"/>
        <w:rPr>
          <w:rFonts w:eastAsia="Calibri"/>
        </w:rPr>
      </w:pPr>
      <w:r w:rsidRPr="00CB5050">
        <w:rPr>
          <w:rFonts w:eastAsia="Calibri"/>
          <w:color w:val="000000"/>
          <w:szCs w:val="22"/>
        </w:rPr>
        <w:t xml:space="preserve">Upoštevaje nekatere težave, do katerih prihaja ob prenosu zakonske pristojnosti zastopanja na Državno odvetništvo RS in ki po oceni Državnega odvetništva RS pomenijo tudi veliko tveganje za učinkovit prenos zastopanja v upravnem sporu, ter v želji po kakovostnem zastopanju pred Upravnim sodiščem RS, je Državno odvetništvo oblikovalo idejo </w:t>
      </w:r>
      <w:r w:rsidRPr="00CB5050">
        <w:rPr>
          <w:rFonts w:eastAsia="Calibri"/>
        </w:rPr>
        <w:t>o protokolu ravnanja v teh zadevah, ki je v pomoč tako upravnim organom kot tudi Državnemu odvetništvu RS pri odločanju, kdaj in na kakšen način naj upravni organ izvrši prenos pristojnosti zastopanja na Državno odvetništvo RS kot pooblaščenca.</w:t>
      </w:r>
    </w:p>
    <w:p w14:paraId="03754354" w14:textId="77777777" w:rsidR="00695AE2" w:rsidRPr="00CB5050" w:rsidRDefault="00695AE2" w:rsidP="00695AE2">
      <w:pPr>
        <w:spacing w:line="240" w:lineRule="auto"/>
        <w:jc w:val="both"/>
        <w:rPr>
          <w:rFonts w:eastAsia="Calibri"/>
        </w:rPr>
      </w:pPr>
    </w:p>
    <w:p w14:paraId="44A4AA82" w14:textId="77777777" w:rsidR="00695AE2" w:rsidRPr="00CB5050" w:rsidRDefault="00695AE2" w:rsidP="00695AE2">
      <w:pPr>
        <w:spacing w:line="240" w:lineRule="auto"/>
        <w:jc w:val="both"/>
        <w:rPr>
          <w:rFonts w:eastAsia="Calibri"/>
        </w:rPr>
      </w:pPr>
      <w:r w:rsidRPr="00CB5050">
        <w:rPr>
          <w:rFonts w:eastAsia="Calibri"/>
        </w:rPr>
        <w:t>V nadaljevanju je predstavljenih nekaj izhodišč in pojasnil o zastopanju v upravnih sporih ter težave, s katerimi se je spoprijemalo Državno odvetništvo RS v teh zadevah.</w:t>
      </w:r>
    </w:p>
    <w:p w14:paraId="7C2E1184" w14:textId="77777777" w:rsidR="00695AE2" w:rsidRPr="00CB5050" w:rsidRDefault="00695AE2" w:rsidP="00695AE2">
      <w:pPr>
        <w:spacing w:line="240" w:lineRule="auto"/>
        <w:jc w:val="both"/>
        <w:rPr>
          <w:rFonts w:eastAsia="Calibri"/>
        </w:rPr>
      </w:pPr>
    </w:p>
    <w:p w14:paraId="0E63026C" w14:textId="77777777" w:rsidR="00695AE2" w:rsidRPr="00CB5050" w:rsidRDefault="00695AE2" w:rsidP="00695AE2">
      <w:pPr>
        <w:spacing w:line="240" w:lineRule="auto"/>
        <w:jc w:val="both"/>
        <w:rPr>
          <w:rFonts w:eastAsia="Calibri"/>
        </w:rPr>
      </w:pPr>
      <w:r w:rsidRPr="00CB5050">
        <w:rPr>
          <w:rFonts w:eastAsia="Calibri"/>
        </w:rPr>
        <w:t>Po mnenju Državnega odvetništva RS je odločitev za prenos pristojnosti zastopanja na Državno odvetništvo RS utemeljena predvsem v primerih, ko je pričakovati, da bo zastopanje po Državnem odvetništvu RS prispevalo k izboljšanju položaja Republike Slovenije v posameznem upravnem sporu. Upravni organ mora odločitev utemeljiti z vseh ustreznih vidikov. Tako je s tega vidika pomembno določilo 52. člena ZUS-1 glede prekluzije navajanja dejstev in dokazov, ki niso bili navedeni med upravnim postopkom. Treba je tudi upoštevati, da ima Državno odvetništvo RS v upravnem sporu primarno vlogo zastopnika javnega interesa, ki ima prednost pred zastopanjem Republike Slovenije kot tožene stranke na podlagi pooblastila Vlade RS v zvezi z akti, izdanimi s strani upravnih organov. Ocena smotrnosti prenosa zastopanja je odvisna tudi od faze, v kateri je upravni postopek (na primer v primerih, ko je odgovor na tožbo podal že upravni organ sam ali je rok za odgovor na tožbo že potekel, upravni organ pa odgovora na tožbo ni podal – takrat je pogosto utemeljeno, da naloge zastopanja še naprej opravlja upravni organ sam).</w:t>
      </w:r>
    </w:p>
    <w:p w14:paraId="07609A51" w14:textId="77777777" w:rsidR="00695AE2" w:rsidRPr="00CB5050" w:rsidRDefault="00695AE2" w:rsidP="00695AE2">
      <w:pPr>
        <w:spacing w:line="240" w:lineRule="auto"/>
        <w:jc w:val="both"/>
        <w:rPr>
          <w:rFonts w:eastAsia="Calibri"/>
        </w:rPr>
      </w:pPr>
    </w:p>
    <w:p w14:paraId="200CC7EE" w14:textId="77777777" w:rsidR="00695AE2" w:rsidRPr="00CB5050" w:rsidRDefault="00695AE2" w:rsidP="00695AE2">
      <w:pPr>
        <w:spacing w:line="240" w:lineRule="auto"/>
        <w:jc w:val="both"/>
        <w:rPr>
          <w:rFonts w:eastAsia="Calibri"/>
        </w:rPr>
      </w:pPr>
      <w:r w:rsidRPr="00CB5050">
        <w:rPr>
          <w:rFonts w:eastAsia="Calibri"/>
        </w:rPr>
        <w:t xml:space="preserve">Če se organ, ki je izdal upravni akt, na podlagi zgornjih izhodišč v posameznem postopku odloči Vladi RS predlagati prenos zakonske pristojnosti zastopanja na Državno odvetništvo RS, mora Državnemu odvetništvu RS pravočasno predložiti pooblastilo Vlade RS za zastopanje v posameznem upravnem sporu. Pooblastilo Vlade RS pa je šele formalna predpostavka zastopanja, ki vsebinsko kakovostnega zastopanja sama po sebi še ne omogoča. Zastopnik v </w:t>
      </w:r>
      <w:r w:rsidRPr="00CB5050">
        <w:rPr>
          <w:rFonts w:eastAsia="Calibri"/>
        </w:rPr>
        <w:lastRenderedPageBreak/>
        <w:t xml:space="preserve">upravnem sporu mora, ne nazadnje, sodišču predložiti vse spise, ki se nanašajo na zadevo (če jih upravni organ ni predložil že sam), vključno z dokazilom o tem, kdaj je bila odločba, s katero je bil postopek </w:t>
      </w:r>
      <w:r w:rsidRPr="00CB5050">
        <w:rPr>
          <w:rFonts w:eastAsia="Calibri"/>
          <w:color w:val="000000"/>
        </w:rPr>
        <w:t xml:space="preserve">končan, vročena tožeči stranki, </w:t>
      </w:r>
      <w:r w:rsidRPr="00CB5050">
        <w:rPr>
          <w:rFonts w:eastAsia="Calibri"/>
        </w:rPr>
        <w:t xml:space="preserve">zastopnik mora sodišču predložiti tudi morebitni odgovor na tožbo, v nadaljevanju postopka mora pristopiti na narok, če je razpisan, ter vlagati nadaljnje vloge in pravna sredstva, kar pomeni, da mora biti tudi sam z zadevo vsebinsko v celoti seznanjen. </w:t>
      </w:r>
    </w:p>
    <w:p w14:paraId="255EB946" w14:textId="77777777" w:rsidR="00695AE2" w:rsidRPr="00CB5050" w:rsidRDefault="00695AE2" w:rsidP="00695AE2">
      <w:pPr>
        <w:spacing w:line="240" w:lineRule="auto"/>
        <w:jc w:val="both"/>
        <w:rPr>
          <w:rFonts w:eastAsia="Calibri"/>
        </w:rPr>
      </w:pPr>
    </w:p>
    <w:p w14:paraId="3DF674AB" w14:textId="77777777" w:rsidR="00695AE2" w:rsidRPr="00CB5050" w:rsidRDefault="00695AE2" w:rsidP="00695AE2">
      <w:pPr>
        <w:spacing w:line="240" w:lineRule="auto"/>
        <w:jc w:val="both"/>
        <w:rPr>
          <w:rFonts w:eastAsia="Calibri"/>
        </w:rPr>
      </w:pPr>
      <w:r w:rsidRPr="00CB5050">
        <w:rPr>
          <w:rFonts w:eastAsia="Calibri"/>
        </w:rPr>
        <w:t xml:space="preserve">Brez listin upravnega spisa, brez vlog in pisanj v sodnem spisu, brez vsebinskih pojasnil, ki spadajo v specializacijo resornega organa, ni dejanskih možnosti za učinkovito zastopanje Republike Slovenije s strani Državnega odvetništva RS. Izjemno problematično je tudi, če vse potrebne listine in pooblastilo Državno odvetništvo RS prejme v zadnjem hipu ali, kot žal tudi izkazuje praksa, včasih le dan pred potekom roka oziroma tik pred narokom na sodišču. </w:t>
      </w:r>
    </w:p>
    <w:p w14:paraId="32E68D7A" w14:textId="77777777" w:rsidR="00695AE2" w:rsidRPr="00CB5050" w:rsidRDefault="00695AE2" w:rsidP="00695AE2">
      <w:pPr>
        <w:spacing w:line="240" w:lineRule="auto"/>
        <w:jc w:val="both"/>
        <w:rPr>
          <w:rFonts w:eastAsia="Calibri"/>
        </w:rPr>
      </w:pPr>
    </w:p>
    <w:p w14:paraId="51CE547D" w14:textId="77777777" w:rsidR="00695AE2" w:rsidRPr="00CB5050" w:rsidRDefault="00695AE2" w:rsidP="00695AE2">
      <w:pPr>
        <w:spacing w:line="240" w:lineRule="auto"/>
        <w:jc w:val="both"/>
        <w:rPr>
          <w:rFonts w:eastAsia="Calibri"/>
        </w:rPr>
      </w:pPr>
      <w:r w:rsidRPr="00CB5050">
        <w:rPr>
          <w:rFonts w:eastAsia="Calibri"/>
        </w:rPr>
        <w:t>Poudariti je treba tudi, da od sodišča določeni rok velja enotno za stranko in zastopnika, kar pomeni, da rok za Državno odvetništvo RS ne začne teči z dnem, ko je seznanjeno z zadevo ali ko prejme sklep vlade s pooblastilom, temveč mora državni odvetnik potrebno dejanje izvesti v roku, ki je bil določen stranki in ki je (če sploh) stranki še ostal na voljo. Zato je za Republiko Slovenijo tvegano, če je Državno odvetništvo RS o zadevi obveščeno, ko se rok za stranko že skoraj izteče, in toliko bolj, če od stranke še v tem kratkem roku ne prejme popolnega gradiva, če ni nemudoma seznanjeno s kontaktno osebo resornega organa, ki lahko da vsebinska pojasnila, in podobno. Včasih se žal tudi zgodi, da Državno odvetništvo RS tik pred potekom roka</w:t>
      </w:r>
      <w:r w:rsidRPr="00CB5050">
        <w:rPr>
          <w:rFonts w:eastAsia="Calibri"/>
          <w:color w:val="FF0000"/>
        </w:rPr>
        <w:t xml:space="preserve"> </w:t>
      </w:r>
      <w:r w:rsidRPr="00CB5050">
        <w:rPr>
          <w:rFonts w:eastAsia="Calibri"/>
        </w:rPr>
        <w:t>za odgovor na tožbo ali tik pred izvedbo naroka prejme le pooblastilo Vlade RS, brez vsakršnega gradiva, kar državnemu odvetniku, ki zadevo prejme v obravnavo, onemogoča kakršno koli seznanitev z zadevo, možnosti za uspešno zastopanje interesov države v upravnem sporu pa so s tem dejansko izničene.</w:t>
      </w:r>
    </w:p>
    <w:p w14:paraId="738C3113" w14:textId="77777777" w:rsidR="00695AE2" w:rsidRPr="00CB5050" w:rsidRDefault="00695AE2" w:rsidP="00695AE2">
      <w:pPr>
        <w:spacing w:line="240" w:lineRule="auto"/>
        <w:jc w:val="both"/>
        <w:rPr>
          <w:rFonts w:eastAsia="Calibri"/>
        </w:rPr>
      </w:pPr>
    </w:p>
    <w:p w14:paraId="644394CB" w14:textId="77777777" w:rsidR="00695AE2" w:rsidRPr="00CB5050" w:rsidRDefault="00695AE2" w:rsidP="00695AE2">
      <w:pPr>
        <w:spacing w:line="240" w:lineRule="auto"/>
        <w:jc w:val="both"/>
        <w:rPr>
          <w:rFonts w:eastAsia="Calibri"/>
        </w:rPr>
      </w:pPr>
      <w:r w:rsidRPr="00CB5050">
        <w:rPr>
          <w:rFonts w:eastAsia="Calibri"/>
        </w:rPr>
        <w:t xml:space="preserve">V izogib velikim tveganjem, ki so jih za uspešno zaščito interesov države v upravnih sporih prinašale zgoraj opisane okoliščine, je Državno odvetništvo RS predlagalo, da se pri morebitnem prenosu zakonske pristojnosti zastopanja na Državno odvetništvo RS kot primer dobre prakse upošteva naslednji </w:t>
      </w:r>
      <w:r w:rsidRPr="00CB5050">
        <w:rPr>
          <w:rFonts w:eastAsia="Calibri"/>
          <w:b/>
          <w:bCs/>
          <w:color w:val="007466"/>
        </w:rPr>
        <w:t>protokol ravnanja</w:t>
      </w:r>
      <w:r w:rsidRPr="00CB5050">
        <w:rPr>
          <w:rFonts w:eastAsia="Calibri"/>
        </w:rPr>
        <w:t>:</w:t>
      </w:r>
    </w:p>
    <w:p w14:paraId="0FB0295C" w14:textId="77777777" w:rsidR="00695AE2" w:rsidRPr="00CB5050" w:rsidRDefault="00695AE2" w:rsidP="00695AE2">
      <w:pPr>
        <w:spacing w:line="240" w:lineRule="auto"/>
        <w:jc w:val="both"/>
        <w:rPr>
          <w:rFonts w:eastAsia="Calibri"/>
        </w:rPr>
      </w:pPr>
    </w:p>
    <w:p w14:paraId="742F5A54" w14:textId="77777777" w:rsidR="00695AE2" w:rsidRPr="00CB5050" w:rsidRDefault="00695AE2" w:rsidP="00695AE2">
      <w:pPr>
        <w:numPr>
          <w:ilvl w:val="0"/>
          <w:numId w:val="125"/>
        </w:numPr>
        <w:spacing w:after="160" w:line="240" w:lineRule="auto"/>
        <w:contextualSpacing/>
        <w:jc w:val="both"/>
        <w:rPr>
          <w:rFonts w:eastAsia="Calibri"/>
        </w:rPr>
      </w:pPr>
      <w:r w:rsidRPr="00CB5050">
        <w:rPr>
          <w:rFonts w:eastAsia="Calibri"/>
        </w:rPr>
        <w:t xml:space="preserve">Upravni organ na podlagi zgoraj predstavljenih izhodišč oceni, ali je v navedenem primeru utemeljen prenos zakonske pristojnosti zastopanja v upravnem sporu na Državno odvetništvo RS. </w:t>
      </w:r>
    </w:p>
    <w:p w14:paraId="57A9334A" w14:textId="77777777" w:rsidR="00695AE2" w:rsidRPr="00CB5050" w:rsidRDefault="00695AE2" w:rsidP="00695AE2">
      <w:pPr>
        <w:spacing w:line="240" w:lineRule="auto"/>
        <w:ind w:left="360"/>
        <w:contextualSpacing/>
        <w:jc w:val="both"/>
        <w:rPr>
          <w:rFonts w:eastAsia="Calibri"/>
        </w:rPr>
      </w:pPr>
    </w:p>
    <w:p w14:paraId="11217195" w14:textId="77777777" w:rsidR="00695AE2" w:rsidRPr="00CB5050" w:rsidRDefault="00695AE2" w:rsidP="00695AE2">
      <w:pPr>
        <w:numPr>
          <w:ilvl w:val="0"/>
          <w:numId w:val="125"/>
        </w:numPr>
        <w:spacing w:after="160" w:line="240" w:lineRule="auto"/>
        <w:contextualSpacing/>
        <w:jc w:val="both"/>
        <w:rPr>
          <w:rFonts w:eastAsia="Calibri"/>
        </w:rPr>
      </w:pPr>
      <w:r w:rsidRPr="00CB5050">
        <w:rPr>
          <w:rFonts w:eastAsia="Calibri"/>
        </w:rPr>
        <w:t xml:space="preserve">Če se upravni organ odloči, da bo predlagal prenos zastopanja v upravnem sporu na Državno odvetništvo RS, o tej odločitvi in bistvenih razlogih zanjo po elektronski pošti nemudoma obvesti Državno odvetništvo RS, prav tako nemudoma pripravi gradivo za Vlado RS. </w:t>
      </w:r>
    </w:p>
    <w:p w14:paraId="4B0F107C" w14:textId="77777777" w:rsidR="00695AE2" w:rsidRPr="00CB5050" w:rsidRDefault="00695AE2" w:rsidP="00695AE2">
      <w:pPr>
        <w:spacing w:line="240" w:lineRule="auto"/>
        <w:contextualSpacing/>
        <w:rPr>
          <w:rFonts w:eastAsia="Calibri"/>
        </w:rPr>
      </w:pPr>
    </w:p>
    <w:p w14:paraId="1BF83719" w14:textId="77777777" w:rsidR="00695AE2" w:rsidRPr="00CB5050" w:rsidRDefault="00695AE2" w:rsidP="00695AE2">
      <w:pPr>
        <w:numPr>
          <w:ilvl w:val="0"/>
          <w:numId w:val="125"/>
        </w:numPr>
        <w:spacing w:after="160" w:line="240" w:lineRule="auto"/>
        <w:contextualSpacing/>
        <w:jc w:val="both"/>
        <w:rPr>
          <w:rFonts w:eastAsia="Calibri"/>
        </w:rPr>
      </w:pPr>
      <w:r w:rsidRPr="00CB5050">
        <w:rPr>
          <w:rFonts w:eastAsia="Calibri"/>
        </w:rPr>
        <w:t>Upravni organ Državnemu odvetništvu RS takoj, ko je možno, najkasneje pa ob pošiljanju gradiva Vladi RS, po elektronski pošti in v fizični obliki pošlje tudi naslednje podatke in listine (če glede na fazo postopka in dotedanje procesne dejavnosti upravnega organa že obstajajo):</w:t>
      </w:r>
    </w:p>
    <w:p w14:paraId="1C666997"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tožbo s prilogami,</w:t>
      </w:r>
    </w:p>
    <w:p w14:paraId="1FED7F7A"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 xml:space="preserve">odgovor na tožbo s prilogami, </w:t>
      </w:r>
    </w:p>
    <w:p w14:paraId="754038F1"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poziv sodišča za odgovor na tožbo z dohodno štampiljko upravnega organa,</w:t>
      </w:r>
    </w:p>
    <w:p w14:paraId="3BD57CA6"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lastRenderedPageBreak/>
        <w:t>dokazilo o vročitvi odločbe, s katero je bil postopek končan, tožeči stranki,</w:t>
      </w:r>
    </w:p>
    <w:p w14:paraId="081BB2F7"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vabilo na narok,</w:t>
      </w:r>
    </w:p>
    <w:p w14:paraId="29AD6C39"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upravni spis, če le-ta ni bil že poslan Upravnemu sodišču RS,</w:t>
      </w:r>
    </w:p>
    <w:p w14:paraId="7D1D8CE9"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morebitne druge listine sodnega spisa,</w:t>
      </w:r>
    </w:p>
    <w:p w14:paraId="71B3CE69"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morebitne druge relevantne podatke in dokazila,</w:t>
      </w:r>
    </w:p>
    <w:p w14:paraId="1A029772"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podatek o kontaktni osebi in morebitnem namestniku te osebe na upravnem organu, ki je ves čas na voljo za vsebinska pojasnila in ki v primeru, da je pri izdaji izpodbijane odločbe sodelovalo več upravnih organov, usklajuje sodelovanje drugih upravnih organov,</w:t>
      </w:r>
    </w:p>
    <w:p w14:paraId="7078A948" w14:textId="77777777" w:rsidR="00695AE2" w:rsidRPr="00CB5050" w:rsidRDefault="00695AE2" w:rsidP="00695AE2">
      <w:pPr>
        <w:numPr>
          <w:ilvl w:val="1"/>
          <w:numId w:val="126"/>
        </w:numPr>
        <w:spacing w:after="160" w:line="240" w:lineRule="auto"/>
        <w:contextualSpacing/>
        <w:jc w:val="both"/>
        <w:rPr>
          <w:rFonts w:eastAsia="Calibri"/>
        </w:rPr>
      </w:pPr>
      <w:r w:rsidRPr="00CB5050">
        <w:rPr>
          <w:rFonts w:eastAsia="Calibri"/>
        </w:rPr>
        <w:t>podatek o vsebinskem strokovnjaku ali več vsebinskih strokovnjakih, ki so na voljo za strokovna pojasnila na naroku za glavno obravnavo.</w:t>
      </w:r>
    </w:p>
    <w:p w14:paraId="60032A30" w14:textId="77777777" w:rsidR="00695AE2" w:rsidRPr="00CB5050" w:rsidRDefault="00695AE2" w:rsidP="00695AE2">
      <w:pPr>
        <w:spacing w:line="240" w:lineRule="auto"/>
        <w:ind w:left="426"/>
        <w:contextualSpacing/>
        <w:jc w:val="both"/>
        <w:rPr>
          <w:rFonts w:eastAsia="Calibri"/>
        </w:rPr>
      </w:pPr>
    </w:p>
    <w:p w14:paraId="7476572A" w14:textId="77777777" w:rsidR="00695AE2" w:rsidRPr="00CB5050" w:rsidRDefault="00695AE2" w:rsidP="00695AE2">
      <w:pPr>
        <w:numPr>
          <w:ilvl w:val="0"/>
          <w:numId w:val="125"/>
        </w:numPr>
        <w:spacing w:after="160" w:line="240" w:lineRule="auto"/>
        <w:contextualSpacing/>
        <w:jc w:val="both"/>
        <w:rPr>
          <w:rFonts w:eastAsia="Calibri"/>
        </w:rPr>
      </w:pPr>
      <w:r w:rsidRPr="00CB5050">
        <w:rPr>
          <w:rFonts w:eastAsia="Calibri"/>
        </w:rPr>
        <w:t>Listine in podatke iz 3. točke pošlje upravni organ Državnemu odvetništvu RS s spremnim dopisom, v katerem bodisi potrdi, da gre za posredovanje vseh razpoložljivih listin in podatka iz 3. točke tega postopkovnika, bodisi sporoči, katere listine oziroma podatki bodo posredovani naknadno in kdaj.</w:t>
      </w:r>
    </w:p>
    <w:p w14:paraId="7AFADD64" w14:textId="77777777" w:rsidR="00695AE2" w:rsidRPr="00CB5050" w:rsidRDefault="00695AE2" w:rsidP="00695AE2">
      <w:pPr>
        <w:spacing w:line="240" w:lineRule="auto"/>
        <w:ind w:left="426"/>
        <w:contextualSpacing/>
        <w:jc w:val="both"/>
        <w:rPr>
          <w:rFonts w:eastAsia="Calibri"/>
        </w:rPr>
      </w:pPr>
    </w:p>
    <w:p w14:paraId="050C3E57" w14:textId="77777777" w:rsidR="00695AE2" w:rsidRPr="00CB5050" w:rsidRDefault="00695AE2" w:rsidP="00695AE2">
      <w:pPr>
        <w:numPr>
          <w:ilvl w:val="0"/>
          <w:numId w:val="125"/>
        </w:numPr>
        <w:spacing w:after="160" w:line="240" w:lineRule="auto"/>
        <w:ind w:left="426"/>
        <w:contextualSpacing/>
        <w:jc w:val="both"/>
        <w:rPr>
          <w:rFonts w:eastAsia="Calibri"/>
        </w:rPr>
      </w:pPr>
      <w:r w:rsidRPr="00CB5050">
        <w:rPr>
          <w:rFonts w:eastAsia="Calibri"/>
        </w:rPr>
        <w:t xml:space="preserve">Če odgovora na tožbo še ni in rok za odgovor na tožbo še ni potekel, upravni organ Državnemu odvetništvu RS nemudoma posreduje tudi svojo strokovno opredelitev do tožbe ter vsa razpoložljiva dokazila. Če je pri izdaji izpodbijane odločbe sodelovalo več upravnih organov, ti Državnemu odvetništvu RS posredujejo usklajeno strokovno opredelitev do tožbe z morebitnimi dokazili, ki jo pošlje kontaktna oseba iz podtočke i točke 3 zgoraj, oziroma upravni organ, ki je izdal izpodbijano prvostopenjsko odločbo. </w:t>
      </w:r>
    </w:p>
    <w:p w14:paraId="41C05092" w14:textId="77777777" w:rsidR="00695AE2" w:rsidRPr="00CB5050" w:rsidRDefault="00695AE2" w:rsidP="00695AE2">
      <w:pPr>
        <w:spacing w:line="240" w:lineRule="auto"/>
        <w:ind w:left="720"/>
        <w:contextualSpacing/>
        <w:rPr>
          <w:rFonts w:eastAsia="Calibri"/>
        </w:rPr>
      </w:pPr>
    </w:p>
    <w:p w14:paraId="09DFB707" w14:textId="77777777" w:rsidR="00695AE2" w:rsidRPr="00CB5050" w:rsidRDefault="00695AE2" w:rsidP="00695AE2">
      <w:pPr>
        <w:numPr>
          <w:ilvl w:val="0"/>
          <w:numId w:val="125"/>
        </w:numPr>
        <w:spacing w:after="160" w:line="240" w:lineRule="auto"/>
        <w:ind w:left="426"/>
        <w:contextualSpacing/>
        <w:jc w:val="both"/>
        <w:rPr>
          <w:rFonts w:eastAsia="Calibri"/>
        </w:rPr>
      </w:pPr>
      <w:r w:rsidRPr="00CB5050">
        <w:rPr>
          <w:rFonts w:eastAsia="Calibri"/>
        </w:rPr>
        <w:t>Če Državno odvetništvo RS pred prejemom sklepa Vlade RS ne prejme vseh razpoložljivih listin in podatkov iz 3. točke, za opravo procesnega dejanja pa je na voljo tri dni ali manj, upravni organ Državnemu odvetništvu RS v času do oprave procesnega dejanja nudi vso potrebno strokovno podporo 24 ur na dan. To podporo na strani upravnega organa koordinira kontaktna oseba iz podtočke i točke 3 zgoraj oziroma njen namestnik.</w:t>
      </w:r>
    </w:p>
    <w:p w14:paraId="667D2DAE" w14:textId="77777777" w:rsidR="00695AE2" w:rsidRPr="00CB5050" w:rsidRDefault="00695AE2" w:rsidP="00695AE2">
      <w:pPr>
        <w:spacing w:line="240" w:lineRule="auto"/>
        <w:ind w:left="720"/>
        <w:contextualSpacing/>
        <w:rPr>
          <w:rFonts w:eastAsia="Calibri"/>
        </w:rPr>
      </w:pPr>
    </w:p>
    <w:p w14:paraId="6B4E5782" w14:textId="77777777" w:rsidR="00695AE2" w:rsidRPr="00CB5050" w:rsidRDefault="00695AE2" w:rsidP="00695AE2">
      <w:pPr>
        <w:numPr>
          <w:ilvl w:val="0"/>
          <w:numId w:val="125"/>
        </w:numPr>
        <w:spacing w:after="160" w:line="240" w:lineRule="auto"/>
        <w:ind w:left="426"/>
        <w:contextualSpacing/>
        <w:jc w:val="both"/>
        <w:rPr>
          <w:rFonts w:eastAsia="Calibri"/>
        </w:rPr>
      </w:pPr>
      <w:r w:rsidRPr="00CB5050">
        <w:rPr>
          <w:rFonts w:eastAsia="Calibri"/>
        </w:rPr>
        <w:t>Upravni organ spremlja postopek odločanja pri Vladi RS in se seznani s pooblastilom.</w:t>
      </w:r>
    </w:p>
    <w:p w14:paraId="377FF443" w14:textId="77777777" w:rsidR="00695AE2" w:rsidRPr="00CB5050" w:rsidRDefault="00695AE2" w:rsidP="00695AE2">
      <w:pPr>
        <w:spacing w:line="240" w:lineRule="auto"/>
        <w:contextualSpacing/>
        <w:jc w:val="both"/>
        <w:rPr>
          <w:rFonts w:eastAsia="Calibri"/>
        </w:rPr>
      </w:pPr>
    </w:p>
    <w:p w14:paraId="42CA86AE" w14:textId="77777777" w:rsidR="00695AE2" w:rsidRPr="00CB5050" w:rsidRDefault="00695AE2" w:rsidP="00695AE2">
      <w:pPr>
        <w:spacing w:line="240" w:lineRule="auto"/>
        <w:jc w:val="both"/>
        <w:rPr>
          <w:rFonts w:eastAsia="Calibri"/>
          <w:szCs w:val="22"/>
        </w:rPr>
      </w:pPr>
      <w:r w:rsidRPr="00CB5050">
        <w:rPr>
          <w:rFonts w:eastAsia="Calibri"/>
          <w:szCs w:val="22"/>
        </w:rPr>
        <w:t xml:space="preserve">Protokol ravnanja v teh zadevah, ki je bil konec leta 2023 s strani Generalnega sekretariata Vlade RS poslan zastopanim upravnim organom (ministrstvom), je bil torej vzpostavljen kot odgovor na v praksi zaznana neenotna ravnanja državnih organov ob prenosu pooblastil, zlasti v primerih, ko je Državno odvetništvo RS pooblastilo Vlade RS prejelo tik pred iztekom procesnih rokov ali brez celovite dokumentacije, kar je bistveno oteževalo kakovostno in učinkovito zastopanje pred Upravnim sodiščem. </w:t>
      </w:r>
    </w:p>
    <w:p w14:paraId="6E9DA0F7" w14:textId="77777777" w:rsidR="00695AE2" w:rsidRPr="00CB5050" w:rsidRDefault="00695AE2" w:rsidP="00695AE2">
      <w:pPr>
        <w:spacing w:line="240" w:lineRule="auto"/>
        <w:jc w:val="both"/>
        <w:rPr>
          <w:rFonts w:eastAsia="Calibri"/>
          <w:szCs w:val="22"/>
        </w:rPr>
      </w:pPr>
    </w:p>
    <w:p w14:paraId="3035292E" w14:textId="77777777" w:rsidR="00695AE2" w:rsidRPr="00CB5050" w:rsidRDefault="00695AE2" w:rsidP="00695AE2">
      <w:pPr>
        <w:tabs>
          <w:tab w:val="left" w:pos="0"/>
        </w:tabs>
        <w:spacing w:line="240" w:lineRule="auto"/>
        <w:jc w:val="both"/>
        <w:rPr>
          <w:rFonts w:eastAsia="Calibri"/>
        </w:rPr>
      </w:pPr>
      <w:r w:rsidRPr="00CB5050">
        <w:rPr>
          <w:rFonts w:eastAsia="Calibri"/>
        </w:rPr>
        <w:t xml:space="preserve">Državno odvetništvo RS meni, da zgornji protokol ravnanja po eni strani upošteva posebnosti zastopanja v upravnih sporih in namen smotrnosti, po drugi strani pa v primerih, ko je ugotovljeno, da je prenos zastopanja na Državno odvetništvo RS smiseln, omogoča, da je postopek prenosa zastopanja predvidljiv, varen in učinkovit ter da vsi deležniki k zastopanju države v upravnem sporu pristopijo z dolžno skrbnostjo. Tako so po naši oceni glede na obstoječo normativno ureditev zastopanja v upravnih sporih v največji možni meri zmanjšana tveganja zapletov v postopku, interesi Republike Slovenije na področju udeležbe v upravnih sporih pa v največji možni meri zaščiteni. </w:t>
      </w:r>
    </w:p>
    <w:p w14:paraId="02799086" w14:textId="77777777" w:rsidR="00695AE2" w:rsidRPr="00CB5050" w:rsidRDefault="00695AE2" w:rsidP="00695AE2">
      <w:pPr>
        <w:spacing w:line="240" w:lineRule="auto"/>
        <w:jc w:val="both"/>
        <w:rPr>
          <w:rFonts w:eastAsia="Calibri"/>
          <w:color w:val="000000"/>
        </w:rPr>
      </w:pPr>
    </w:p>
    <w:p w14:paraId="0CAA0ABF" w14:textId="77777777" w:rsidR="00695AE2" w:rsidRPr="00CB5050" w:rsidRDefault="00695AE2" w:rsidP="00695AE2">
      <w:pPr>
        <w:spacing w:line="240" w:lineRule="auto"/>
        <w:jc w:val="both"/>
        <w:rPr>
          <w:rFonts w:eastAsia="Calibri"/>
          <w:szCs w:val="22"/>
        </w:rPr>
      </w:pPr>
      <w:r w:rsidRPr="00CB5050">
        <w:rPr>
          <w:rFonts w:eastAsia="Calibri"/>
          <w:szCs w:val="22"/>
        </w:rPr>
        <w:t xml:space="preserve">Upravni oddelek, ki od 1. 4. 2024 kot specializirani oddelek deluje na sedežu Državnega odvetništva RS v  Ljubljani, je v letu 2024 začel organizirati sestanke z ministrstvi, na katerih se jim ponovno pojasni problematika ter poda zaprosilo za dosledno izpolnjevanje protokola. Dosledno spoštovanje protokola je namreč ključno za pravočasno seznanitev Državnega odvetništva RS z zadevo, zagotovitev popolne spisovne dokumentacije ter seznanitev z materialnim pravom in sodno prakso posameznega primera, v katerem se prevzame zastopanje. Le tako je mogoče zagotoviti vsebinsko pripravljeno, strokovno in procesno pravilno zastopanje države v upravnem sporu. Učinke izpeljanih sestankov Državno odvetništvo RS ocenjuje kot zelo uspešne, saj so zastopani subjekti Državno odvetništvo RS pričeli pravočasno obveščati glede namere, da bodo predlagali prenos zastopanja na Državno odvetništvo RS ter nas tudi pravočasno seznanijo z vso relevantno dokumentacijo. </w:t>
      </w:r>
    </w:p>
    <w:p w14:paraId="0DD318D9" w14:textId="77777777" w:rsidR="00695AE2" w:rsidRPr="00CB5050" w:rsidRDefault="00695AE2" w:rsidP="00695AE2">
      <w:pPr>
        <w:spacing w:line="240" w:lineRule="auto"/>
        <w:jc w:val="both"/>
        <w:rPr>
          <w:rFonts w:eastAsia="Calibri"/>
          <w:szCs w:val="22"/>
        </w:rPr>
      </w:pPr>
      <w:r w:rsidRPr="00CB5050">
        <w:rPr>
          <w:rFonts w:eastAsia="Calibri"/>
          <w:szCs w:val="22"/>
        </w:rPr>
        <w:t>Navedeno potrjuje potrebo po nadaljnjem sistematičnem vzdrževanju in krepitvi tega ukrepa kot enega ključnih pogojev za učinkovito izvajanje pristojnosti Državnega odvetništva RS pred Upravnim sodiščem.</w:t>
      </w:r>
    </w:p>
    <w:p w14:paraId="766CFC71" w14:textId="77777777" w:rsidR="00695AE2" w:rsidRPr="00CB5050" w:rsidRDefault="00695AE2" w:rsidP="00695AE2">
      <w:pPr>
        <w:spacing w:line="240" w:lineRule="auto"/>
        <w:jc w:val="both"/>
        <w:rPr>
          <w:rFonts w:eastAsia="Times New Roman"/>
          <w:szCs w:val="22"/>
        </w:rPr>
      </w:pPr>
      <w:r w:rsidRPr="00CB5050">
        <w:rPr>
          <w:rFonts w:eastAsia="Calibri"/>
          <w:szCs w:val="22"/>
        </w:rPr>
        <w:t xml:space="preserve"> </w:t>
      </w:r>
    </w:p>
    <w:p w14:paraId="4E1D836B" w14:textId="77777777" w:rsidR="00695AE2" w:rsidRPr="00CB5050" w:rsidRDefault="00695AE2" w:rsidP="00695AE2">
      <w:pPr>
        <w:spacing w:line="240" w:lineRule="auto"/>
        <w:jc w:val="both"/>
        <w:rPr>
          <w:rFonts w:eastAsia="Times New Roman"/>
          <w:szCs w:val="22"/>
        </w:rPr>
      </w:pPr>
      <w:r w:rsidRPr="00CB5050">
        <w:rPr>
          <w:rFonts w:eastAsia="Calibri"/>
          <w:szCs w:val="22"/>
        </w:rPr>
        <w:t xml:space="preserve">Državno odvetništvo RS še predlaga, da nas državni organi, </w:t>
      </w:r>
      <w:r w:rsidRPr="00CB5050">
        <w:rPr>
          <w:rFonts w:eastAsia="Times New Roman"/>
          <w:szCs w:val="22"/>
        </w:rPr>
        <w:t xml:space="preserve">v primeru, da nas Vlada RS pooblasti za zastopanje, seznanijo z obstoječo prakso, povezano z njihovim odločanjem, saj bi tako lahko Državno odvetništvo RS nudilo še učinkovitejše zastopanje pred Upravnim sodiščem. </w:t>
      </w:r>
    </w:p>
    <w:p w14:paraId="5D479030" w14:textId="77777777" w:rsidR="00695AE2" w:rsidRPr="00CB5050" w:rsidRDefault="00695AE2" w:rsidP="00695AE2">
      <w:pPr>
        <w:spacing w:line="240" w:lineRule="auto"/>
        <w:jc w:val="both"/>
        <w:rPr>
          <w:rFonts w:eastAsia="Calibri"/>
          <w:color w:val="000000"/>
        </w:rPr>
      </w:pPr>
    </w:p>
    <w:p w14:paraId="1D7365FE" w14:textId="77777777" w:rsidR="00695AE2" w:rsidRPr="00CB5050" w:rsidRDefault="00695AE2" w:rsidP="00695AE2">
      <w:pPr>
        <w:pStyle w:val="Naslov4"/>
      </w:pPr>
      <w:bookmarkStart w:id="1015" w:name="_Toc168845069"/>
      <w:bookmarkStart w:id="1016" w:name="_Toc191562060"/>
      <w:bookmarkStart w:id="1017" w:name="_Toc223094063"/>
      <w:r w:rsidRPr="00CB5050">
        <w:rPr>
          <w:lang w:eastAsia="sl-SI"/>
        </w:rPr>
        <w:t xml:space="preserve">Problematika s področja </w:t>
      </w:r>
      <w:r w:rsidRPr="00CB5050">
        <w:t>dodeljevanja brezplačne pravne pomoči</w:t>
      </w:r>
      <w:bookmarkEnd w:id="1015"/>
      <w:bookmarkEnd w:id="1016"/>
      <w:r w:rsidRPr="00CB5050">
        <w:t xml:space="preserve"> (BPP)</w:t>
      </w:r>
      <w:bookmarkEnd w:id="1017"/>
    </w:p>
    <w:p w14:paraId="6F1C91F8" w14:textId="77777777" w:rsidR="00695AE2" w:rsidRPr="00CB5050" w:rsidRDefault="00695AE2" w:rsidP="00695AE2">
      <w:pPr>
        <w:spacing w:line="240" w:lineRule="auto"/>
        <w:jc w:val="both"/>
        <w:rPr>
          <w:rFonts w:eastAsia="Calibri"/>
          <w:szCs w:val="22"/>
        </w:rPr>
      </w:pPr>
    </w:p>
    <w:p w14:paraId="3618C8FC" w14:textId="77777777" w:rsidR="00695AE2" w:rsidRPr="00CB5050" w:rsidRDefault="00695AE2" w:rsidP="00695AE2">
      <w:pPr>
        <w:spacing w:line="240" w:lineRule="auto"/>
        <w:jc w:val="both"/>
        <w:rPr>
          <w:rFonts w:eastAsia="Calibri" w:cs="Times New Roman"/>
        </w:rPr>
      </w:pPr>
      <w:r w:rsidRPr="00CB5050">
        <w:rPr>
          <w:rFonts w:eastAsia="Calibri" w:cs="Times New Roman"/>
        </w:rPr>
        <w:t xml:space="preserve">Državno odvetništvo RS  lahko skladno s četrtim odstavkom 34. člena ZBPP zoper odločbe oziroma sklepe pristojnega organa za brezplačno pravno pomoč vloži tožbo v upravnem sporu. Prav zaradi možnosti vložitve tožbe s strani Državnega odvetništva RS se odločbe, s katerimi pristojni organ za brezplačno pravno pomoč odloči o prošnji, s katero posameznik zahteva pridobitev brezplačne pravne pomoči, vročajo tudi Državnemu odvetništvu RS. </w:t>
      </w:r>
    </w:p>
    <w:p w14:paraId="6FE348FB" w14:textId="77777777" w:rsidR="00695AE2" w:rsidRPr="00CB5050" w:rsidRDefault="00695AE2" w:rsidP="00695AE2">
      <w:pPr>
        <w:spacing w:line="240" w:lineRule="auto"/>
        <w:jc w:val="both"/>
        <w:rPr>
          <w:rFonts w:eastAsia="Calibri"/>
        </w:rPr>
      </w:pPr>
    </w:p>
    <w:p w14:paraId="7D73B26D"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r w:rsidRPr="00CB5050">
        <w:rPr>
          <w:rFonts w:eastAsia="Calibri"/>
          <w:color w:val="000000"/>
          <w:kern w:val="2"/>
          <w14:ligatures w14:val="standardContextual"/>
        </w:rPr>
        <w:t>Državno odvetništvo RS</w:t>
      </w:r>
      <w:r w:rsidRPr="00CB5050">
        <w:rPr>
          <w:rFonts w:eastAsia="Calibri"/>
          <w:color w:val="000000"/>
          <w:kern w:val="2"/>
          <w:lang w:eastAsia="sl-SI"/>
          <w14:ligatures w14:val="standardContextual"/>
        </w:rPr>
        <w:t xml:space="preserve"> že nekaj zadnjih let ugotavlja porast števila vročenih odločb, s katerimi upravičenci pridobivajo brezplačno pravno pomoč v sodnih postopkih. </w:t>
      </w:r>
      <w:r w:rsidRPr="00CB5050">
        <w:rPr>
          <w:rFonts w:eastAsia="Calibri" w:cs="Times New Roman"/>
          <w:color w:val="000000"/>
          <w:kern w:val="2"/>
          <w14:ligatures w14:val="standardContextual"/>
        </w:rPr>
        <w:t>Iz tega naslova je bilo v zadnjem času, še posebno pa v letu 2025, tudi s strani drugih pravosodnih organov, zaznati izrazit porast porabe sredstev, plačanih za nagrade oziroma stroške sodnih postopkov, tako za dodeljene odvetnike prosilcem kot tudi za sodne izvedence in tolmače, odobrene kot BPP prosilcem v različnih civilnih in kazenskih postopkih. Razlogi za porast odobrenih prošenj za BPP in posledično porabljenih sredstev so večje število postopkov kaznivih dejanj v zvezi z migracijami, večji interes odvetnikov za BPP zaradi zvišanja tarife na 100 odstotkov nagrade (</w:t>
      </w:r>
      <w:r w:rsidRPr="00CB5050">
        <w:rPr>
          <w:rFonts w:eastAsia="Calibri"/>
          <w:color w:val="000000"/>
          <w:kern w:val="2"/>
          <w:shd w:val="clear" w:color="auto" w:fill="FFFFFF"/>
          <w14:ligatures w14:val="standardContextual"/>
        </w:rPr>
        <w:t>omejitev, ki je bila določena v petem odstavku 17. člena Zakona o odvetništvu, skladno s katerim je odvetnik, ki izvaja storitve brezplačne pravne pomoči, upravičen do plačila za svoje delo v višini polovice zneska, ki bi mu pripadal po odvetniški tarifi, je prenehala v letu 2023 – ZOdv-G</w:t>
      </w:r>
      <w:r w:rsidRPr="00CB5050">
        <w:rPr>
          <w:rFonts w:eastAsia="Calibri" w:cs="Times New Roman"/>
          <w:color w:val="000000"/>
          <w:kern w:val="2"/>
          <w14:ligatures w14:val="standardContextual"/>
        </w:rPr>
        <w:t>) in visok cenzus za dodelitev BPP.</w:t>
      </w:r>
    </w:p>
    <w:p w14:paraId="5A90F981" w14:textId="77777777" w:rsidR="00695AE2" w:rsidRPr="00CB5050" w:rsidRDefault="00695AE2" w:rsidP="00695AE2">
      <w:pPr>
        <w:spacing w:line="240" w:lineRule="auto"/>
        <w:jc w:val="both"/>
        <w:rPr>
          <w:rFonts w:eastAsia="Calibri"/>
          <w:lang w:eastAsia="sl-SI"/>
        </w:rPr>
      </w:pPr>
    </w:p>
    <w:p w14:paraId="06C0B816" w14:textId="77777777" w:rsidR="00695AE2" w:rsidRPr="00CB5050" w:rsidRDefault="00695AE2" w:rsidP="00695AE2">
      <w:pPr>
        <w:spacing w:line="240" w:lineRule="auto"/>
        <w:jc w:val="both"/>
        <w:rPr>
          <w:rFonts w:eastAsia="Calibri"/>
        </w:rPr>
      </w:pPr>
      <w:r w:rsidRPr="00CB5050">
        <w:rPr>
          <w:rFonts w:eastAsia="Calibri"/>
        </w:rPr>
        <w:t>Državno odvetništvo RS ob tem opozarja, da v postopkih dodeljevanja brezplačne pravne pomoči sodišča običajno popolnoma sledijo predlogom upravičencev glede izbire odvetnika zunaj okrožja sodišča, kjer poteka sodni postopek – prosilci imajo namreč možnost proste izbire odvetnika in</w:t>
      </w:r>
      <w:r w:rsidRPr="00CB5050">
        <w:rPr>
          <w:rFonts w:eastAsia="Calibri"/>
          <w:shd w:val="clear" w:color="auto" w:fill="FFFFFF"/>
        </w:rPr>
        <w:t xml:space="preserve"> Državno odvetništvo RS zaznava, da so v odločbah, s katerimi je upravičencem dodeljena BPP, za nudenje te vedno znova določeni isti odvetniki, ki so očitno </w:t>
      </w:r>
      <w:r w:rsidRPr="00CB5050">
        <w:rPr>
          <w:rFonts w:eastAsia="Calibri"/>
          <w:shd w:val="clear" w:color="auto" w:fill="FFFFFF"/>
        </w:rPr>
        <w:lastRenderedPageBreak/>
        <w:t>zaznali tovrstno priložnost na trgu odvetniških storitev.</w:t>
      </w:r>
      <w:r w:rsidRPr="00CB5050">
        <w:rPr>
          <w:rFonts w:eastAsia="Calibri"/>
        </w:rPr>
        <w:t xml:space="preserve"> To nedvomno povzroča bistveno višje stroške zastopanja, ki se krijejo iz sredstev BPP, brez neposredne povezave s kakovostjo oziroma strokovnostjo zastopanja.  </w:t>
      </w:r>
    </w:p>
    <w:p w14:paraId="2A62DEE3" w14:textId="77777777" w:rsidR="00695AE2" w:rsidRPr="00CB5050" w:rsidRDefault="00695AE2" w:rsidP="00695AE2">
      <w:pPr>
        <w:spacing w:line="240" w:lineRule="auto"/>
        <w:jc w:val="both"/>
        <w:rPr>
          <w:rFonts w:eastAsia="Calibri"/>
        </w:rPr>
      </w:pPr>
    </w:p>
    <w:p w14:paraId="2E0D7B77"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olor w:val="000000"/>
          <w:kern w:val="2"/>
          <w14:ligatures w14:val="standardContextual"/>
        </w:rPr>
        <w:t xml:space="preserve">Državno odvetništvo RS je v upravnih sporih skušalo spremeniti sodno prakso, ki bi lahko zagotovila smotrnejšo porabo proračunskih sredstev ob hkratnem zagotavljanju pravice do obrambe socialno šibkih oseb, vendar pri tem ni bilo uspešno. </w:t>
      </w:r>
      <w:r w:rsidRPr="00CB5050">
        <w:rPr>
          <w:rFonts w:eastAsia="Calibri" w:cs="Times New Roman"/>
          <w:color w:val="000000"/>
          <w:kern w:val="2"/>
          <w14:ligatures w14:val="standardContextual"/>
        </w:rPr>
        <w:t>Tožbe so bile vložene iz različnih razlogov, predvsem nepopolne ugotovitve okoliščin premoženjskega stanja prosilcev ter v primerih, kjer je prepoznana morebitna zloraba instituta brezplačne pravne pomoči iz razloga, ker ni izkazana verjetnost uspeha v postopkih, za katere prosilci prosijo za BPP ali morda celo izključena po samem zakonu.</w:t>
      </w:r>
      <w:r w:rsidRPr="00CB5050">
        <w:rPr>
          <w:rFonts w:ascii="Times New Roman" w:eastAsia="Calibri" w:hAnsi="Times New Roman" w:cs="Times New Roman"/>
          <w:color w:val="000000"/>
          <w:kern w:val="2"/>
          <w14:ligatures w14:val="standardContextual"/>
        </w:rPr>
        <w:t xml:space="preserve"> </w:t>
      </w:r>
      <w:r w:rsidRPr="00CB5050">
        <w:rPr>
          <w:rFonts w:eastAsia="Times New Roman"/>
          <w:color w:val="000000"/>
          <w:kern w:val="2"/>
          <w:lang w:eastAsia="sl-SI"/>
          <w14:ligatures w14:val="standardContextual"/>
        </w:rPr>
        <w:t>V nekaj primerih so bile tožbe vložene tudi zaradi bistvenih kršitev pravil postopka.</w:t>
      </w:r>
      <w:r>
        <w:rPr>
          <w:rFonts w:eastAsia="Times New Roman"/>
          <w:color w:val="000000"/>
          <w:kern w:val="2"/>
          <w:lang w:eastAsia="sl-SI"/>
          <w14:ligatures w14:val="standardContextual"/>
        </w:rPr>
        <w:t xml:space="preserve"> Ob pregledovanju</w:t>
      </w:r>
      <w:r w:rsidRPr="00CB5050">
        <w:rPr>
          <w:rFonts w:eastAsia="Times New Roman"/>
          <w:color w:val="000000"/>
          <w:kern w:val="2"/>
          <w:lang w:eastAsia="sl-SI"/>
          <w14:ligatures w14:val="standardContextual"/>
        </w:rPr>
        <w:t xml:space="preserve"> </w:t>
      </w:r>
      <w:r>
        <w:rPr>
          <w:rFonts w:eastAsia="Times New Roman"/>
          <w:color w:val="000000"/>
          <w:kern w:val="2"/>
          <w:lang w:eastAsia="sl-SI"/>
          <w14:ligatures w14:val="standardContextual"/>
        </w:rPr>
        <w:t xml:space="preserve">izdanih BPP odločb Državno odvetništvo RS namreč (pre)večkrat ugotavlja, da imajo odločbe o dodelitvi BPP preskope razloge ali pa so sploh brez razlogov ter njihov preizkus ni mogoč, četudi je morda sama odločitev pravilna. Zgolj zaradi omenjene procesne kršitve odločb o BPP Državno odvetništvo RS trenutno ne izpodbija, izključno v luči nepotrebnega obremenjevanja Upravnega sodišča. </w:t>
      </w:r>
      <w:r w:rsidRPr="00CB5050">
        <w:rPr>
          <w:rFonts w:eastAsia="Calibri" w:cs="Times New Roman"/>
          <w:color w:val="000000"/>
          <w:kern w:val="2"/>
          <w14:ligatures w14:val="standardContextual"/>
        </w:rPr>
        <w:t>Odločitve v upravnih sporih, sproženih na podlagi četrtega odstavka 34. člena ZBPP, nakazujejo, da Upravno sodišče določbe ZBPP razlaga in uporablja v smeri širokega dostopa do sodnega varstva</w:t>
      </w:r>
      <w:r>
        <w:rPr>
          <w:rFonts w:eastAsia="Calibri" w:cs="Times New Roman"/>
          <w:color w:val="000000"/>
          <w:kern w:val="2"/>
          <w14:ligatures w14:val="standardContextual"/>
        </w:rPr>
        <w:t xml:space="preserve">. </w:t>
      </w:r>
      <w:r>
        <w:rPr>
          <w:rFonts w:eastAsia="Times New Roman"/>
          <w:color w:val="000000"/>
          <w:kern w:val="2"/>
          <w:lang w:eastAsia="sl-SI"/>
          <w14:ligatures w14:val="standardContextual"/>
        </w:rPr>
        <w:t xml:space="preserve">Prav tako se kot problematično izkaže samo trajanje postopkov pred Upravnim sodiščem, ki v posameznih primerih odločijo šele potem, ko je lahko postopek, za katerega je prosilec prejel BPP, že zaključen in nagrada odvetniku že izplačana. </w:t>
      </w:r>
    </w:p>
    <w:p w14:paraId="56464544" w14:textId="77777777" w:rsidR="00695AE2" w:rsidRPr="00CB5050" w:rsidRDefault="00695AE2" w:rsidP="00695AE2">
      <w:pPr>
        <w:spacing w:line="240" w:lineRule="auto"/>
        <w:jc w:val="both"/>
        <w:rPr>
          <w:rFonts w:eastAsia="Calibri"/>
        </w:rPr>
      </w:pPr>
    </w:p>
    <w:p w14:paraId="60DC3504" w14:textId="77777777" w:rsidR="00695AE2" w:rsidRPr="00CB5050" w:rsidRDefault="00695AE2" w:rsidP="00695AE2">
      <w:pPr>
        <w:widowControl w:val="0"/>
        <w:spacing w:line="240" w:lineRule="auto"/>
        <w:jc w:val="both"/>
        <w:rPr>
          <w:rFonts w:ascii="Times New Roman" w:eastAsia="Calibri" w:hAnsi="Times New Roman" w:cs="Times New Roman"/>
          <w:color w:val="000000"/>
          <w:kern w:val="2"/>
          <w14:ligatures w14:val="standardContextual"/>
        </w:rPr>
      </w:pPr>
      <w:r w:rsidRPr="00CB5050">
        <w:rPr>
          <w:rFonts w:eastAsia="Calibri" w:cs="Times New Roman"/>
          <w:color w:val="000000"/>
          <w:kern w:val="2"/>
          <w14:ligatures w14:val="standardContextual"/>
        </w:rPr>
        <w:t xml:space="preserve">Državno odvetništvo RS izpostavlja </w:t>
      </w:r>
      <w:r w:rsidRPr="00CB5050">
        <w:rPr>
          <w:rFonts w:eastAsia="Calibri" w:cs="Times New Roman"/>
          <w:bCs/>
          <w:color w:val="000000"/>
          <w:kern w:val="2"/>
          <w14:ligatures w14:val="standardContextual"/>
        </w:rPr>
        <w:t xml:space="preserve">sodbo Vrhovnega sodišča RS, opr. št. X Ips 11/2025 z dne 19. 11. 2025, </w:t>
      </w:r>
      <w:r w:rsidRPr="00CB5050">
        <w:rPr>
          <w:rFonts w:eastAsia="Calibri" w:cs="Times New Roman"/>
          <w:color w:val="000000"/>
          <w:kern w:val="2"/>
          <w14:ligatures w14:val="standardContextual"/>
        </w:rPr>
        <w:t xml:space="preserve">kjer je Državno odvetništvo RS uveljavljalo širše obravnavanje materialnega položaja prosilca po ZBPP, in sicer upoštevaje tudi t. i. krivdni kriterij, ki se uporablja tudi za druge socialno varstvene prejemke po ZSVarPre. Prosilec je namreč izkazoval, da nima nobenega premoženja in da ima nizke dohodke. Pri tem organ BPP ni preverjal okoliščin v smeri t. i. krivdnega kriterija oziroma, ali je prosilec sam kriv za okoliščine, zaradi katerih se je znašel v prikazanem slabem materialnem položaju. Vrhovno sodišče RS je dopustilo revizijo glede vprašanja </w:t>
      </w:r>
      <w:r w:rsidRPr="00CB5050">
        <w:rPr>
          <w:rFonts w:eastAsia="Calibri" w:cs="Times New Roman"/>
          <w:i/>
          <w:color w:val="000000"/>
          <w:kern w:val="2"/>
          <w14:ligatures w14:val="standardContextual"/>
        </w:rPr>
        <w:t>»Ali je pravilno stališče sodišča, da se pri ugotavljanju izpolnjevanja materialnega položaja prosilca za dodelitev BPP po določbah ZBPP ne uporablja t. i. krivdni kriterij ob smiselni uporabi določb ZSVarPre?«</w:t>
      </w:r>
      <w:r w:rsidRPr="00CB5050">
        <w:rPr>
          <w:rFonts w:eastAsia="Calibri" w:cs="Times New Roman"/>
          <w:iCs/>
          <w:color w:val="000000"/>
          <w:kern w:val="2"/>
          <w14:ligatures w14:val="standardContextual"/>
        </w:rPr>
        <w:t>.</w:t>
      </w:r>
    </w:p>
    <w:p w14:paraId="7AEAC932"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1C356ED7"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r w:rsidRPr="00CB5050">
        <w:rPr>
          <w:rFonts w:eastAsia="Calibri" w:cs="Times New Roman"/>
          <w:color w:val="000000"/>
          <w:kern w:val="2"/>
          <w14:ligatures w14:val="standardContextual"/>
        </w:rPr>
        <w:t xml:space="preserve">Kot predhodno Upravno sodišče po vloženi tožbi zoper odločbo o dodelitvi BPP zaradi neizpolnjevanja premoženjskega kriterija (v sodbi, opr. št. III U 101/2024 z dne 27. 11. 2024) je tudi Vrhovno sodišče RS zavrnilo revizijo oziroma argumente tožeče stranke Državnega odvetništva RS. Zavzeto je bilo stališče, da se v postopku dodeljevanja BPP uporabljajo le točno določene določbe ZSVarPre o </w:t>
      </w:r>
      <w:r w:rsidRPr="00CB5050">
        <w:rPr>
          <w:rFonts w:eastAsia="Calibri" w:cs="Times New Roman"/>
          <w:bCs/>
          <w:color w:val="000000"/>
          <w:kern w:val="2"/>
          <w14:ligatures w14:val="standardContextual"/>
        </w:rPr>
        <w:t xml:space="preserve">načinu ugotavljanja </w:t>
      </w:r>
      <w:r w:rsidRPr="00CB5050">
        <w:rPr>
          <w:rFonts w:eastAsia="Calibri" w:cs="Times New Roman"/>
          <w:color w:val="000000"/>
          <w:kern w:val="2"/>
          <w14:ligatures w14:val="standardContextual"/>
        </w:rPr>
        <w:t>materialnega položaja, medtem, ko razlaga določb ZBPP ne dopušča, da bi se uporabile tudi splošne in posebne določbe ZSVarPre, ki urejajo t. i. krivdne razloge (do socialne pomoči niso upravičene osebe, ki so same zakrivile razloge, zaradi katerih so se znašle v slabem materialnem položaju). Vrhovno sodišče RS je tako položaj prosilcev za BPP postavilo v ugodnejši položaj, kot prosilce za denarno socialno pomoč, kar je opravičilo s tem, da tudi obravnavana področna zakona ne urejata enako finančnih pogojev za dodelitev socialno varstvenih prejemkov in BPP, kot tudi, da je namen obeh upravičenj različen. Namen BPP je uresničevanje pravice do sodnega varstva, ne le zadovoljevanje minimalnih življenjskih potreb.</w:t>
      </w:r>
    </w:p>
    <w:p w14:paraId="48E9E255" w14:textId="77777777" w:rsidR="00695AE2" w:rsidRPr="00CB5050" w:rsidRDefault="00695AE2" w:rsidP="00695AE2">
      <w:pPr>
        <w:widowControl w:val="0"/>
        <w:spacing w:line="240" w:lineRule="auto"/>
        <w:jc w:val="both"/>
        <w:rPr>
          <w:rFonts w:eastAsia="Calibri" w:cs="Times New Roman"/>
          <w:color w:val="000000"/>
          <w:kern w:val="2"/>
          <w14:ligatures w14:val="standardContextual"/>
        </w:rPr>
      </w:pPr>
    </w:p>
    <w:p w14:paraId="4F9CA182" w14:textId="77777777" w:rsidR="00695AE2" w:rsidRPr="00CB5050" w:rsidRDefault="00695AE2" w:rsidP="00695AE2">
      <w:pPr>
        <w:spacing w:line="240" w:lineRule="auto"/>
        <w:jc w:val="both"/>
        <w:rPr>
          <w:rFonts w:eastAsia="Calibri"/>
        </w:rPr>
      </w:pPr>
      <w:r w:rsidRPr="00CB5050">
        <w:rPr>
          <w:rFonts w:eastAsia="Calibri" w:cs="Times New Roman"/>
          <w:color w:val="000000"/>
        </w:rPr>
        <w:lastRenderedPageBreak/>
        <w:t>Po oceni Državnega odvetništva RS ob trenutno veljavni zakonodaji ter cenzusu 988,18 evrov (2 x minimalni dohodek) na družinskega člana ter upoštevaje sodno prakso nikakor ni pričakovati upada obsega zaprošene in dodeljene BPP ali manj zlorab, vezanih na neresnično prikazovanje materialnega položaja, kakor tudi ne nižjih stroškov za nagrade (zasebnim) odvetnikom, izplačanih iz proračunskih sredstev.</w:t>
      </w:r>
      <w:r w:rsidRPr="00CB5050">
        <w:rPr>
          <w:rFonts w:eastAsia="Times New Roman"/>
          <w:lang w:eastAsia="sl-SI"/>
        </w:rPr>
        <w:t xml:space="preserve"> Problem dodeljevanja BPP je sicer sistemske narave in so potrebne spremembe na zakonodajni ravni, če želi država zmanjšati proračunska sredstva iz tega naslova. </w:t>
      </w:r>
      <w:r w:rsidRPr="00CB5050">
        <w:rPr>
          <w:rFonts w:eastAsia="Calibri"/>
          <w:lang w:eastAsia="sl-SI"/>
        </w:rPr>
        <w:t>Državno odvetništvo RS  še pojasnjuje, da je v teku priprava predloga sprememb ZBPP, Državno odvetništvo RS pa aktivno sodeluje v delovni skupini Ministrstva za pravosodje, ki je zadolžena za pripravo zakonskih sprememb. Zaradi aktualnosti problematike dodeljevanja BPP je bilo na Šoli državnega odvetništva 2025 v Postojni posebno predavanje namenjeno tudi tej tematiki, izvedla pa ga je višja državna odvetnica Mojca Ivančič Jelačin.</w:t>
      </w:r>
    </w:p>
    <w:p w14:paraId="46ECCEC5" w14:textId="77777777" w:rsidR="00695AE2" w:rsidRDefault="00695AE2" w:rsidP="00695AE2">
      <w:pPr>
        <w:spacing w:line="240" w:lineRule="auto"/>
        <w:jc w:val="both"/>
        <w:rPr>
          <w:rFonts w:eastAsia="Calibri"/>
        </w:rPr>
      </w:pPr>
    </w:p>
    <w:p w14:paraId="05C52D8B" w14:textId="77777777" w:rsidR="00695AE2" w:rsidRPr="00CB5050" w:rsidRDefault="00695AE2" w:rsidP="00695AE2">
      <w:pPr>
        <w:spacing w:line="240" w:lineRule="auto"/>
        <w:jc w:val="both"/>
        <w:rPr>
          <w:rFonts w:eastAsia="Calibri" w:cs="Times New Roman"/>
        </w:rPr>
      </w:pPr>
      <w:r w:rsidRPr="00CB5050">
        <w:rPr>
          <w:rFonts w:eastAsia="Calibri"/>
        </w:rPr>
        <w:t>Državno odvetništvo RS se trenutno ukvarja z zagotavljanjem pogojev za vzpostavitev učinkovitega pregleda prejetih odločb ter oprave njihove vsebinske presoje, vse z namenom skrbi za zakonito porabo proračunskih sredstev</w:t>
      </w:r>
      <w:r w:rsidRPr="00CB5050">
        <w:rPr>
          <w:rFonts w:eastAsia="Calibri" w:cs="Times New Roman"/>
        </w:rPr>
        <w:t xml:space="preserve">. </w:t>
      </w:r>
    </w:p>
    <w:p w14:paraId="7870D607" w14:textId="77777777" w:rsidR="00695AE2" w:rsidRPr="00CB5050" w:rsidRDefault="00695AE2" w:rsidP="00695AE2">
      <w:pPr>
        <w:spacing w:line="240" w:lineRule="auto"/>
        <w:jc w:val="both"/>
        <w:rPr>
          <w:rFonts w:eastAsia="Times New Roman"/>
          <w:lang w:eastAsia="sl-SI"/>
        </w:rPr>
      </w:pPr>
    </w:p>
    <w:p w14:paraId="1BCFD503" w14:textId="77777777" w:rsidR="00695AE2" w:rsidRPr="00CB5050" w:rsidRDefault="00695AE2" w:rsidP="00695AE2">
      <w:pPr>
        <w:pStyle w:val="Naslov4"/>
        <w:rPr>
          <w:rFonts w:cs="Times New Roman"/>
        </w:rPr>
      </w:pPr>
      <w:bookmarkStart w:id="1018" w:name="_Toc223094064"/>
      <w:r w:rsidRPr="00CB5050">
        <w:rPr>
          <w:lang w:eastAsia="sl-SI"/>
        </w:rPr>
        <w:t>Splošna priporočila</w:t>
      </w:r>
      <w:bookmarkEnd w:id="1018"/>
    </w:p>
    <w:p w14:paraId="0F2BA158" w14:textId="77777777" w:rsidR="00695AE2" w:rsidRPr="00CB5050" w:rsidRDefault="00695AE2" w:rsidP="00695AE2">
      <w:pPr>
        <w:spacing w:line="240" w:lineRule="auto"/>
        <w:jc w:val="both"/>
        <w:rPr>
          <w:rFonts w:eastAsia="Calibri"/>
          <w:szCs w:val="22"/>
        </w:rPr>
      </w:pPr>
    </w:p>
    <w:p w14:paraId="17D96ADD"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Državno odvetništvo RS po pregledu prejetih in zaključenih upravnih zadev v letu 2025 ugotavlja, da je nujno, da upravni organi dosledno upoštevajo procesna pravila pri vodenju upravnih postopkov, še zlasti, da  zagotavljajo pravico do izjave, kar vse izhaja iz obrazložitev prejetih sodb upravnega sodišča. </w:t>
      </w:r>
    </w:p>
    <w:p w14:paraId="0AE5551D" w14:textId="77777777" w:rsidR="00695AE2" w:rsidRPr="00CB5050" w:rsidRDefault="00695AE2" w:rsidP="00695AE2">
      <w:pPr>
        <w:spacing w:line="240" w:lineRule="auto"/>
        <w:jc w:val="both"/>
        <w:rPr>
          <w:rFonts w:eastAsia="Times New Roman"/>
          <w:szCs w:val="22"/>
        </w:rPr>
      </w:pPr>
    </w:p>
    <w:p w14:paraId="1AFEEF30" w14:textId="77777777" w:rsidR="00695AE2" w:rsidRPr="00CB5050" w:rsidRDefault="00695AE2" w:rsidP="00695AE2">
      <w:pPr>
        <w:spacing w:line="240" w:lineRule="auto"/>
        <w:jc w:val="both"/>
        <w:rPr>
          <w:rFonts w:eastAsia="Times New Roman"/>
          <w:szCs w:val="22"/>
        </w:rPr>
      </w:pPr>
      <w:r w:rsidRPr="00CB5050">
        <w:rPr>
          <w:rFonts w:eastAsia="Times New Roman"/>
          <w:szCs w:val="22"/>
        </w:rPr>
        <w:t xml:space="preserve">Državno odvetništvo RS na podlagi prejetih sodb Upravnega sodišča opaža, da prihaja do nepričakovanih odstopov od sodne prakse, kljub temu, da ne prihaja do sprememb obstoječe zakonodaje. Glede na slednje, so bili v letu 2025 večkrat podani predlogi za dopustitev revizije pred Vrhovnim sodiščem RS. </w:t>
      </w:r>
    </w:p>
    <w:p w14:paraId="412ABA03" w14:textId="77777777" w:rsidR="00695AE2" w:rsidRPr="00CB5050" w:rsidRDefault="00695AE2" w:rsidP="00695AE2">
      <w:pPr>
        <w:spacing w:line="240" w:lineRule="auto"/>
        <w:jc w:val="both"/>
        <w:rPr>
          <w:rFonts w:eastAsia="Calibri"/>
          <w:szCs w:val="22"/>
        </w:rPr>
      </w:pPr>
    </w:p>
    <w:p w14:paraId="1F2EDA10" w14:textId="77777777" w:rsidR="00695AE2" w:rsidRPr="00CB5050" w:rsidRDefault="00695AE2" w:rsidP="00695AE2">
      <w:pPr>
        <w:pStyle w:val="Naslov4"/>
        <w:rPr>
          <w:rFonts w:cs="Times New Roman"/>
        </w:rPr>
      </w:pPr>
      <w:bookmarkStart w:id="1019" w:name="_Toc223094065"/>
      <w:r w:rsidRPr="00CB5050">
        <w:rPr>
          <w:lang w:eastAsia="sl-SI"/>
        </w:rPr>
        <w:t>Vsebinska predstavitev pomembnejših prejetih zadev</w:t>
      </w:r>
      <w:bookmarkEnd w:id="1019"/>
      <w:r w:rsidRPr="00CB5050">
        <w:rPr>
          <w:lang w:eastAsia="sl-SI"/>
        </w:rPr>
        <w:t xml:space="preserve"> </w:t>
      </w:r>
    </w:p>
    <w:p w14:paraId="63704A8A" w14:textId="77777777" w:rsidR="00695AE2" w:rsidRPr="00CB5050" w:rsidRDefault="00695AE2" w:rsidP="00695AE2">
      <w:pPr>
        <w:spacing w:line="240" w:lineRule="auto"/>
        <w:jc w:val="both"/>
        <w:rPr>
          <w:rFonts w:eastAsia="Calibri"/>
          <w:szCs w:val="22"/>
        </w:rPr>
      </w:pPr>
    </w:p>
    <w:p w14:paraId="65E868D9" w14:textId="77777777" w:rsidR="00695AE2" w:rsidRPr="00CB5050" w:rsidRDefault="00695AE2" w:rsidP="00695AE2">
      <w:pPr>
        <w:pStyle w:val="Naslov5"/>
        <w:rPr>
          <w:lang w:eastAsia="sl-SI"/>
        </w:rPr>
      </w:pPr>
      <w:bookmarkStart w:id="1020" w:name="_Toc223094066"/>
      <w:r w:rsidRPr="00CB5050">
        <w:rPr>
          <w:lang w:eastAsia="sl-SI"/>
        </w:rPr>
        <w:t xml:space="preserve">Upravni spori </w:t>
      </w:r>
      <w:r>
        <w:rPr>
          <w:lang w:eastAsia="sl-SI"/>
        </w:rPr>
        <w:t>na področju</w:t>
      </w:r>
      <w:r w:rsidRPr="00CB5050">
        <w:rPr>
          <w:lang w:eastAsia="sl-SI"/>
        </w:rPr>
        <w:t xml:space="preserve"> varstva okolja</w:t>
      </w:r>
      <w:bookmarkEnd w:id="1020"/>
      <w:r w:rsidRPr="00CB5050">
        <w:rPr>
          <w:lang w:eastAsia="sl-SI"/>
        </w:rPr>
        <w:t xml:space="preserve"> </w:t>
      </w:r>
    </w:p>
    <w:p w14:paraId="200B2912" w14:textId="77777777" w:rsidR="00695AE2" w:rsidRPr="00CB5050" w:rsidRDefault="00695AE2" w:rsidP="00695AE2">
      <w:pPr>
        <w:spacing w:line="240" w:lineRule="auto"/>
        <w:rPr>
          <w:rFonts w:eastAsia="Calibri"/>
          <w:bCs/>
        </w:rPr>
      </w:pPr>
    </w:p>
    <w:p w14:paraId="67336204" w14:textId="77777777" w:rsidR="00695AE2" w:rsidRPr="00CB5050" w:rsidRDefault="00695AE2" w:rsidP="00695AE2">
      <w:pPr>
        <w:widowControl w:val="0"/>
        <w:tabs>
          <w:tab w:val="left" w:pos="1440"/>
        </w:tabs>
        <w:spacing w:line="240" w:lineRule="auto"/>
        <w:jc w:val="both"/>
        <w:rPr>
          <w:rFonts w:eastAsia="Calibri"/>
          <w:bCs/>
          <w:color w:val="007466"/>
        </w:rPr>
      </w:pPr>
      <w:r w:rsidRPr="00CB5050">
        <w:rPr>
          <w:rFonts w:eastAsia="Times New Roman"/>
          <w:bCs/>
          <w:color w:val="007466"/>
          <w:lang w:eastAsia="sl-SI"/>
        </w:rPr>
        <w:t xml:space="preserve">Alpe Adria Green zoper RS – </w:t>
      </w:r>
      <w:r w:rsidRPr="00CB5050">
        <w:rPr>
          <w:rFonts w:eastAsia="Calibri"/>
          <w:bCs/>
          <w:color w:val="007466"/>
        </w:rPr>
        <w:t xml:space="preserve">tožba zoper sklep / dovoljenje Ministrstva za naravne vire in prostor o ukrepu odvzema 206 osebkov vrste rjavega medveda iz narave </w:t>
      </w:r>
    </w:p>
    <w:p w14:paraId="3944226C" w14:textId="77777777" w:rsidR="00695AE2" w:rsidRPr="00CB5050" w:rsidRDefault="00695AE2" w:rsidP="00695AE2">
      <w:pPr>
        <w:widowControl w:val="0"/>
        <w:tabs>
          <w:tab w:val="left" w:pos="1440"/>
        </w:tabs>
        <w:spacing w:line="240" w:lineRule="auto"/>
        <w:jc w:val="both"/>
        <w:rPr>
          <w:rFonts w:eastAsia="Calibri"/>
          <w:bCs/>
        </w:rPr>
      </w:pPr>
    </w:p>
    <w:p w14:paraId="05E96374"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Ministrstvo  za naravne vire in prostor je dne 22. 5. 2025 izdalo dovoljenje o ukrepu odvzema 206 osebkov vrste rjavega medveda iz narave. Zoper citirano dovoljenje je tožbo vložila nevladna organizacija Alpe Adria Green, pri čemer zatrjuje nezakonitost dovoljenja, saj da so bile v postopku kršene procesne pravice ter da je prišlo do kršitve materialnega prava. </w:t>
      </w:r>
      <w:bookmarkStart w:id="1021" w:name="_Hlk98319944"/>
      <w:bookmarkStart w:id="1022" w:name="_Hlk135738234"/>
    </w:p>
    <w:p w14:paraId="659900ED" w14:textId="77777777" w:rsidR="00695AE2" w:rsidRPr="00CB5050" w:rsidRDefault="00695AE2" w:rsidP="00695AE2">
      <w:pPr>
        <w:widowControl w:val="0"/>
        <w:tabs>
          <w:tab w:val="left" w:pos="1440"/>
        </w:tabs>
        <w:spacing w:line="240" w:lineRule="auto"/>
        <w:jc w:val="both"/>
        <w:rPr>
          <w:rFonts w:eastAsia="Calibri"/>
          <w:bCs/>
        </w:rPr>
      </w:pPr>
    </w:p>
    <w:p w14:paraId="39C56F3F"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Republika Slovenija kot tožena stranka tekom postopka zatrjuje, da je za vprašanje zakonitosti izpodbijanega dovoljenja v konkretnem primeru bistveno, da je upravni organ pri izdaji dovoljenja pravilno uporabil materialno pravo in pravilno presojal izpolnjenost pogojev trojnega testa, ki predstavlja izjemo od režima strogega varstva varovane vrste (tudi medveda) skladno s 7. členom Uredbe o zavarovanih prosto živečih živalskih vrstah. Selektivni in omejeni odvzem medvedov je potreben zaradi rešitve problema povečanih konfliktov, ki jih povzroča medved, ki so posledica velikih gostot in značilnosti znotraj vrstnih odnosov med medvedi. </w:t>
      </w:r>
      <w:r w:rsidRPr="00CB5050">
        <w:rPr>
          <w:rFonts w:eastAsia="Calibri"/>
          <w:bCs/>
        </w:rPr>
        <w:lastRenderedPageBreak/>
        <w:t>Povečani konflikti so evidentirani in so nesporno dejstvo, kot vse izhaja iz Strokovnega mnenja Zavoda za gozdove in pisnega stališča Zavoda RS za varstvo narave, ki skladno z 8. členom Uredbe o zavarovanih prosto živečih živalskih vrstah predstavljata podlago za izdajo izpodbijanega dovoljenja. Tožena stranka tako izpostavlja, da številčnost medvedov ni problem sam po sebi, kot to zavajajoče predstavlja tožeča stranka, temveč je problem povečanje ter linearno naraščanje števila konfliktov zaznanih med medvedom in človekom, ki se bo brez ukrepanja le še povečevalo. Tožena stranka je v dovoljenju upoštevala obseg konfliktov, jih ponderirala glede na njihovo težo in naravo in z metodo ponderiranega združevanja konfliktov dokazala, da konflikti nedvomno predstavljajo v bodoče grozečo resno škodo za varnost ljudi kot tudi resno škodo na živini oziroma premoženju. Zato je prvi razlog po trojnem testu nedvomno izkazan, saj obstaja razlog za odvzem po drugi in tretji alineji prvega odstavka 7. člena uredbe (po 16(1)(b) členu Habitatne direktive) to je »preprečitev resne škode za javno varnost oziroma varnost ljudi, zlasti zaradi pojavljanja medvedov v naseljih oziroma v njihovi neposredni bližini in preprečitev resne škode na živini oziroma drugih vrstah premoženja«.</w:t>
      </w:r>
    </w:p>
    <w:p w14:paraId="664993FC" w14:textId="77777777" w:rsidR="00695AE2" w:rsidRPr="00CB5050" w:rsidRDefault="00695AE2" w:rsidP="00695AE2">
      <w:pPr>
        <w:widowControl w:val="0"/>
        <w:tabs>
          <w:tab w:val="left" w:pos="1440"/>
        </w:tabs>
        <w:spacing w:line="240" w:lineRule="auto"/>
        <w:jc w:val="both"/>
        <w:rPr>
          <w:rFonts w:eastAsia="Calibri"/>
          <w:bCs/>
        </w:rPr>
      </w:pPr>
    </w:p>
    <w:p w14:paraId="2FBF0B0E"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Nadalje se dovoljenje opira na strokovno mnenje Zavoda za gozdove in pisno stališče Zavoda RS za varstvo narave, ki sta pravilno zaključila, da je predmetni ukrep odstrela nujen ter da ni drugih alternativnih ukrepov, ki bi lahko zmanjšali gostoto konfliktov. Namreč alternativni ukrepi, kot so odlov in preselitev osebka, sterilizacija in zadrževanje v ujetništvu, niso sprejemljivi. Nadalje ukinitev krmljenja ne vpliva na zmanjšanje reprodukcije oziroma na samoregulacijo, saj za to ni relevantnih dokazov. Zaščitni ukrepi ter informiranje javnosti se že intenzivno izvajajo, pri čemer pa se je z njimi uspelo zmanjšati napade medvedov na drobnico, večina drugih konfliktov pa narašča. Nadalje iz mnenja in ekspertize Zavoda za gozdove izhaja, da ocena številčnosti populacije medveda temelji na štirih pristopih, ki imajo za osnovo evidentirane podatke o odvzemih medvedov in kalibracijskih podatkih po genetski metodi, narejeni jeseni 2007, 2015 in 2023. Rezultati so potrdili, da so podatki izredno točni in da je ocena spomladanske številčnosti za leto 2025 954 osebkov. Območje razširjenosti se tako ne zmanjšuje, ravno tako odvzem 206 osebkov ne bo vplival na ugoden ohranitveni trend, ker ne presega prirastka populacije. Tožena stranka tako zatrjuje, da je pravilno ugotovila izpolnjevanje tudi drugih dveh pogojev trojnega testa, to je da ne obstajajo druge možnosti, ki bi zadovoljivo nadomestile odstrel ter da odstrel ne bo škodoval ohranitvi ugodnega stanja populacije. </w:t>
      </w:r>
    </w:p>
    <w:p w14:paraId="4F17F020" w14:textId="77777777" w:rsidR="00695AE2" w:rsidRPr="00CB5050" w:rsidRDefault="00695AE2" w:rsidP="00695AE2">
      <w:pPr>
        <w:widowControl w:val="0"/>
        <w:tabs>
          <w:tab w:val="left" w:pos="1440"/>
        </w:tabs>
        <w:spacing w:line="240" w:lineRule="auto"/>
        <w:jc w:val="both"/>
        <w:rPr>
          <w:rFonts w:eastAsia="Calibri"/>
          <w:bCs/>
        </w:rPr>
      </w:pPr>
    </w:p>
    <w:p w14:paraId="6463E5DF"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O tožbi zoper dovoljenje sodišče še ni odločilo. </w:t>
      </w:r>
    </w:p>
    <w:p w14:paraId="67768B94" w14:textId="77777777" w:rsidR="00695AE2" w:rsidRPr="00CB5050" w:rsidRDefault="00695AE2" w:rsidP="00695AE2">
      <w:pPr>
        <w:widowControl w:val="0"/>
        <w:tabs>
          <w:tab w:val="left" w:pos="1440"/>
        </w:tabs>
        <w:spacing w:line="240" w:lineRule="auto"/>
        <w:jc w:val="both"/>
        <w:rPr>
          <w:rFonts w:eastAsia="Calibri"/>
          <w:bCs/>
        </w:rPr>
      </w:pPr>
    </w:p>
    <w:p w14:paraId="49D5985D"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Predmetna zadeva je poleg medijske odmevnosti pomembna tudi iz vidika uporabe materialnega prava pri presoji trojnega testa po Habitatni direktivi. </w:t>
      </w:r>
    </w:p>
    <w:p w14:paraId="2242FB55" w14:textId="77777777" w:rsidR="00695AE2" w:rsidRPr="00CB5050" w:rsidRDefault="00695AE2" w:rsidP="00695AE2">
      <w:pPr>
        <w:widowControl w:val="0"/>
        <w:tabs>
          <w:tab w:val="left" w:pos="1440"/>
        </w:tabs>
        <w:spacing w:line="240" w:lineRule="auto"/>
        <w:jc w:val="both"/>
        <w:rPr>
          <w:rFonts w:eastAsia="Calibri"/>
          <w:bCs/>
        </w:rPr>
      </w:pPr>
    </w:p>
    <w:p w14:paraId="7EB0B3A8" w14:textId="77777777" w:rsidR="00695AE2" w:rsidRPr="00CB5050" w:rsidRDefault="00695AE2" w:rsidP="00695AE2">
      <w:pPr>
        <w:pStyle w:val="Naslov5"/>
        <w:rPr>
          <w:lang w:eastAsia="sl-SI"/>
        </w:rPr>
      </w:pPr>
      <w:bookmarkStart w:id="1023" w:name="_Toc223094067"/>
      <w:r w:rsidRPr="00CB5050">
        <w:rPr>
          <w:lang w:eastAsia="sl-SI"/>
        </w:rPr>
        <w:t>Upravni spori na področju pravosodja</w:t>
      </w:r>
      <w:bookmarkEnd w:id="1023"/>
      <w:r w:rsidRPr="00CB5050">
        <w:rPr>
          <w:lang w:eastAsia="sl-SI"/>
        </w:rPr>
        <w:t xml:space="preserve"> </w:t>
      </w:r>
    </w:p>
    <w:p w14:paraId="5BE934AF" w14:textId="77777777" w:rsidR="00695AE2" w:rsidRPr="00CB5050" w:rsidRDefault="00695AE2" w:rsidP="00695AE2">
      <w:pPr>
        <w:widowControl w:val="0"/>
        <w:tabs>
          <w:tab w:val="left" w:pos="1440"/>
        </w:tabs>
        <w:spacing w:line="240" w:lineRule="auto"/>
        <w:jc w:val="both"/>
        <w:rPr>
          <w:rFonts w:eastAsia="Calibri"/>
          <w:bCs/>
          <w:color w:val="007466"/>
        </w:rPr>
      </w:pPr>
    </w:p>
    <w:p w14:paraId="1C96F2C5" w14:textId="77777777" w:rsidR="00695AE2" w:rsidRPr="00CB5050" w:rsidRDefault="00695AE2" w:rsidP="00695AE2">
      <w:pPr>
        <w:widowControl w:val="0"/>
        <w:tabs>
          <w:tab w:val="left" w:pos="1440"/>
        </w:tabs>
        <w:spacing w:line="240" w:lineRule="auto"/>
        <w:jc w:val="both"/>
        <w:rPr>
          <w:rFonts w:eastAsia="Calibri"/>
          <w:bCs/>
          <w:color w:val="007466"/>
        </w:rPr>
      </w:pPr>
      <w:r w:rsidRPr="00CB5050">
        <w:rPr>
          <w:rFonts w:eastAsia="Calibri"/>
          <w:bCs/>
          <w:color w:val="007466"/>
        </w:rPr>
        <w:t xml:space="preserve">Tožbe stečajnih upraviteljev zaradi odprave odločb Ministrstva za pravosodje </w:t>
      </w:r>
    </w:p>
    <w:p w14:paraId="65EC3732" w14:textId="77777777" w:rsidR="00695AE2" w:rsidRPr="00CB5050" w:rsidRDefault="00695AE2" w:rsidP="00695AE2">
      <w:pPr>
        <w:widowControl w:val="0"/>
        <w:tabs>
          <w:tab w:val="left" w:pos="1440"/>
        </w:tabs>
        <w:spacing w:line="240" w:lineRule="auto"/>
        <w:jc w:val="both"/>
        <w:rPr>
          <w:rFonts w:eastAsia="Calibri"/>
          <w:bCs/>
        </w:rPr>
      </w:pPr>
    </w:p>
    <w:p w14:paraId="320E6BE1"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Na Upravnem oddelku se vodi več upravnih sporov stečajnih upraviteljev zoper Republiko Slovenijo, ki so vsebinsko povezani in zadevajo omejitev, ki je bila uzakonjena z novelo ZFPPIPP-H, ki poenoteno ureja zgornjo starostno mejo na 70 let za opravljanje funkcij in javnih pooblastil oziroma službe v pravosodju. Ta sedaj končno enako velja za funkcionarje v </w:t>
      </w:r>
      <w:r w:rsidRPr="00CB5050">
        <w:rPr>
          <w:rFonts w:eastAsia="Calibri"/>
          <w:bCs/>
        </w:rPr>
        <w:lastRenderedPageBreak/>
        <w:t xml:space="preserve">pravosodju, za notarje in izvršitelje, ki v skladu z zakonom opravljajo javno službo, ter za upravitelje, ki jih 97. člen ZFPPIPP opredeli kot organ postopka zaradi insolventnosti. V nadaljevanju je vsebinsko predstavljen le eden izmed štirih istovrstnih upravnih sporov. </w:t>
      </w:r>
    </w:p>
    <w:p w14:paraId="6E4D7419" w14:textId="77777777" w:rsidR="00695AE2" w:rsidRPr="00CB5050" w:rsidRDefault="00695AE2" w:rsidP="00695AE2">
      <w:pPr>
        <w:widowControl w:val="0"/>
        <w:tabs>
          <w:tab w:val="left" w:pos="1440"/>
        </w:tabs>
        <w:spacing w:line="240" w:lineRule="auto"/>
        <w:jc w:val="both"/>
        <w:rPr>
          <w:rFonts w:eastAsia="Calibri"/>
          <w:bCs/>
        </w:rPr>
      </w:pPr>
    </w:p>
    <w:p w14:paraId="2C6BC95C"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Z izpodbijano ugotovitveno odločbo je bilo ugotovljeno, da je tožnica dopolnila 70 let in da tako obstoji omejitev iz 1. točke prvega odstavka 115. člena Zakona o finančnem poslovanju, postopkih zaradi insolventnosti in prisilnem prenehanju (ZFPPIPP). </w:t>
      </w:r>
    </w:p>
    <w:p w14:paraId="3E18A603" w14:textId="77777777" w:rsidR="00695AE2" w:rsidRPr="00CB5050" w:rsidRDefault="00695AE2" w:rsidP="00695AE2">
      <w:pPr>
        <w:widowControl w:val="0"/>
        <w:tabs>
          <w:tab w:val="left" w:pos="1440"/>
        </w:tabs>
        <w:spacing w:line="240" w:lineRule="auto"/>
        <w:jc w:val="both"/>
        <w:rPr>
          <w:rFonts w:eastAsia="Calibri"/>
          <w:bCs/>
        </w:rPr>
      </w:pPr>
    </w:p>
    <w:p w14:paraId="52A5A7E4"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Tožeča stranka tožbo vlaga iz razloga zmotne uporabe materialnih predpisov ter kršitve človekovih pravic in ustavnih pravic, zaradi bistvene kršitve določb postopka ter napačne ugotovitve dejanskega stanja. V zvezi s tem zatrjuje, da je z izpodbijano odločbo zmotno uporabljen 143. člen ZFPPIPP-H (začetek veljavnosti novele), ker ne določa, da se z novelo urejajo razmerja tudi za upravitelje, ki so pridobili dovoljenje pred uveljavitvijo novele ter da je izpodbijana odločba nična, ker je izdana v zadevi, o kateri sploh ni mogoče odločati v upravnem postopku, saj ZFPPIPP po mnenju tožnice ne predvideva vpisa trajne zaustavitve imenovanja upravitelja v seznam upraviteljev in bi bil takšen vpis mogoč le na podlagi izrecne določbe v izreku odločbe o dovoljenju za opravljanje funkcije upravitelja, kjer bi skladno s prvim odstavkom 113. člena ZFPPIPP v treh dneh po izdaji odločbe tožena stranka lahko vpisala prenehanje dovoljenja tožnice za imenovanje v novih postopkih z učinkom od dneva izdaje odločbe dalje. Nadalje navaja, da gre pri izdaji odločbe za retroaktiven poseg v trajajoče pravno razmerje, ne da bi za to obstajali kakršnikoli stvarni razlogi v javnem interesu, kar je v nasprotju z 2. členom Ustave RS. Tožeča stranka v tožbi nadalje zatrjuje, da je z izpodbijano odločbo poseženo v obstoječe pravno razmerje in ji bo nastala škoda, ki jo po višini utemeljuje z zaslužki iz preteklih let, primerjaje z zaslužkom, ki ga tožnica pričakuje glede na ustavitev imenovanja v novih zadevah po uveljavitvi ZFPPIPP-H. Nadalje tožeča stranka meni, da določba 115. člena ZFPPIPP in s tem izpodbijana odločba kršita prepoved diskriminacije iz 14. člena Ustave RS, ker je v obravnavanem primeru diskriminirana na podlagi starosti, saj zgolj zaradi starosti 70 let (osebne okoliščine), ne more biti več imenovana v novih postopkih. Tožeča stranka nadalje zatrjuje, da so bile pri izpodbijani odločbi tudi bistveno kršene določbe postopka in bi po njenem mnenju tožena stranka morala odločiti z odločbo o trajni ustavitvi imenovanja za upravitelja v novih postopkih, ki bi se lahko izdala na podlagi smiselne uporabe šestega odstavka 112. člena, pri čemer bi obdobje zaustavitve začelo teči z vpisom dejstva v seznam upraviteljev ali z odločbo o prenehanju dovoljenja za imenovanje v novih postopkih, ki bi se izdala na podlagi smiselne uporabe petega ali prvega odstavka 109. člena ZFPPIPP, pri čemer bi skladno s 113. členom prenehanje imenovanja začelo učinkovati v treh delovnih dneh po izdaji odločbe, z vpisom v seznam upraviteljev. Izpodbijana odločba je po mnenju tožeče stranke tudi v nasprotju z vpisom omejitve v seznam upraviteljev in se je ne da preizkusiti, zato je podana bistvena kršitev določb postopka.</w:t>
      </w:r>
      <w:r w:rsidRPr="00CB5050">
        <w:rPr>
          <w:rFonts w:eastAsia="Calibri"/>
          <w:bCs/>
          <w:noProof/>
        </w:rPr>
        <w:drawing>
          <wp:inline distT="0" distB="0" distL="0" distR="0" wp14:anchorId="16718A9C" wp14:editId="1CDF3626">
            <wp:extent cx="11430" cy="11430"/>
            <wp:effectExtent l="0" t="0" r="0" b="0"/>
            <wp:docPr id="9746847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B5050">
        <w:rPr>
          <w:rFonts w:eastAsia="Calibri"/>
          <w:bCs/>
        </w:rPr>
        <w:t xml:space="preserve"> Tožeča stranka predlaga, da sodišče izpodbijano odločbo odpravi. </w:t>
      </w:r>
    </w:p>
    <w:p w14:paraId="3826B7C3" w14:textId="77777777" w:rsidR="00695AE2" w:rsidRPr="00CB5050" w:rsidRDefault="00695AE2" w:rsidP="00695AE2">
      <w:pPr>
        <w:widowControl w:val="0"/>
        <w:tabs>
          <w:tab w:val="left" w:pos="1440"/>
        </w:tabs>
        <w:spacing w:line="240" w:lineRule="auto"/>
        <w:jc w:val="both"/>
        <w:rPr>
          <w:rFonts w:eastAsia="Calibri"/>
          <w:bCs/>
        </w:rPr>
      </w:pPr>
    </w:p>
    <w:p w14:paraId="406476D3"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Tožena stranka Republika Slovenija je v odgovoru na tožbo poudarila, da podlago za izdajo izpodbijane ugotovitvene odločbe predstavljata odločba Ustavnega sodišča RS, št. U-l-233/23-9 z dne 29. 2. 2024 in ZFPPIPP-H. ZFPPIPP-H je namreč s 45. členom dopolnil 1. točko prvega odstavka 115. člena tako, da se v posameznem postopku zaradi insolventnosti lahko za upravitelja v skladu s 116. členom ZFPPIPP imenuje oseba, ki je vpisana v seznam upraviteljev in še ni dopolnila 70 let. ZFPPIPP-H je torej dopolnil 1. točko prvega odstavka 115. člena zakona glede pogoja za imenovanje upravitelja v konkretnem (posameznem) postopku zaradi </w:t>
      </w:r>
      <w:r w:rsidRPr="00CB5050">
        <w:rPr>
          <w:rFonts w:eastAsia="Calibri"/>
          <w:bCs/>
        </w:rPr>
        <w:lastRenderedPageBreak/>
        <w:t xml:space="preserve">insolventnosti. Upravitelja v posameznem postopku zaradi insolventnosti skladno s prvim odstavkom 116. člena ZFPPIPP imenuje sodišče s sklepom o začetku postopka. ZFPPIPP-H v zvezi z dopolnitvijo 115. člena ne določa, da o nastopu te okoliščine ministrstvo, pristojno za pravosodje, izda posebno odločbo. Skladno s prvim odstavkom 137. člena ZFPPIPP-H se ta sprememba uporablja v postopkih, ki so se začeli po uveljavitvi ZFPPIPP-H, ki je začel veljati 1. 11. 2023, po poteku 30-dnevnega uveljavitvenega roka. Ustavno sodišče je v obrazložitvi odločbe številka U-I-233/23-9 z dne 29. 2. 2024 zavrglo pobudo in pojasnilo, da mora tožena stranka — ministrstvo, pristojno za pravosodje, ob ustavno skladni razlagi določb ZFPPIPP o upraviteljevi dopolnitvi 70 let in posledici iz 1. točke prvega odstavka 115. člena ZFPPIPP odločiti z upravno odločbo, čeprav ZFPPIPP izdaje upravne odločbe izrecno ne določa. Pojasnilo je, da določba 1. točke prvega odstavka 115. člena ZFPPIPP ne učinkuje neposredno, v posledici česar je vloženo pobudo za oceno ustavnosti 1. točke prvega odstavka 115. člena ZFPPIPP zavrglo. V zvezi z navedenim ne drži trditev tožnice, da je z izpodbijano odločbo napačno uporabljen 143. člen ZFPPIPP-H, ker ne določa da se z novelo urejajo tudi razmerja za upravitelje, ki so pridobili veljavno dovoljenje pred uveljavitvijo novele. Prav tako ne drži, da je izpodbijana odločba nična, ker naj bi bila izdana v zadevi, o kateri sploh ni mogoče odločati v upravnem postopku, saj ZFPPIPP ne predvideva vpisa trajne zaustavitve imenovanja upravitelja v seznam upraviteljev. </w:t>
      </w:r>
      <w:r w:rsidRPr="00CB5050">
        <w:rPr>
          <w:rFonts w:eastAsia="Calibri"/>
          <w:bCs/>
          <w:noProof/>
        </w:rPr>
        <w:drawing>
          <wp:inline distT="0" distB="0" distL="0" distR="0" wp14:anchorId="3A2D217A" wp14:editId="706A1EB5">
            <wp:extent cx="11430" cy="11430"/>
            <wp:effectExtent l="0" t="0" r="0" b="0"/>
            <wp:docPr id="8967346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B5050">
        <w:rPr>
          <w:rFonts w:eastAsia="Calibri"/>
          <w:bCs/>
        </w:rPr>
        <w:t>Vsebina izpodbijane ugotovitvene odločbe se namreč nanaša na ugotovitev okoliščine, ki je skladno s 1. točko prvega odstavka 115. člena relevantna v posameznem postopku zaradi insolventnosti, v katerem sodišče imenuje upravitelja.</w:t>
      </w:r>
    </w:p>
    <w:p w14:paraId="692F6553" w14:textId="77777777" w:rsidR="00695AE2" w:rsidRPr="00CB5050" w:rsidRDefault="00695AE2" w:rsidP="00695AE2">
      <w:pPr>
        <w:widowControl w:val="0"/>
        <w:tabs>
          <w:tab w:val="left" w:pos="1440"/>
        </w:tabs>
        <w:spacing w:line="240" w:lineRule="auto"/>
        <w:jc w:val="both"/>
        <w:rPr>
          <w:rFonts w:eastAsia="Calibri"/>
          <w:bCs/>
        </w:rPr>
      </w:pPr>
    </w:p>
    <w:p w14:paraId="5A4F17D6" w14:textId="77777777" w:rsidR="00695AE2" w:rsidRPr="00CB5050" w:rsidRDefault="00695AE2" w:rsidP="00695AE2">
      <w:pPr>
        <w:widowControl w:val="0"/>
        <w:tabs>
          <w:tab w:val="left" w:pos="1440"/>
        </w:tabs>
        <w:spacing w:line="240" w:lineRule="auto"/>
        <w:jc w:val="both"/>
        <w:rPr>
          <w:rFonts w:eastAsia="Calibri"/>
          <w:bCs/>
        </w:rPr>
      </w:pPr>
      <w:r w:rsidRPr="00CB5050">
        <w:rPr>
          <w:rFonts w:eastAsia="Calibri"/>
          <w:bCs/>
        </w:rPr>
        <w:t xml:space="preserve">Zadeve so poleg morebitne medijske odmevnosti pomembne tudi z vidika poenotenja ureditve zgornje starostne meje za opravljanje funkcij in javnih pooblastil oziroma službe v pravosodju. </w:t>
      </w:r>
    </w:p>
    <w:bookmarkEnd w:id="1021"/>
    <w:bookmarkEnd w:id="1022"/>
    <w:p w14:paraId="27526228" w14:textId="77777777" w:rsidR="00695AE2" w:rsidRPr="00CB5050" w:rsidRDefault="00695AE2" w:rsidP="00695AE2">
      <w:pPr>
        <w:spacing w:line="240" w:lineRule="auto"/>
        <w:jc w:val="both"/>
        <w:rPr>
          <w:rFonts w:eastAsia="Calibri"/>
          <w:bCs/>
          <w:shd w:val="clear" w:color="auto" w:fill="FFFFFF"/>
        </w:rPr>
      </w:pPr>
    </w:p>
    <w:p w14:paraId="1E8C6436" w14:textId="77777777" w:rsidR="00695AE2" w:rsidRPr="00CB5050" w:rsidRDefault="00695AE2" w:rsidP="00695AE2">
      <w:pPr>
        <w:pStyle w:val="Naslov5"/>
        <w:rPr>
          <w:lang w:eastAsia="sl-SI"/>
        </w:rPr>
      </w:pPr>
      <w:bookmarkStart w:id="1024" w:name="_Toc223094068"/>
      <w:r w:rsidRPr="00CB5050">
        <w:rPr>
          <w:lang w:eastAsia="sl-SI"/>
        </w:rPr>
        <w:t>Upravni spori na področju gradbeništva</w:t>
      </w:r>
      <w:bookmarkEnd w:id="1024"/>
      <w:r w:rsidRPr="00CB5050">
        <w:rPr>
          <w:lang w:eastAsia="sl-SI"/>
        </w:rPr>
        <w:t xml:space="preserve"> </w:t>
      </w:r>
    </w:p>
    <w:p w14:paraId="0AED30A1" w14:textId="77777777" w:rsidR="00695AE2" w:rsidRPr="00CB5050" w:rsidRDefault="00695AE2" w:rsidP="00695AE2">
      <w:pPr>
        <w:spacing w:line="240" w:lineRule="auto"/>
        <w:jc w:val="both"/>
        <w:rPr>
          <w:rFonts w:eastAsia="Calibri"/>
          <w:bCs/>
          <w:shd w:val="clear" w:color="auto" w:fill="FFFFFF"/>
        </w:rPr>
      </w:pPr>
    </w:p>
    <w:p w14:paraId="486F4F21" w14:textId="77777777" w:rsidR="00695AE2" w:rsidRPr="00CB5050" w:rsidRDefault="00695AE2" w:rsidP="00695AE2">
      <w:pPr>
        <w:widowControl w:val="0"/>
        <w:tabs>
          <w:tab w:val="left" w:pos="1440"/>
        </w:tabs>
        <w:spacing w:line="240" w:lineRule="auto"/>
        <w:jc w:val="both"/>
        <w:rPr>
          <w:rFonts w:eastAsia="Calibri"/>
          <w:bCs/>
          <w:color w:val="007466"/>
        </w:rPr>
      </w:pPr>
      <w:r w:rsidRPr="00CB5050">
        <w:rPr>
          <w:rFonts w:eastAsia="Calibri"/>
          <w:bCs/>
          <w:color w:val="007466"/>
        </w:rPr>
        <w:t xml:space="preserve">Zadeva Civilna iniciativa 3. razvojna os – jug zoper RS – predlog za dopustitev revizije zoper sodbo Upravnega sodišča </w:t>
      </w:r>
      <w:bookmarkStart w:id="1025" w:name="_Hlk204152476"/>
    </w:p>
    <w:p w14:paraId="713B7921" w14:textId="77777777" w:rsidR="00695AE2" w:rsidRPr="00CB5050" w:rsidRDefault="00695AE2" w:rsidP="00695AE2">
      <w:pPr>
        <w:spacing w:line="240" w:lineRule="auto"/>
        <w:jc w:val="both"/>
        <w:rPr>
          <w:rFonts w:eastAsia="Calibri"/>
          <w:bCs/>
          <w:lang w:eastAsia="sl-SI"/>
        </w:rPr>
      </w:pPr>
    </w:p>
    <w:p w14:paraId="11A2E685"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 xml:space="preserve">Z navedeno sodbo Upravnega sodišča je bilo odpravljeno gradbeno dovoljenje, ki ga je v integralnem postopku izdalo Ministrstvo za naravne vire in prostor, in zadeva vrnjena istemu organu v ponoven postopek. V ponovnem postopku v tej zadevi pristojni organ v okviru presoje vplivov na okolje ne sme uporabiti Uredbe o mejnih vrednostih kazalcev hrupa v okolju (Uradni list RS, št. 43/18, 59/19, 99/22 - odl. US). </w:t>
      </w:r>
    </w:p>
    <w:p w14:paraId="317235CA" w14:textId="77777777" w:rsidR="00695AE2" w:rsidRPr="00CB5050" w:rsidRDefault="00695AE2" w:rsidP="00695AE2">
      <w:pPr>
        <w:spacing w:line="240" w:lineRule="auto"/>
        <w:jc w:val="both"/>
        <w:rPr>
          <w:rFonts w:eastAsia="Calibri"/>
          <w:bCs/>
          <w:lang w:eastAsia="sl-SI"/>
        </w:rPr>
      </w:pPr>
    </w:p>
    <w:p w14:paraId="05864613"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Gradbeno dovoljenje je bilo izdano za gradnjo južnega dela 3. razvojne osi, 1. in 2. etapo hitre ceste med AC Ljubljana - Obrežje in priključkom Maline s priključki na gospodarsko javno infrastrukturo in zunanjo ureditvijo, na zahtevo investitorja DARS. V integralnem postopku izdaje gradbenega dovoljenja je bila opravljena presoja vplivov na okolje. V delu, ki se nanaša na hrup, se presoja naslanja na Uredbo o mejnih vrednostih kazalcev hrupa v okolju, za katero je Ustavno sodišče z ugotovitveno odločbo, št. U-l-441 /18-23 z dne 6. 7. 2022 (Uradni list RS, št. 99/2022) odločilo, da je v neskladju z Ustavo RS in da mora Vlada RS ugotovljeno protiustavnost odpraviti v roku 1 leta. Ustavno sodišče je v zvezi s tem pojasnilo, da bi odprava ali razveljavitev Uredbe pomenila, da do sprejetja nove uredbe mejne vrednosti kazalcev hrupa sploh ne bi bile določene, s čimer bi bil povzročen še bolj protiustaven položaj od tega, ki je ugotovljen z odločbo.</w:t>
      </w:r>
    </w:p>
    <w:p w14:paraId="0B3B0984" w14:textId="77777777" w:rsidR="00695AE2" w:rsidRPr="00CB5050" w:rsidRDefault="00695AE2" w:rsidP="00695AE2">
      <w:pPr>
        <w:spacing w:line="240" w:lineRule="auto"/>
        <w:jc w:val="both"/>
        <w:rPr>
          <w:rFonts w:eastAsia="Calibri"/>
          <w:bCs/>
          <w:lang w:eastAsia="sl-SI"/>
        </w:rPr>
      </w:pPr>
    </w:p>
    <w:p w14:paraId="72E8D2C9" w14:textId="77777777" w:rsidR="00695AE2" w:rsidRPr="00CB5050" w:rsidRDefault="00695AE2" w:rsidP="00695AE2">
      <w:pPr>
        <w:spacing w:line="240" w:lineRule="auto"/>
        <w:jc w:val="both"/>
        <w:rPr>
          <w:rFonts w:eastAsia="Calibri"/>
          <w:bCs/>
          <w:lang w:eastAsia="sl-SI"/>
        </w:rPr>
      </w:pPr>
      <w:r w:rsidRPr="00CB5050">
        <w:rPr>
          <w:rFonts w:eastAsia="Calibri"/>
          <w:bCs/>
          <w:lang w:eastAsia="sl-SI"/>
        </w:rPr>
        <w:t xml:space="preserve">Čeprav je bilo konkretno gradbeno dovoljenje izdano pred potekom enoletnega roka, ki ga je določilo Ustavno sodišče (to je do 22. 7. 2023, gradbeno dovoljenje pa je bilo izdano dne 3. 7. 2023), je Upravno sodišče odločilo, da se v predmetni zadevi Uredba o hrupu ne sme uporabiti, pri čemer je uporabilo institut </w:t>
      </w:r>
      <w:r w:rsidRPr="00CB5050">
        <w:rPr>
          <w:rFonts w:eastAsia="Calibri"/>
          <w:bCs/>
          <w:i/>
          <w:iCs/>
          <w:lang w:eastAsia="sl-SI"/>
        </w:rPr>
        <w:t>»Exceptio illegalis inter partes«</w:t>
      </w:r>
      <w:r w:rsidRPr="00CB5050">
        <w:rPr>
          <w:rFonts w:eastAsia="Calibri"/>
          <w:bCs/>
          <w:lang w:eastAsia="sl-SI"/>
        </w:rPr>
        <w:t>. Iz sodbe izhaja tudi stališče Upravnega sodišča, da Republika Slovenija ne more izdajati gradbenih dovoljenj za objekte z vplivi na okolje na podlagi predpisa (Uredbe o hrupu), ki je bil sprejet s kršitvijo določb Aarhuške konvencije in s tem prava EU.</w:t>
      </w:r>
    </w:p>
    <w:bookmarkEnd w:id="1025"/>
    <w:p w14:paraId="68EB4DF2" w14:textId="77777777" w:rsidR="00695AE2" w:rsidRPr="00CB5050" w:rsidRDefault="00695AE2" w:rsidP="00695AE2">
      <w:pPr>
        <w:widowControl w:val="0"/>
        <w:spacing w:line="240" w:lineRule="auto"/>
        <w:jc w:val="both"/>
        <w:rPr>
          <w:rFonts w:eastAsia="Calibri"/>
          <w:bCs/>
          <w:color w:val="000000"/>
          <w:kern w:val="2"/>
          <w14:ligatures w14:val="standardContextual"/>
        </w:rPr>
      </w:pPr>
    </w:p>
    <w:p w14:paraId="261A3088" w14:textId="77777777" w:rsidR="00695AE2" w:rsidRPr="00CB5050" w:rsidRDefault="00695AE2" w:rsidP="00695AE2">
      <w:pPr>
        <w:widowControl w:val="0"/>
        <w:spacing w:line="240" w:lineRule="auto"/>
        <w:jc w:val="both"/>
        <w:rPr>
          <w:rFonts w:eastAsia="Calibri"/>
          <w:bCs/>
          <w:color w:val="000000"/>
          <w:kern w:val="2"/>
          <w14:ligatures w14:val="standardContextual"/>
        </w:rPr>
      </w:pPr>
      <w:r w:rsidRPr="00CB5050">
        <w:rPr>
          <w:rFonts w:eastAsia="Calibri"/>
          <w:bCs/>
          <w:color w:val="000000"/>
          <w:kern w:val="2"/>
          <w14:ligatures w14:val="standardContextual"/>
        </w:rPr>
        <w:t>Upravno sodišče je tako s svojo odločitvijo v predmetni zadevi odločilo bistveno drugače od dosedanje prakse glede vprašanja uporabe predpisa, ki je bil z odločbo Ustavnega sodišča RS sicer spoznan za neustavnega, vendar ni bil odpravljen ali razveljavljen, pri čemer je potrebno poudariti tudi to, da se ugotovljena protiustavnost v predmetni zadevi ne nanaša na konkretno določbo predpisa, temveč na postopek sprejemanja predpisa (kršitev pravice do sodelovanja javnosti pri sprejemanju predpisa oziroma Aarhuške konvencije in prava EU). Ustavno sodišče je v zvezi s tem pojasnilo, da bi odprava ali razveljavitev Uredbe pomenila, da do sprejetja nove uredbe mejne vrednosti kazalcev hrupa sploh ne bi bile določene, s čimer bi bil povzročen še bolj protiustaven položaj od tega, ki je ugotovljen z odločbo (32. točka obrazložitve odločbe). Z zadnje navedeno opredelitvijo je Ustavno sodišče po prepričanju revidentke dopustilo uporabo Uredbe o hrupu, zaradi česar je izpodbijana odločitev nekonsistentna z odločitvijo Ustavnega sodišča RS, na katero se samo sklicuje.</w:t>
      </w:r>
    </w:p>
    <w:p w14:paraId="55C48F4C" w14:textId="77777777" w:rsidR="00695AE2" w:rsidRPr="00CB5050" w:rsidRDefault="00695AE2" w:rsidP="00695AE2">
      <w:pPr>
        <w:spacing w:line="240" w:lineRule="auto"/>
        <w:jc w:val="both"/>
        <w:rPr>
          <w:rFonts w:eastAsia="Calibri"/>
          <w:bCs/>
          <w:color w:val="000000"/>
        </w:rPr>
      </w:pPr>
    </w:p>
    <w:p w14:paraId="70BA31CB" w14:textId="77777777" w:rsidR="00695AE2" w:rsidRPr="00CB5050" w:rsidRDefault="00695AE2" w:rsidP="00695AE2">
      <w:pPr>
        <w:spacing w:line="240" w:lineRule="auto"/>
        <w:jc w:val="both"/>
        <w:rPr>
          <w:rFonts w:eastAsia="Calibri"/>
          <w:bCs/>
          <w:color w:val="000000"/>
        </w:rPr>
      </w:pPr>
      <w:r w:rsidRPr="00CB5050">
        <w:rPr>
          <w:rFonts w:eastAsia="Calibri"/>
          <w:bCs/>
          <w:color w:val="000000"/>
        </w:rPr>
        <w:t xml:space="preserve">Predmetna zadeva je poleg medijske odmevnosti pomembna zato, ker z izpodbijano odločitvijo Upravno sodišče uvaja sodno prakso, ki lahko negativno vpliva na pravno varnost, enotno uporabo prava in razvoj prava preko sodne prakse. </w:t>
      </w:r>
    </w:p>
    <w:p w14:paraId="32153B1F" w14:textId="77777777" w:rsidR="00695AE2" w:rsidRPr="00CB5050" w:rsidRDefault="00695AE2" w:rsidP="00695AE2">
      <w:pPr>
        <w:spacing w:line="240" w:lineRule="auto"/>
        <w:jc w:val="both"/>
        <w:rPr>
          <w:rFonts w:eastAsia="Calibri"/>
          <w:b/>
          <w:sz w:val="32"/>
          <w:szCs w:val="32"/>
        </w:rPr>
      </w:pPr>
    </w:p>
    <w:p w14:paraId="7389F032" w14:textId="77777777" w:rsidR="00695AE2" w:rsidRPr="00CB5050" w:rsidRDefault="00695AE2" w:rsidP="00695AE2">
      <w:pPr>
        <w:pStyle w:val="Naslov2"/>
      </w:pPr>
      <w:bookmarkStart w:id="1026" w:name="_Toc95149825"/>
      <w:bookmarkStart w:id="1027" w:name="_Toc168845070"/>
      <w:bookmarkStart w:id="1028" w:name="_Toc191562067"/>
      <w:bookmarkStart w:id="1029" w:name="_Hlk158723380"/>
      <w:r>
        <w:t xml:space="preserve"> </w:t>
      </w:r>
      <w:bookmarkStart w:id="1030" w:name="_Toc223094069"/>
      <w:r w:rsidRPr="00CB5050">
        <w:t>Postopki po Zakonu o denacionalizaciji</w:t>
      </w:r>
      <w:bookmarkStart w:id="1031" w:name="_Toc95149826"/>
      <w:bookmarkEnd w:id="1026"/>
      <w:bookmarkEnd w:id="1027"/>
      <w:bookmarkEnd w:id="1028"/>
      <w:bookmarkEnd w:id="1030"/>
    </w:p>
    <w:p w14:paraId="0DD0A980" w14:textId="77777777" w:rsidR="00695AE2" w:rsidRPr="00CB5050" w:rsidRDefault="00695AE2" w:rsidP="00695AE2">
      <w:pPr>
        <w:spacing w:line="240" w:lineRule="auto"/>
        <w:ind w:left="600"/>
        <w:contextualSpacing/>
        <w:rPr>
          <w:rFonts w:eastAsia="Calibri"/>
          <w:szCs w:val="22"/>
        </w:rPr>
      </w:pPr>
    </w:p>
    <w:p w14:paraId="19034661" w14:textId="77777777" w:rsidR="00695AE2" w:rsidRPr="00CB5050" w:rsidRDefault="00695AE2" w:rsidP="00695AE2">
      <w:pPr>
        <w:pStyle w:val="Naslov3"/>
      </w:pPr>
      <w:bookmarkStart w:id="1032" w:name="_Toc168845071"/>
      <w:bookmarkStart w:id="1033" w:name="_Toc191562068"/>
      <w:r>
        <w:t xml:space="preserve"> </w:t>
      </w:r>
      <w:bookmarkStart w:id="1034" w:name="_Toc223094070"/>
      <w:r w:rsidRPr="00CB5050">
        <w:t>Uvod</w:t>
      </w:r>
      <w:bookmarkEnd w:id="1031"/>
      <w:bookmarkEnd w:id="1032"/>
      <w:bookmarkEnd w:id="1033"/>
      <w:bookmarkEnd w:id="1034"/>
    </w:p>
    <w:p w14:paraId="2DAFB787" w14:textId="77777777" w:rsidR="00695AE2" w:rsidRPr="00CB5050" w:rsidRDefault="00695AE2" w:rsidP="00695AE2">
      <w:pPr>
        <w:spacing w:line="240" w:lineRule="auto"/>
        <w:rPr>
          <w:rFonts w:eastAsia="Calibri"/>
          <w:sz w:val="28"/>
          <w:szCs w:val="28"/>
        </w:rPr>
      </w:pPr>
    </w:p>
    <w:p w14:paraId="49208A0A" w14:textId="77777777" w:rsidR="00695AE2" w:rsidRPr="00CB5050" w:rsidRDefault="00695AE2" w:rsidP="00695AE2">
      <w:pPr>
        <w:spacing w:line="240" w:lineRule="auto"/>
        <w:jc w:val="both"/>
        <w:rPr>
          <w:rFonts w:eastAsia="Calibri"/>
        </w:rPr>
      </w:pPr>
      <w:r w:rsidRPr="00CB5050">
        <w:rPr>
          <w:rFonts w:eastAsia="Calibri"/>
        </w:rPr>
        <w:t xml:space="preserve">S sprejetjem Zakona o denacionalizaciji (v nadaljevanju: ZDen) naj bi bile popravljene krivice, ki jih je država povzročila lastnikom zasebnega premoženja, in sicer tako, da se posameznim upravičencem čim prej vrne odvzeto premoženje. Upoštevati velja, da gre za postopke, katerih bistvo je bilo prav čimprejšnje vračanje premoženja, saj je bila eksplicitno določena obveznost zavezancev, da se, ob izpolnjenih zakonskih pogojih, odvzeto premoženje vrne. V praksi pa se je ZDen pokazal za nedorečen in nepremišljen zakon, kar je vodilo v številne spremembe zakona in drugih predpisov, praksa odločanja je bila neenotna, kot takšna pa je pogosto botrovala tudi dolgotrajnosti denacionalizacijskih postopkov. Ni namreč malo primerov, v katerih je bila posamezna zadeva večkrat vrnjena v ponovni postopek, navsezadnje pa je v končno odločitev poseglo še Ustavno sodišče. Na dolgotrajnost postopkov pa vpliva tudi izjemna obsežnost problematike in kompleksnost dejanskega stanja. Prepustitev pristojnosti odločanja upravnim enotam (oziroma ministrstvom) se je v praksi pokazala za neprimerno, saj tovrstni državni organi ne kadrovsko ne strokovno niso imeli in še vedno nimajo ustreznih pogojev vsebinskega reševanja navedene problematike; dejstvo, da posamezni referenti pogosto oziroma v večini primerov niso pravniki, pa zagotovo ne prispeva k hitrejšemu reševanju že tako pravno in dejansko izredno zapletene problematike. </w:t>
      </w:r>
    </w:p>
    <w:p w14:paraId="005C6CDD" w14:textId="77777777" w:rsidR="00695AE2" w:rsidRPr="00CB5050" w:rsidRDefault="00695AE2" w:rsidP="00695AE2">
      <w:pPr>
        <w:spacing w:line="240" w:lineRule="auto"/>
        <w:jc w:val="both"/>
        <w:rPr>
          <w:rFonts w:eastAsia="Calibri"/>
          <w:lang w:eastAsia="sl-SI"/>
        </w:rPr>
      </w:pPr>
    </w:p>
    <w:p w14:paraId="74C91BD8" w14:textId="77777777" w:rsidR="00695AE2" w:rsidRPr="00CB5050" w:rsidRDefault="00695AE2" w:rsidP="00695AE2">
      <w:pPr>
        <w:tabs>
          <w:tab w:val="left" w:pos="360"/>
          <w:tab w:val="left" w:pos="540"/>
        </w:tabs>
        <w:spacing w:line="240" w:lineRule="auto"/>
        <w:jc w:val="both"/>
        <w:rPr>
          <w:rFonts w:eastAsia="Calibri"/>
          <w:szCs w:val="22"/>
        </w:rPr>
      </w:pPr>
      <w:r w:rsidRPr="00CB5050">
        <w:rPr>
          <w:rFonts w:eastAsia="Calibri"/>
          <w:lang w:eastAsia="sl-SI"/>
        </w:rPr>
        <w:t xml:space="preserve">V postopkih denacionalizacije Državno odvetništvo RS zastopa interese zavezane stranke, kadar se zahtevek glasi na premoženje, ki je v lasti Republike Slovenije. </w:t>
      </w:r>
    </w:p>
    <w:p w14:paraId="623E2B33" w14:textId="77777777" w:rsidR="00695AE2" w:rsidRPr="00CB5050" w:rsidRDefault="00695AE2" w:rsidP="00695AE2">
      <w:pPr>
        <w:tabs>
          <w:tab w:val="left" w:pos="360"/>
          <w:tab w:val="left" w:pos="540"/>
        </w:tabs>
        <w:spacing w:line="240" w:lineRule="auto"/>
        <w:jc w:val="both"/>
        <w:rPr>
          <w:rFonts w:eastAsia="Calibri"/>
          <w:szCs w:val="22"/>
        </w:rPr>
      </w:pPr>
    </w:p>
    <w:p w14:paraId="060C23D0" w14:textId="77777777" w:rsidR="00695AE2" w:rsidRPr="00CB5050" w:rsidRDefault="00695AE2" w:rsidP="00695AE2">
      <w:pPr>
        <w:pStyle w:val="Naslov3"/>
      </w:pPr>
      <w:bookmarkStart w:id="1035" w:name="_Toc95149827"/>
      <w:bookmarkStart w:id="1036" w:name="_Toc168845072"/>
      <w:bookmarkStart w:id="1037" w:name="_Toc191562069"/>
      <w:r>
        <w:t xml:space="preserve"> </w:t>
      </w:r>
      <w:bookmarkStart w:id="1038" w:name="_Toc223094071"/>
      <w:r w:rsidRPr="00CB5050">
        <w:t>Statisti</w:t>
      </w:r>
      <w:bookmarkEnd w:id="1035"/>
      <w:bookmarkEnd w:id="1036"/>
      <w:r w:rsidRPr="00CB5050">
        <w:t>čni podatki</w:t>
      </w:r>
      <w:bookmarkEnd w:id="1037"/>
      <w:bookmarkEnd w:id="1038"/>
    </w:p>
    <w:p w14:paraId="1AC6A5B3" w14:textId="77777777" w:rsidR="00695AE2" w:rsidRPr="00CB5050" w:rsidRDefault="00695AE2" w:rsidP="00695AE2">
      <w:pPr>
        <w:spacing w:line="240" w:lineRule="auto"/>
        <w:rPr>
          <w:rFonts w:eastAsia="Calibri"/>
          <w:sz w:val="28"/>
          <w:szCs w:val="28"/>
        </w:rPr>
      </w:pPr>
    </w:p>
    <w:p w14:paraId="51CF9446"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je leta 2025 prejelo v delo 1 novo zadevo.</w:t>
      </w:r>
    </w:p>
    <w:p w14:paraId="23782FE0" w14:textId="77777777" w:rsidR="00695AE2" w:rsidRPr="00CB5050" w:rsidRDefault="00695AE2" w:rsidP="00695AE2">
      <w:pPr>
        <w:spacing w:line="240" w:lineRule="auto"/>
        <w:jc w:val="both"/>
        <w:rPr>
          <w:rFonts w:eastAsia="Calibri"/>
        </w:rPr>
      </w:pPr>
    </w:p>
    <w:p w14:paraId="54D1742C" w14:textId="77777777" w:rsidR="00695AE2" w:rsidRPr="00CB5050" w:rsidRDefault="00695AE2" w:rsidP="00695AE2">
      <w:pPr>
        <w:spacing w:line="240" w:lineRule="auto"/>
        <w:jc w:val="both"/>
        <w:rPr>
          <w:rFonts w:eastAsia="Calibri"/>
          <w:szCs w:val="22"/>
        </w:rPr>
      </w:pPr>
      <w:r w:rsidRPr="00CB5050">
        <w:rPr>
          <w:rFonts w:eastAsia="Calibri"/>
          <w:szCs w:val="22"/>
        </w:rPr>
        <w:t>Skupno je imelo Državno odvetništvo RS leta 2025 v delu 48 denacionalizacijskih zadev, zaključenih pa je bilo (rešenih) 8 zadev.</w:t>
      </w:r>
    </w:p>
    <w:p w14:paraId="0262A6FC" w14:textId="77777777" w:rsidR="00695AE2" w:rsidRPr="00CB5050" w:rsidRDefault="00695AE2" w:rsidP="00695AE2">
      <w:pPr>
        <w:spacing w:line="240" w:lineRule="auto"/>
        <w:jc w:val="both"/>
        <w:rPr>
          <w:rFonts w:eastAsia="Calibri"/>
        </w:rPr>
      </w:pPr>
    </w:p>
    <w:p w14:paraId="1DACD3B6" w14:textId="77777777" w:rsidR="00695AE2" w:rsidRPr="00CB5050" w:rsidRDefault="00695AE2" w:rsidP="00695AE2">
      <w:pPr>
        <w:spacing w:line="240" w:lineRule="auto"/>
        <w:jc w:val="both"/>
        <w:rPr>
          <w:rFonts w:eastAsia="Calibri"/>
          <w:szCs w:val="22"/>
        </w:rPr>
      </w:pPr>
      <w:r w:rsidRPr="00CB5050">
        <w:rPr>
          <w:rFonts w:eastAsia="Calibri"/>
          <w:szCs w:val="22"/>
        </w:rPr>
        <w:t>Na dan 31. 12. 2025 je bilo odprtih (nerešenih) 40 zadev.</w:t>
      </w:r>
    </w:p>
    <w:p w14:paraId="3B53D629" w14:textId="77777777" w:rsidR="00695AE2" w:rsidRPr="00CB5050" w:rsidRDefault="00695AE2" w:rsidP="00695AE2">
      <w:pPr>
        <w:pStyle w:val="Naslov3"/>
      </w:pPr>
      <w:bookmarkStart w:id="1039" w:name="_Toc95149828"/>
      <w:bookmarkStart w:id="1040" w:name="_Toc168845073"/>
      <w:bookmarkStart w:id="1041" w:name="_Toc191562070"/>
      <w:r>
        <w:t xml:space="preserve"> </w:t>
      </w:r>
      <w:bookmarkStart w:id="1042" w:name="_Toc223094072"/>
      <w:r w:rsidRPr="00CB5050">
        <w:t>Analiza primerjalnih vrednosti</w:t>
      </w:r>
      <w:bookmarkEnd w:id="1039"/>
      <w:bookmarkEnd w:id="1040"/>
      <w:bookmarkEnd w:id="1041"/>
      <w:bookmarkEnd w:id="1042"/>
    </w:p>
    <w:p w14:paraId="1A4BA4C2" w14:textId="77777777" w:rsidR="00695AE2" w:rsidRPr="00CB5050" w:rsidRDefault="00695AE2" w:rsidP="00695AE2">
      <w:pPr>
        <w:spacing w:line="240" w:lineRule="auto"/>
        <w:rPr>
          <w:rFonts w:eastAsia="Calibri"/>
          <w:sz w:val="28"/>
          <w:szCs w:val="28"/>
        </w:rPr>
      </w:pPr>
    </w:p>
    <w:p w14:paraId="62FC735A" w14:textId="77777777" w:rsidR="00695AE2" w:rsidRPr="00CB5050" w:rsidRDefault="00695AE2" w:rsidP="00695AE2">
      <w:pPr>
        <w:spacing w:line="240" w:lineRule="auto"/>
        <w:jc w:val="both"/>
        <w:rPr>
          <w:rFonts w:eastAsia="Calibri"/>
          <w:szCs w:val="22"/>
        </w:rPr>
      </w:pPr>
      <w:r w:rsidRPr="00CB5050">
        <w:rPr>
          <w:rFonts w:eastAsia="Calibri"/>
          <w:szCs w:val="22"/>
        </w:rPr>
        <w:t>Državno odvetništvo RS je leta 2025 samo 1 novo zadevo, kar pa je sicer 100,0 odstotka več kot leta 2024, ko ni prejelo nobene nove zadeve.</w:t>
      </w:r>
    </w:p>
    <w:p w14:paraId="09E22B7A" w14:textId="77777777" w:rsidR="00695AE2" w:rsidRPr="00CB5050" w:rsidRDefault="00695AE2" w:rsidP="00695AE2">
      <w:pPr>
        <w:spacing w:line="240" w:lineRule="auto"/>
        <w:jc w:val="both"/>
        <w:rPr>
          <w:rFonts w:eastAsia="Calibri"/>
        </w:rPr>
      </w:pPr>
    </w:p>
    <w:p w14:paraId="44AA8A63" w14:textId="77777777" w:rsidR="00695AE2" w:rsidRPr="00CB5050" w:rsidRDefault="00695AE2" w:rsidP="00695AE2">
      <w:pPr>
        <w:spacing w:line="240" w:lineRule="auto"/>
        <w:jc w:val="both"/>
        <w:rPr>
          <w:rFonts w:eastAsia="Calibri"/>
          <w:szCs w:val="22"/>
        </w:rPr>
      </w:pPr>
      <w:r w:rsidRPr="00CB5050">
        <w:rPr>
          <w:rFonts w:eastAsia="Calibri"/>
          <w:szCs w:val="22"/>
        </w:rPr>
        <w:t xml:space="preserve">Skupno je Državno odvetništvo RS imelo leta 2025 v delu 48 denacionalizacijskih zadev, kar je 14,29 odstotka manj kot leta 2024, ko je imelo v delu 56 zadev. </w:t>
      </w:r>
    </w:p>
    <w:p w14:paraId="5D8BD21A" w14:textId="77777777" w:rsidR="00695AE2" w:rsidRPr="00CB5050" w:rsidRDefault="00695AE2" w:rsidP="00695AE2">
      <w:pPr>
        <w:spacing w:line="240" w:lineRule="auto"/>
        <w:jc w:val="both"/>
        <w:rPr>
          <w:rFonts w:eastAsia="Calibri"/>
        </w:rPr>
      </w:pPr>
    </w:p>
    <w:p w14:paraId="58081CFD" w14:textId="77777777" w:rsidR="00695AE2" w:rsidRPr="00CB5050" w:rsidRDefault="00695AE2" w:rsidP="00695AE2">
      <w:pPr>
        <w:spacing w:line="240" w:lineRule="auto"/>
        <w:jc w:val="both"/>
        <w:rPr>
          <w:rFonts w:eastAsia="Calibri"/>
          <w:szCs w:val="22"/>
        </w:rPr>
      </w:pPr>
      <w:r w:rsidRPr="00CB5050">
        <w:rPr>
          <w:rFonts w:eastAsia="Calibri"/>
          <w:szCs w:val="22"/>
        </w:rPr>
        <w:t>V letu 2025 je bilo zaključenih (rešenih) 8 zadev, kar enako kot leta 2024, ko je bilo zaključenih (rešenih) 8 zadev.</w:t>
      </w:r>
    </w:p>
    <w:p w14:paraId="4A4D052E" w14:textId="77777777" w:rsidR="00695AE2" w:rsidRPr="00CB5050" w:rsidRDefault="00695AE2" w:rsidP="00695AE2">
      <w:pPr>
        <w:spacing w:line="240" w:lineRule="auto"/>
        <w:jc w:val="both"/>
        <w:rPr>
          <w:rFonts w:eastAsia="Calibri"/>
        </w:rPr>
      </w:pPr>
    </w:p>
    <w:p w14:paraId="07CC8570" w14:textId="77777777" w:rsidR="00695AE2" w:rsidRPr="00CB5050" w:rsidRDefault="00695AE2" w:rsidP="00695AE2">
      <w:pPr>
        <w:spacing w:line="240" w:lineRule="auto"/>
        <w:jc w:val="both"/>
        <w:rPr>
          <w:rFonts w:eastAsia="Calibri"/>
          <w:szCs w:val="22"/>
        </w:rPr>
      </w:pPr>
      <w:r w:rsidRPr="00CB5050">
        <w:rPr>
          <w:rFonts w:eastAsia="Calibri"/>
          <w:szCs w:val="22"/>
        </w:rPr>
        <w:t>Na dan 31. 12. 2025 je bilo odprtih (nerešenih) 40 zadev, kar je 16,67 odstotka manj kot na dan 31. 12. 2024, ko je bilo odprtih (nerešenih) 48 zadev.</w:t>
      </w:r>
    </w:p>
    <w:p w14:paraId="67E548CD" w14:textId="77777777" w:rsidR="00695AE2" w:rsidRPr="00CB5050" w:rsidRDefault="00695AE2" w:rsidP="00695AE2">
      <w:pPr>
        <w:spacing w:line="240" w:lineRule="auto"/>
        <w:jc w:val="both"/>
        <w:rPr>
          <w:rFonts w:eastAsia="Calibri"/>
        </w:rPr>
      </w:pPr>
    </w:p>
    <w:p w14:paraId="6226C2A1"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bCs/>
          <w:color w:val="007466"/>
          <w:spacing w:val="1"/>
          <w:sz w:val="20"/>
          <w:szCs w:val="20"/>
        </w:rPr>
      </w:pPr>
      <w:r w:rsidRPr="00CB5050">
        <w:rPr>
          <w:rFonts w:eastAsia="Calibri"/>
          <w:b/>
          <w:bCs/>
          <w:color w:val="007466"/>
          <w:spacing w:val="1"/>
          <w:sz w:val="20"/>
          <w:szCs w:val="20"/>
        </w:rPr>
        <w:t>Grafikon: Število obravnavanih denacionalizacijskih zadev v obdobju 2021 – 2025</w:t>
      </w:r>
    </w:p>
    <w:p w14:paraId="04057262" w14:textId="77777777" w:rsidR="00695AE2" w:rsidRPr="00CB5050" w:rsidRDefault="00695AE2" w:rsidP="00695AE2">
      <w:pPr>
        <w:tabs>
          <w:tab w:val="left" w:pos="360"/>
          <w:tab w:val="left" w:pos="540"/>
        </w:tabs>
        <w:spacing w:line="240" w:lineRule="auto"/>
        <w:jc w:val="both"/>
        <w:rPr>
          <w:rFonts w:eastAsia="Calibri"/>
          <w:sz w:val="20"/>
          <w:szCs w:val="20"/>
        </w:rPr>
      </w:pPr>
    </w:p>
    <w:p w14:paraId="6001CF8C" w14:textId="77777777" w:rsidR="00695AE2" w:rsidRPr="00CB5050" w:rsidRDefault="00695AE2" w:rsidP="00695AE2">
      <w:pPr>
        <w:spacing w:line="240" w:lineRule="auto"/>
        <w:jc w:val="center"/>
        <w:rPr>
          <w:rFonts w:eastAsia="Calibri"/>
        </w:rPr>
      </w:pPr>
      <w:r w:rsidRPr="00CB5050">
        <w:rPr>
          <w:rFonts w:eastAsia="Calibri"/>
          <w:noProof/>
        </w:rPr>
        <w:drawing>
          <wp:inline distT="0" distB="0" distL="0" distR="0" wp14:anchorId="3228FA58" wp14:editId="6918CDB8">
            <wp:extent cx="4584700" cy="2755900"/>
            <wp:effectExtent l="0" t="0" r="6350" b="6350"/>
            <wp:docPr id="837639164" name="Slika 2" descr="Slika, ki vsebuje besede posnetek zaslona, besedilo, pravokotnik, kvadra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39164" name="Slika 2" descr="Slika, ki vsebuje besede posnetek zaslona, besedilo, pravokotnik, kvadrat&#10;&#10;Vsebina, ustvarjena z UI, morda ni praviln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08425AC" w14:textId="77777777" w:rsidR="00695AE2" w:rsidRPr="00CB5050" w:rsidRDefault="00695AE2" w:rsidP="00695AE2">
      <w:pPr>
        <w:spacing w:line="240" w:lineRule="auto"/>
        <w:jc w:val="center"/>
        <w:rPr>
          <w:rFonts w:eastAsia="Calibri"/>
        </w:rPr>
      </w:pPr>
    </w:p>
    <w:p w14:paraId="28A5FBF8" w14:textId="77777777" w:rsidR="00695AE2" w:rsidRPr="00CB5050" w:rsidRDefault="00695AE2" w:rsidP="00695AE2">
      <w:pPr>
        <w:spacing w:line="240" w:lineRule="auto"/>
        <w:jc w:val="both"/>
        <w:rPr>
          <w:rFonts w:eastAsia="Calibri"/>
        </w:rPr>
      </w:pPr>
      <w:bookmarkStart w:id="1043" w:name="_Toc95149829"/>
      <w:bookmarkStart w:id="1044" w:name="_Toc168845074"/>
      <w:r w:rsidRPr="00CB5050">
        <w:rPr>
          <w:rFonts w:eastAsia="Calibri"/>
        </w:rPr>
        <w:t xml:space="preserve">Iz zgornjega grafikona je razvidno, da se število zadev, ki jih ima na letnem nivoju  v obravnavanju Državno odvetništvo RS že od leta 2021 dalje konstantno znižuje, saj vsako leto prejme v delo manj novih zadev – v letu 2025 je tako prejelo v delo eno novo zadevo, v letu </w:t>
      </w:r>
      <w:r w:rsidRPr="00CB5050">
        <w:rPr>
          <w:rFonts w:eastAsia="Calibri"/>
        </w:rPr>
        <w:lastRenderedPageBreak/>
        <w:t xml:space="preserve">2024 ni prejelo v delo nobene nove zadeve, v letu 2023 pa samo eno; Državno odvetništvo RS vsako leto zaključi približno 8 do 10 zadev.   </w:t>
      </w:r>
    </w:p>
    <w:p w14:paraId="02C033B0" w14:textId="77777777" w:rsidR="00695AE2" w:rsidRPr="00CB5050" w:rsidRDefault="00695AE2" w:rsidP="00695AE2">
      <w:pPr>
        <w:pStyle w:val="Jasna"/>
      </w:pPr>
    </w:p>
    <w:p w14:paraId="228B8B34" w14:textId="77777777" w:rsidR="00695AE2" w:rsidRPr="00CB5050" w:rsidRDefault="00695AE2" w:rsidP="00695AE2">
      <w:pPr>
        <w:pStyle w:val="Naslov3"/>
      </w:pPr>
      <w:bookmarkStart w:id="1045" w:name="_Toc191562071"/>
      <w:r>
        <w:t xml:space="preserve"> </w:t>
      </w:r>
      <w:bookmarkStart w:id="1046" w:name="_Toc223094073"/>
      <w:r w:rsidRPr="00CB5050">
        <w:t>Ukrepi za obvladovanje zadev in priporočila Državnega odvetništva RS</w:t>
      </w:r>
      <w:bookmarkEnd w:id="1043"/>
      <w:bookmarkEnd w:id="1044"/>
      <w:bookmarkEnd w:id="1045"/>
      <w:bookmarkEnd w:id="1046"/>
    </w:p>
    <w:p w14:paraId="5E68206F" w14:textId="77777777" w:rsidR="00695AE2" w:rsidRPr="00CB5050" w:rsidRDefault="00695AE2" w:rsidP="00695AE2">
      <w:pPr>
        <w:spacing w:line="240" w:lineRule="auto"/>
        <w:jc w:val="both"/>
        <w:rPr>
          <w:rFonts w:eastAsia="Calibri"/>
        </w:rPr>
      </w:pPr>
    </w:p>
    <w:p w14:paraId="5BB12B4C" w14:textId="77777777" w:rsidR="00695AE2" w:rsidRPr="00CB5050" w:rsidRDefault="00695AE2" w:rsidP="00695AE2">
      <w:pPr>
        <w:tabs>
          <w:tab w:val="left" w:pos="360"/>
          <w:tab w:val="left" w:pos="540"/>
        </w:tabs>
        <w:spacing w:line="240" w:lineRule="auto"/>
        <w:jc w:val="both"/>
        <w:rPr>
          <w:rFonts w:eastAsia="Calibri"/>
          <w:szCs w:val="22"/>
        </w:rPr>
      </w:pPr>
      <w:r w:rsidRPr="00CB5050">
        <w:rPr>
          <w:rFonts w:eastAsia="Calibri"/>
          <w:szCs w:val="22"/>
        </w:rPr>
        <w:t>Na področju obravnave denacionalizacijskih zadev so v obravnavi ostale samo še v dejanskem in pravnem smislu najbolj zahtevne zadeve, ki jih pristojnim upravnim organom oziroma sodiščem doslej še ni uspelo pravnomočno zaključiti ali pa so bile odločbe upravnih organov ali sodišč v pritožbenih postopkih oziroma v postopkih z izrednimi pravnimi sredstvi razveljavljene in jim zadeve vrnjene v ponovno odločanje. Nezaključeni torej ostajajo nekateri najzahtevnejši in najbolj zapleteni denacionalizacijski primeri, katerih reševanje je posledično bolj kompleksno in dolgotrajnejše.</w:t>
      </w:r>
    </w:p>
    <w:p w14:paraId="6E9439C3" w14:textId="77777777" w:rsidR="00695AE2" w:rsidRPr="00CB5050" w:rsidRDefault="00695AE2" w:rsidP="00695AE2">
      <w:pPr>
        <w:spacing w:line="240" w:lineRule="auto"/>
        <w:jc w:val="both"/>
        <w:rPr>
          <w:rFonts w:eastAsia="Calibri"/>
        </w:rPr>
      </w:pPr>
      <w:r w:rsidRPr="00CB5050">
        <w:rPr>
          <w:rFonts w:eastAsia="Calibri"/>
        </w:rPr>
        <w:t xml:space="preserve">Državno odvetništvo RS tudi za leto 2025 poudarja, da se zelo aktivno zavzema za čim hitrejši potek vsakega posameznega postopka, s tem pa prispeva k njegovemu čim hitrejšemu zaključku. </w:t>
      </w:r>
    </w:p>
    <w:p w14:paraId="4778E161" w14:textId="77777777" w:rsidR="00695AE2" w:rsidRPr="00CB5050" w:rsidRDefault="00695AE2" w:rsidP="00695AE2">
      <w:pPr>
        <w:spacing w:line="240" w:lineRule="auto"/>
        <w:jc w:val="both"/>
        <w:rPr>
          <w:rFonts w:eastAsia="Calibri"/>
        </w:rPr>
      </w:pPr>
    </w:p>
    <w:p w14:paraId="036B23AE" w14:textId="77777777" w:rsidR="00695AE2" w:rsidRPr="00CB5050" w:rsidRDefault="00695AE2" w:rsidP="00695AE2">
      <w:pPr>
        <w:spacing w:line="240" w:lineRule="auto"/>
        <w:jc w:val="both"/>
        <w:rPr>
          <w:rFonts w:eastAsia="Calibri"/>
        </w:rPr>
      </w:pPr>
      <w:bookmarkStart w:id="1047" w:name="_Hlk190517167"/>
      <w:r w:rsidRPr="00CB5050">
        <w:rPr>
          <w:rFonts w:eastAsia="Calibri"/>
        </w:rPr>
        <w:t xml:space="preserve">Z dolgotrajnimi denacionalizacijskimi postopki so povezani tudi </w:t>
      </w:r>
      <w:r w:rsidRPr="00CB5050">
        <w:rPr>
          <w:rFonts w:eastAsia="Calibri"/>
          <w:bCs/>
        </w:rPr>
        <w:t>odškodninski zahtevki po drugem odstavku 72. člena ZDen</w:t>
      </w:r>
      <w:r w:rsidRPr="00CB5050">
        <w:rPr>
          <w:rFonts w:eastAsia="Calibri"/>
        </w:rPr>
        <w:t xml:space="preserve"> </w:t>
      </w:r>
      <w:r w:rsidRPr="00CB5050">
        <w:rPr>
          <w:rFonts w:eastAsia="Calibri"/>
          <w:bCs/>
        </w:rPr>
        <w:t>zaradi nemožnosti uporabe nepremičnin v času od uveljavitve ZDen do vrnitve,</w:t>
      </w:r>
      <w:r w:rsidRPr="00CB5050">
        <w:rPr>
          <w:rFonts w:eastAsia="Calibri"/>
        </w:rPr>
        <w:t xml:space="preserve"> ki jih po pravnomočno zaključenih denacionalizacijskih postopkih upravičenci vlagajo pri pristojnih sodiščih ali pa glede njih neposredno z Vlado RS sklepajo poravnave. </w:t>
      </w:r>
    </w:p>
    <w:p w14:paraId="40446ABB" w14:textId="77777777" w:rsidR="00695AE2" w:rsidRPr="00CB5050" w:rsidRDefault="00695AE2" w:rsidP="00695AE2">
      <w:pPr>
        <w:spacing w:line="240" w:lineRule="auto"/>
        <w:jc w:val="both"/>
        <w:rPr>
          <w:rFonts w:eastAsia="Calibri"/>
        </w:rPr>
      </w:pPr>
    </w:p>
    <w:p w14:paraId="1BBF5B55" w14:textId="77777777" w:rsidR="00695AE2" w:rsidRPr="00CB5050" w:rsidRDefault="00695AE2" w:rsidP="00695AE2">
      <w:pPr>
        <w:spacing w:line="240" w:lineRule="auto"/>
        <w:jc w:val="both"/>
        <w:rPr>
          <w:rFonts w:eastAsia="Calibri"/>
        </w:rPr>
      </w:pPr>
      <w:r w:rsidRPr="00CB5050">
        <w:rPr>
          <w:rFonts w:eastAsia="Calibri"/>
          <w:lang w:eastAsia="sl-SI"/>
        </w:rPr>
        <w:t>Državno odvetništvo RS opozarja na dejstvo, da je s</w:t>
      </w:r>
      <w:r w:rsidRPr="00CB5050">
        <w:rPr>
          <w:rFonts w:eastAsia="Calibri"/>
          <w:bCs/>
          <w:lang w:eastAsia="sl-SI"/>
        </w:rPr>
        <w:t xml:space="preserve">plošno stališče vseh organov in strank v denacionalizacijskih postopkih, da je za zavezance (predvsem za Republiko Slovenijo) najcenejše vračanje premoženja v naravi. Toda glede na določilo drugega odstavka 72. člena ZDen se postavlja vprašanje, ali to res drži ali pa je morda za zavezance ugodnejša oblika odškodnine v obveznicah SOD ali RS, seveda ob predpostavki obstoja ovir za vrnitev v naravi. Primarno načelo o vračanju v naravi že samo po sebi predpostavlja veliko bolj zapletene in daljše postopke. Sedanja praksa kaže, da zavezanci po pravnomočnem zaključku postopka, v katerem so dobili vrnjeno premoženje v naravi, v pravdnem postopku praviloma uveljavljajo še odškodnino za nezmožnost uporabe od uveljavitve ZDen, zahtevki pa dosegajo enormno visoke zneske. Glede na izjemno zahtevnost in zapletenost denacionalizacijskih postopkov je logično, da le-ti niso mogli biti rešeni takoj po uveljavitvi ZDen, zaradi česar je popolnoma normalno, da bo prišlo do utemeljenosti zahtevka po drugem odstavku 72. člena ZDen skoraj v vsakem, še posebej sedaj končanem postopku. </w:t>
      </w:r>
    </w:p>
    <w:p w14:paraId="171F85BA" w14:textId="77777777" w:rsidR="00695AE2" w:rsidRPr="00CB5050" w:rsidRDefault="00695AE2" w:rsidP="00695AE2">
      <w:pPr>
        <w:spacing w:line="240" w:lineRule="auto"/>
        <w:jc w:val="both"/>
        <w:rPr>
          <w:rFonts w:eastAsia="Calibri"/>
          <w:bCs/>
          <w:lang w:eastAsia="sl-SI"/>
        </w:rPr>
      </w:pPr>
    </w:p>
    <w:p w14:paraId="2F59ECBD" w14:textId="77777777" w:rsidR="00695AE2" w:rsidRPr="00CB5050" w:rsidRDefault="00695AE2" w:rsidP="00695AE2">
      <w:pPr>
        <w:spacing w:line="240" w:lineRule="auto"/>
        <w:jc w:val="both"/>
        <w:rPr>
          <w:rFonts w:eastAsia="Calibri"/>
        </w:rPr>
      </w:pPr>
      <w:r w:rsidRPr="00CB5050">
        <w:rPr>
          <w:rFonts w:eastAsia="Calibri"/>
        </w:rPr>
        <w:t xml:space="preserve">Državno odvetništvo RS opozarja tudi na sistemsko neprimerno rešitev, ki omogoča </w:t>
      </w:r>
      <w:r w:rsidRPr="00CB5050">
        <w:rPr>
          <w:rFonts w:eastAsia="Calibri"/>
          <w:bCs/>
        </w:rPr>
        <w:t>obrestovanje</w:t>
      </w:r>
      <w:r w:rsidRPr="00CB5050">
        <w:rPr>
          <w:rFonts w:eastAsia="Calibri"/>
        </w:rPr>
        <w:t xml:space="preserve"> odškodnine za nemožnost uporabe z zakonskimi zamudnimi obrestmi, pa tudi na dejstvo, da sodišča pri odločanju o tovrstnih zahtevkih glede višine odškodnine </w:t>
      </w:r>
      <w:r w:rsidRPr="00CB5050">
        <w:rPr>
          <w:rFonts w:eastAsia="Calibri"/>
          <w:bCs/>
        </w:rPr>
        <w:t>ne upoštevajo prispevka upravičencev k dolgotrajnejšemu postopku</w:t>
      </w:r>
      <w:r w:rsidRPr="00CB5050">
        <w:rPr>
          <w:rFonts w:eastAsia="Calibri"/>
        </w:rPr>
        <w:t>. V vseh teh primerih so odškodnine denarna sredstva, ki neposredno bremenijo državni proračun, hkrati pa je treba vrnjeno nepremičnino, ki jo je država uporabljala za svoje potrebe, nadomestiti z drugo.</w:t>
      </w:r>
    </w:p>
    <w:bookmarkEnd w:id="1047"/>
    <w:p w14:paraId="27DBE308" w14:textId="77777777" w:rsidR="00695AE2" w:rsidRPr="00CB5050" w:rsidRDefault="00695AE2" w:rsidP="00695AE2">
      <w:pPr>
        <w:spacing w:line="240" w:lineRule="auto"/>
        <w:jc w:val="both"/>
        <w:rPr>
          <w:rFonts w:eastAsia="Calibri"/>
          <w:sz w:val="32"/>
          <w:szCs w:val="32"/>
        </w:rPr>
      </w:pPr>
    </w:p>
    <w:p w14:paraId="39A1719D" w14:textId="77777777" w:rsidR="00695AE2" w:rsidRPr="00CB5050" w:rsidRDefault="00695AE2" w:rsidP="00695AE2">
      <w:pPr>
        <w:pStyle w:val="Naslov2"/>
      </w:pPr>
      <w:bookmarkStart w:id="1048" w:name="_Toc95149830"/>
      <w:bookmarkStart w:id="1049" w:name="_Toc168845077"/>
      <w:bookmarkStart w:id="1050" w:name="_Toc191562072"/>
      <w:r>
        <w:t xml:space="preserve"> </w:t>
      </w:r>
      <w:bookmarkStart w:id="1051" w:name="_Toc223094074"/>
      <w:r w:rsidRPr="00CB5050">
        <w:t>Postopki po Zakonu o izvrševanju kazenskih sankcij</w:t>
      </w:r>
      <w:bookmarkEnd w:id="1048"/>
      <w:bookmarkEnd w:id="1049"/>
      <w:bookmarkEnd w:id="1050"/>
      <w:bookmarkEnd w:id="1051"/>
    </w:p>
    <w:p w14:paraId="0190675C" w14:textId="77777777" w:rsidR="00695AE2" w:rsidRPr="00CB5050" w:rsidRDefault="00695AE2" w:rsidP="00695AE2">
      <w:pPr>
        <w:spacing w:line="240" w:lineRule="auto"/>
        <w:rPr>
          <w:rFonts w:eastAsia="Calibri"/>
          <w:sz w:val="32"/>
          <w:szCs w:val="32"/>
        </w:rPr>
      </w:pPr>
    </w:p>
    <w:p w14:paraId="1BD9E74D" w14:textId="77777777" w:rsidR="00695AE2" w:rsidRPr="00CB5050" w:rsidRDefault="00695AE2" w:rsidP="00695AE2">
      <w:pPr>
        <w:pStyle w:val="Naslov3"/>
      </w:pPr>
      <w:bookmarkStart w:id="1052" w:name="_Toc95149831"/>
      <w:bookmarkStart w:id="1053" w:name="_Toc168845078"/>
      <w:bookmarkStart w:id="1054" w:name="_Toc191562073"/>
      <w:r>
        <w:lastRenderedPageBreak/>
        <w:t xml:space="preserve"> </w:t>
      </w:r>
      <w:bookmarkStart w:id="1055" w:name="_Toc223094075"/>
      <w:r w:rsidRPr="00CB5050">
        <w:t>Uvod</w:t>
      </w:r>
      <w:bookmarkEnd w:id="1052"/>
      <w:bookmarkEnd w:id="1053"/>
      <w:bookmarkEnd w:id="1054"/>
      <w:bookmarkEnd w:id="1055"/>
    </w:p>
    <w:p w14:paraId="118B3544" w14:textId="77777777" w:rsidR="00695AE2" w:rsidRPr="00CB5050" w:rsidRDefault="00695AE2" w:rsidP="00695AE2">
      <w:pPr>
        <w:spacing w:line="240" w:lineRule="auto"/>
        <w:rPr>
          <w:rFonts w:eastAsia="Calibri"/>
          <w:sz w:val="28"/>
          <w:szCs w:val="28"/>
        </w:rPr>
      </w:pPr>
    </w:p>
    <w:p w14:paraId="24872AD7" w14:textId="77777777" w:rsidR="00695AE2" w:rsidRPr="00CB5050" w:rsidRDefault="00695AE2" w:rsidP="00695AE2">
      <w:pPr>
        <w:spacing w:line="240" w:lineRule="auto"/>
        <w:jc w:val="both"/>
        <w:rPr>
          <w:rFonts w:eastAsia="Calibri"/>
          <w:lang w:eastAsia="sl-SI"/>
        </w:rPr>
      </w:pPr>
      <w:r w:rsidRPr="00CB5050">
        <w:rPr>
          <w:rFonts w:eastAsia="Calibri"/>
          <w:lang w:eastAsia="sl-SI"/>
        </w:rPr>
        <w:t xml:space="preserve">145. člen Zakona o izvrševanju kazenskih sankcij (ZIKS) je določal, da se upravičencem oziroma njihovim dedičem vrne zaplenjeno premoženje, če je bila kazen zaplembe razveljavljena. Premoženje se vrne v naravi ali v obliki odškodnine, če premoženja ali njegovih posameznih delov ni mogoče vrniti v naravi. Odškodnina za premoženje, ki ga v naravi ni mogoče vrniti, se določi po njegovem stanju v času zaplembe in po dejanski vrednosti na dan izdaje sklepa. </w:t>
      </w:r>
    </w:p>
    <w:p w14:paraId="70832D9E" w14:textId="77777777" w:rsidR="00695AE2" w:rsidRPr="00CB5050" w:rsidRDefault="00695AE2" w:rsidP="00695AE2">
      <w:pPr>
        <w:spacing w:line="240" w:lineRule="auto"/>
        <w:jc w:val="both"/>
        <w:rPr>
          <w:rFonts w:eastAsia="Calibri"/>
          <w:sz w:val="28"/>
          <w:szCs w:val="28"/>
        </w:rPr>
      </w:pPr>
    </w:p>
    <w:p w14:paraId="7379EEBC" w14:textId="77777777" w:rsidR="00695AE2" w:rsidRPr="00CB5050" w:rsidRDefault="00695AE2" w:rsidP="00695AE2">
      <w:pPr>
        <w:pStyle w:val="Naslov3"/>
      </w:pPr>
      <w:bookmarkStart w:id="1056" w:name="_Toc95149832"/>
      <w:bookmarkStart w:id="1057" w:name="_Toc168845079"/>
      <w:bookmarkStart w:id="1058" w:name="_Toc191562074"/>
      <w:r>
        <w:t xml:space="preserve"> </w:t>
      </w:r>
      <w:bookmarkStart w:id="1059" w:name="_Toc223094076"/>
      <w:r w:rsidRPr="00115A72">
        <w:t>Statisti</w:t>
      </w:r>
      <w:bookmarkEnd w:id="1056"/>
      <w:bookmarkEnd w:id="1057"/>
      <w:r w:rsidRPr="00115A72">
        <w:t>čni</w:t>
      </w:r>
      <w:r w:rsidRPr="00CB5050">
        <w:t xml:space="preserve"> podatki</w:t>
      </w:r>
      <w:bookmarkEnd w:id="1058"/>
      <w:bookmarkEnd w:id="1059"/>
    </w:p>
    <w:p w14:paraId="27C88CEC" w14:textId="77777777" w:rsidR="00695AE2" w:rsidRPr="00CB5050" w:rsidRDefault="00695AE2" w:rsidP="00695AE2">
      <w:pPr>
        <w:spacing w:line="240" w:lineRule="auto"/>
        <w:rPr>
          <w:rFonts w:eastAsia="Calibri"/>
          <w:sz w:val="28"/>
          <w:szCs w:val="28"/>
        </w:rPr>
      </w:pPr>
    </w:p>
    <w:p w14:paraId="53D2FF7E"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v letu 2025 ni prejelo v delo nobene nove zadeve. </w:t>
      </w:r>
    </w:p>
    <w:p w14:paraId="60A062BB" w14:textId="77777777" w:rsidR="00695AE2" w:rsidRPr="00CB5050" w:rsidRDefault="00695AE2" w:rsidP="00695AE2">
      <w:pPr>
        <w:spacing w:line="240" w:lineRule="auto"/>
        <w:jc w:val="both"/>
        <w:rPr>
          <w:rFonts w:eastAsia="Calibri"/>
        </w:rPr>
      </w:pPr>
    </w:p>
    <w:p w14:paraId="03F89799" w14:textId="77777777" w:rsidR="00695AE2" w:rsidRPr="00CB5050" w:rsidRDefault="00695AE2" w:rsidP="00695AE2">
      <w:pPr>
        <w:spacing w:line="240" w:lineRule="auto"/>
        <w:jc w:val="both"/>
        <w:rPr>
          <w:rFonts w:eastAsia="Calibri"/>
          <w:szCs w:val="22"/>
        </w:rPr>
      </w:pPr>
      <w:r w:rsidRPr="00CB5050">
        <w:rPr>
          <w:rFonts w:eastAsia="Calibri"/>
          <w:szCs w:val="22"/>
        </w:rPr>
        <w:t xml:space="preserve">Skupno je imelo leta 2025 Državno odvetništvo RS v delu 6 zadev, zaključeni (rešene) sta bili 2 zadevi. </w:t>
      </w:r>
    </w:p>
    <w:p w14:paraId="72DC7F21" w14:textId="77777777" w:rsidR="00695AE2" w:rsidRPr="00CB5050" w:rsidRDefault="00695AE2" w:rsidP="00695AE2">
      <w:pPr>
        <w:spacing w:line="240" w:lineRule="auto"/>
        <w:jc w:val="both"/>
        <w:rPr>
          <w:rFonts w:eastAsia="Calibri"/>
        </w:rPr>
      </w:pPr>
    </w:p>
    <w:p w14:paraId="1005F7D2"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dan 31. 12. 2025 so bile odprte (nerešene) 4 zadeve. </w:t>
      </w:r>
    </w:p>
    <w:p w14:paraId="5000FD3E" w14:textId="77777777" w:rsidR="00695AE2" w:rsidRPr="00CB5050" w:rsidRDefault="00695AE2" w:rsidP="00695AE2">
      <w:pPr>
        <w:spacing w:line="240" w:lineRule="auto"/>
        <w:jc w:val="both"/>
        <w:rPr>
          <w:rFonts w:eastAsia="Calibri"/>
          <w:sz w:val="28"/>
          <w:szCs w:val="28"/>
        </w:rPr>
      </w:pPr>
    </w:p>
    <w:p w14:paraId="51001814" w14:textId="77777777" w:rsidR="00695AE2" w:rsidRPr="00CB5050" w:rsidRDefault="00695AE2" w:rsidP="00695AE2">
      <w:pPr>
        <w:pStyle w:val="Naslov3"/>
      </w:pPr>
      <w:bookmarkStart w:id="1060" w:name="_Toc95149833"/>
      <w:bookmarkStart w:id="1061" w:name="_Toc168845080"/>
      <w:bookmarkStart w:id="1062" w:name="_Toc191562075"/>
      <w:r>
        <w:t xml:space="preserve"> </w:t>
      </w:r>
      <w:bookmarkStart w:id="1063" w:name="_Toc223094077"/>
      <w:r w:rsidRPr="00CB5050">
        <w:t>Analiza primerjalnih vrednosti</w:t>
      </w:r>
      <w:bookmarkEnd w:id="1060"/>
      <w:bookmarkEnd w:id="1061"/>
      <w:bookmarkEnd w:id="1062"/>
      <w:bookmarkEnd w:id="1063"/>
    </w:p>
    <w:p w14:paraId="0BA887F8" w14:textId="77777777" w:rsidR="00695AE2" w:rsidRPr="00CB5050" w:rsidRDefault="00695AE2" w:rsidP="00695AE2">
      <w:pPr>
        <w:spacing w:line="240" w:lineRule="auto"/>
        <w:rPr>
          <w:rFonts w:eastAsia="Calibri"/>
          <w:sz w:val="28"/>
          <w:szCs w:val="28"/>
        </w:rPr>
      </w:pPr>
    </w:p>
    <w:p w14:paraId="5B74DA42" w14:textId="77777777" w:rsidR="00695AE2" w:rsidRPr="00CB5050" w:rsidRDefault="00695AE2" w:rsidP="00695AE2">
      <w:pPr>
        <w:spacing w:line="240" w:lineRule="auto"/>
        <w:jc w:val="both"/>
        <w:rPr>
          <w:rFonts w:eastAsia="Calibri"/>
          <w:szCs w:val="22"/>
        </w:rPr>
      </w:pPr>
      <w:r w:rsidRPr="00CB5050">
        <w:rPr>
          <w:rFonts w:eastAsia="Calibri"/>
          <w:szCs w:val="22"/>
        </w:rPr>
        <w:t xml:space="preserve">Državno odvetništvo RS v letu 2025 ni prejelo v delo nobene nove zadeve, v letu 2024 prav tako ni prejelo nobene nove zadeve. </w:t>
      </w:r>
    </w:p>
    <w:p w14:paraId="2CE5F36A" w14:textId="77777777" w:rsidR="00695AE2" w:rsidRPr="00CB5050" w:rsidRDefault="00695AE2" w:rsidP="00695AE2">
      <w:pPr>
        <w:spacing w:line="240" w:lineRule="auto"/>
        <w:jc w:val="both"/>
        <w:rPr>
          <w:rFonts w:eastAsia="Calibri"/>
        </w:rPr>
      </w:pPr>
    </w:p>
    <w:p w14:paraId="0CB7F065" w14:textId="77777777" w:rsidR="00695AE2" w:rsidRPr="00CB5050" w:rsidRDefault="00695AE2" w:rsidP="00695AE2">
      <w:pPr>
        <w:spacing w:line="240" w:lineRule="auto"/>
        <w:jc w:val="both"/>
        <w:rPr>
          <w:rFonts w:eastAsia="Calibri"/>
          <w:szCs w:val="22"/>
        </w:rPr>
      </w:pPr>
      <w:r w:rsidRPr="00CB5050">
        <w:rPr>
          <w:rFonts w:eastAsia="Calibri"/>
          <w:szCs w:val="22"/>
        </w:rPr>
        <w:t xml:space="preserve">Skupno je imelo leta 2025 Državno odvetništvo RS v delu 6 zadev, kar je 33,33 odstotka manj kot leta 2024, ko je imelo v delu 9 zadev. </w:t>
      </w:r>
    </w:p>
    <w:p w14:paraId="078DFFBA" w14:textId="77777777" w:rsidR="00695AE2" w:rsidRPr="00CB5050" w:rsidRDefault="00695AE2" w:rsidP="00695AE2">
      <w:pPr>
        <w:spacing w:line="240" w:lineRule="auto"/>
        <w:jc w:val="both"/>
        <w:rPr>
          <w:rFonts w:eastAsia="Calibri"/>
        </w:rPr>
      </w:pPr>
    </w:p>
    <w:p w14:paraId="6D983C6A" w14:textId="77777777" w:rsidR="00695AE2" w:rsidRPr="00CB5050" w:rsidRDefault="00695AE2" w:rsidP="00695AE2">
      <w:pPr>
        <w:spacing w:line="240" w:lineRule="auto"/>
        <w:jc w:val="both"/>
        <w:rPr>
          <w:rFonts w:eastAsia="Calibri"/>
          <w:szCs w:val="22"/>
        </w:rPr>
      </w:pPr>
      <w:r w:rsidRPr="00CB5050">
        <w:rPr>
          <w:rFonts w:eastAsia="Calibri"/>
          <w:szCs w:val="22"/>
        </w:rPr>
        <w:t xml:space="preserve">V letu 2025 je Državno odvetništvo RS zaključilo 2 zadevi, kar je 50,0 odstotka manj kot leta 2024, ko je zaključilo 4 zadeve. </w:t>
      </w:r>
    </w:p>
    <w:p w14:paraId="0452910B" w14:textId="77777777" w:rsidR="00695AE2" w:rsidRPr="00CB5050" w:rsidRDefault="00695AE2" w:rsidP="00695AE2">
      <w:pPr>
        <w:spacing w:line="240" w:lineRule="auto"/>
        <w:jc w:val="both"/>
        <w:rPr>
          <w:rFonts w:eastAsia="Calibri"/>
          <w:szCs w:val="22"/>
        </w:rPr>
      </w:pPr>
    </w:p>
    <w:p w14:paraId="6E930113"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dan 31. 12. 2025 so bile odprte 4 zadeve, kar je 20 odstotkov manj kot na dan 31. 12. 2024, ko je bilo odprtih še 5 zadev. </w:t>
      </w:r>
    </w:p>
    <w:p w14:paraId="189D2AF1" w14:textId="77777777" w:rsidR="00695AE2" w:rsidRPr="00CB5050" w:rsidRDefault="00695AE2" w:rsidP="00695AE2">
      <w:pPr>
        <w:spacing w:line="240" w:lineRule="auto"/>
        <w:jc w:val="both"/>
        <w:rPr>
          <w:rFonts w:eastAsia="Calibri"/>
          <w:sz w:val="32"/>
          <w:szCs w:val="32"/>
        </w:rPr>
      </w:pPr>
    </w:p>
    <w:p w14:paraId="60852EE6" w14:textId="77777777" w:rsidR="00695AE2" w:rsidRPr="00CB5050" w:rsidRDefault="00695AE2" w:rsidP="00695AE2">
      <w:pPr>
        <w:pStyle w:val="Naslov2"/>
      </w:pPr>
      <w:bookmarkStart w:id="1064" w:name="_Toc168845082"/>
      <w:bookmarkStart w:id="1065" w:name="_Toc191562081"/>
      <w:bookmarkEnd w:id="1029"/>
      <w:r>
        <w:t xml:space="preserve"> </w:t>
      </w:r>
      <w:bookmarkStart w:id="1066" w:name="_Toc223094078"/>
      <w:r w:rsidRPr="00CB5050">
        <w:t>Postopki pred Evropskim sodiščem za človekove pravice</w:t>
      </w:r>
      <w:bookmarkEnd w:id="1064"/>
      <w:bookmarkEnd w:id="1065"/>
      <w:bookmarkEnd w:id="1066"/>
    </w:p>
    <w:p w14:paraId="7065151A" w14:textId="77777777" w:rsidR="00695AE2" w:rsidRPr="00CB5050" w:rsidRDefault="00695AE2" w:rsidP="00695AE2">
      <w:pPr>
        <w:spacing w:line="240" w:lineRule="auto"/>
        <w:rPr>
          <w:rFonts w:eastAsia="Calibri"/>
          <w:sz w:val="32"/>
          <w:szCs w:val="32"/>
        </w:rPr>
      </w:pPr>
    </w:p>
    <w:p w14:paraId="70E787B2" w14:textId="77777777" w:rsidR="00695AE2" w:rsidRPr="00CB5050" w:rsidRDefault="00695AE2" w:rsidP="00695AE2">
      <w:pPr>
        <w:pStyle w:val="Naslov3"/>
      </w:pPr>
      <w:bookmarkStart w:id="1067" w:name="_Toc168845083"/>
      <w:bookmarkStart w:id="1068" w:name="_Toc191562082"/>
      <w:r>
        <w:t xml:space="preserve"> </w:t>
      </w:r>
      <w:bookmarkStart w:id="1069" w:name="_Toc223094079"/>
      <w:r w:rsidRPr="00CB5050">
        <w:t>Uvod</w:t>
      </w:r>
      <w:bookmarkEnd w:id="1067"/>
      <w:bookmarkEnd w:id="1068"/>
      <w:bookmarkEnd w:id="1069"/>
    </w:p>
    <w:p w14:paraId="7D4D9E3D" w14:textId="77777777" w:rsidR="00695AE2" w:rsidRPr="00CB5050" w:rsidRDefault="00695AE2" w:rsidP="00695AE2">
      <w:pPr>
        <w:spacing w:line="240" w:lineRule="auto"/>
        <w:rPr>
          <w:rFonts w:eastAsia="Calibri"/>
          <w:sz w:val="28"/>
          <w:szCs w:val="28"/>
        </w:rPr>
      </w:pPr>
    </w:p>
    <w:p w14:paraId="25BC7DA0" w14:textId="77777777" w:rsidR="00695AE2" w:rsidRPr="00CB5050" w:rsidRDefault="00695AE2" w:rsidP="00695AE2">
      <w:pPr>
        <w:spacing w:line="240" w:lineRule="auto"/>
        <w:jc w:val="both"/>
        <w:rPr>
          <w:rFonts w:eastAsia="Calibri"/>
        </w:rPr>
      </w:pPr>
      <w:r w:rsidRPr="00CB5050">
        <w:rPr>
          <w:rFonts w:eastAsia="Calibri"/>
        </w:rPr>
        <w:t xml:space="preserve">Evropsko sodišče za človekove pravice (v nadaljevanju: ESČP) je bilo ustanovljeno leta 1959 na podlagi Evropske konvencije o človekovih pravicah (v nadaljevanju: EKČP oziroma konvencija). Njegova naloga je zagotavljati, da države spoštujejo in zagotavljajo človekove pravice in temeljne svoboščine iz EKČP državljanom in vsakomur znotraj svoje jurisdikcije, ne glede na spol, raso, državljanstvo, etnični izvor ali drugo okoliščino. </w:t>
      </w:r>
    </w:p>
    <w:p w14:paraId="4B2C3984" w14:textId="77777777" w:rsidR="00695AE2" w:rsidRPr="00CB5050" w:rsidRDefault="00695AE2" w:rsidP="00695AE2">
      <w:pPr>
        <w:spacing w:line="240" w:lineRule="auto"/>
        <w:jc w:val="both"/>
        <w:rPr>
          <w:rFonts w:eastAsia="Calibri"/>
        </w:rPr>
      </w:pPr>
    </w:p>
    <w:p w14:paraId="7AA76759" w14:textId="77777777" w:rsidR="00695AE2" w:rsidRPr="00CB5050" w:rsidRDefault="00695AE2" w:rsidP="00695AE2">
      <w:pPr>
        <w:spacing w:line="240" w:lineRule="auto"/>
        <w:jc w:val="both"/>
        <w:rPr>
          <w:rFonts w:eastAsia="Calibri"/>
        </w:rPr>
      </w:pPr>
      <w:r w:rsidRPr="00CB5050">
        <w:rPr>
          <w:rFonts w:eastAsia="Calibri"/>
        </w:rPr>
        <w:t xml:space="preserve">ESČP obravnava pritožbe posameznikov in meddržavne pritožbe. Kadar ugotovi, da je država pogodbenica kršila eno ali več pravic iz EKČP, o kršitvi odloči </w:t>
      </w:r>
      <w:r w:rsidRPr="00CB5050">
        <w:rPr>
          <w:rFonts w:eastAsia="Calibri"/>
          <w:bCs/>
        </w:rPr>
        <w:t>s sodbo</w:t>
      </w:r>
      <w:r w:rsidRPr="00CB5050">
        <w:rPr>
          <w:rFonts w:eastAsia="Calibri"/>
        </w:rPr>
        <w:t xml:space="preserve">. Dokončna sodba ESČP je zavezujoča, nadzor nad izvrševanjem pa izvaja Odbor ministrov Sveta Evrope. V primerih, ko ESČP ugotovi, da do kršitev, ki jih zatrjuje(jo) pritožnik(i), ni prišlo, odloči o neutemeljenosti </w:t>
      </w:r>
      <w:r w:rsidRPr="00CB5050">
        <w:rPr>
          <w:rFonts w:eastAsia="Calibri"/>
        </w:rPr>
        <w:lastRenderedPageBreak/>
        <w:t xml:space="preserve">pritožbe s sodbo ali s sklepom. V primerih očitne neutemeljenosti pritožbenih navedb o zatrjevanih kršitvah s konvencijo varovanih pravic ESČP izda </w:t>
      </w:r>
      <w:r w:rsidRPr="00CB5050">
        <w:rPr>
          <w:rFonts w:eastAsia="Calibri"/>
          <w:bCs/>
        </w:rPr>
        <w:t>sklep, da je pritožba nedopustna</w:t>
      </w:r>
      <w:r w:rsidRPr="00CB5050">
        <w:rPr>
          <w:rFonts w:eastAsia="Calibri"/>
        </w:rPr>
        <w:t xml:space="preserve">. Pravna podlaga za takšen način odločanja je 35. člen konvencije, ki določa merila dopustnosti pritožbe. Točka a tretjega odstavka 35. člena določa, da ESČP razglasi za nedopustno vsako zadevo, za katero meni, da ni v skladu z določbami konvencije ali njenih protokolov </w:t>
      </w:r>
      <w:r w:rsidRPr="00CB5050">
        <w:rPr>
          <w:rFonts w:eastAsia="Calibri"/>
          <w:iCs/>
        </w:rPr>
        <w:t xml:space="preserve">ali da je očitno neutemeljena </w:t>
      </w:r>
      <w:r w:rsidRPr="00CB5050">
        <w:rPr>
          <w:rFonts w:eastAsia="Calibri"/>
        </w:rPr>
        <w:t xml:space="preserve">ali da pomeni zlorabo pravice posameznika do pritožbe. </w:t>
      </w:r>
    </w:p>
    <w:p w14:paraId="0334BED7" w14:textId="77777777" w:rsidR="00695AE2" w:rsidRPr="00CB5050" w:rsidRDefault="00695AE2" w:rsidP="00695AE2">
      <w:pPr>
        <w:spacing w:line="240" w:lineRule="auto"/>
        <w:jc w:val="both"/>
        <w:rPr>
          <w:rFonts w:eastAsia="Calibri"/>
          <w:u w:val="thick"/>
        </w:rPr>
      </w:pPr>
    </w:p>
    <w:p w14:paraId="1989FB2D" w14:textId="77777777" w:rsidR="00695AE2" w:rsidRPr="00CB5050" w:rsidRDefault="00695AE2" w:rsidP="00695AE2">
      <w:pPr>
        <w:spacing w:line="240" w:lineRule="auto"/>
        <w:jc w:val="both"/>
        <w:rPr>
          <w:rFonts w:eastAsia="Calibri"/>
        </w:rPr>
      </w:pPr>
      <w:r w:rsidRPr="00CB5050">
        <w:rPr>
          <w:rFonts w:eastAsia="Calibri"/>
        </w:rPr>
        <w:t>EKČP poleg kataloga pravic in svoboščin vzpostavlja nadzorni mehanizem nad izpolnjevanjem prevzetih obveznosti držav pogodbenic. Predvideva dva tipa pritožb, in sicer pritožbe posameznikov ter meddržavne pritožbe.</w:t>
      </w:r>
    </w:p>
    <w:p w14:paraId="5D75A23F" w14:textId="77777777" w:rsidR="00695AE2" w:rsidRPr="00CB5050" w:rsidRDefault="00695AE2" w:rsidP="00695AE2">
      <w:pPr>
        <w:spacing w:line="240" w:lineRule="auto"/>
        <w:jc w:val="both"/>
        <w:rPr>
          <w:rFonts w:eastAsia="Calibri"/>
        </w:rPr>
      </w:pPr>
    </w:p>
    <w:p w14:paraId="04DE44E0" w14:textId="77777777" w:rsidR="00695AE2" w:rsidRPr="00CB5050" w:rsidRDefault="00695AE2" w:rsidP="00695AE2">
      <w:pPr>
        <w:spacing w:line="240" w:lineRule="auto"/>
        <w:jc w:val="both"/>
        <w:rPr>
          <w:rFonts w:eastAsia="Calibri"/>
        </w:rPr>
      </w:pPr>
      <w:r w:rsidRPr="00CB5050">
        <w:rPr>
          <w:rFonts w:eastAsia="Calibri"/>
        </w:rPr>
        <w:t>Vsaka država pogodbenica, posameznik, nevladna organizacija ali skupina posameznikov, ki zatrjuje, da je žrtev kršitve pravic iz EKČP, lahko, če je kršitev povzročila država pogodbenica, vloži pritožbo neposredno pri ESČP. To deluje po načelu subsidiarnosti in sme v skladu s 35. členom EKČP obravnavati zadeve šele po tem, ko so bila izčrpana vsa notranja pravna sredstva. Pritožba se lahko vloži v štirih mesecih od sprejetja dokončne odločitve po domačem pravu.</w:t>
      </w:r>
    </w:p>
    <w:p w14:paraId="5E04EDC3" w14:textId="77777777" w:rsidR="00695AE2" w:rsidRPr="00CB5050" w:rsidRDefault="00695AE2" w:rsidP="00695AE2">
      <w:pPr>
        <w:spacing w:line="240" w:lineRule="auto"/>
        <w:jc w:val="both"/>
        <w:rPr>
          <w:rFonts w:eastAsia="Calibri"/>
        </w:rPr>
      </w:pPr>
    </w:p>
    <w:p w14:paraId="7E222801" w14:textId="77777777" w:rsidR="00695AE2" w:rsidRPr="00CB5050" w:rsidRDefault="00695AE2" w:rsidP="00695AE2">
      <w:pPr>
        <w:spacing w:line="240" w:lineRule="auto"/>
        <w:jc w:val="both"/>
        <w:rPr>
          <w:rFonts w:eastAsia="Calibri"/>
        </w:rPr>
      </w:pPr>
      <w:r w:rsidRPr="00CB5050">
        <w:rPr>
          <w:rFonts w:eastAsia="Calibri"/>
        </w:rPr>
        <w:t xml:space="preserve">Na podlagi določbe 21. člena ZDOdv v skladu z usmeritvenimi navodili državnega odvetnika ali druge osebe, ki zastopa Republiko Slovenijo v posamezni zadevi pred ESČP, državo sozastopa tudi pravni svetovalec na stalnem predstavništvu Republike Slovenije, akreditiranem pri Svetu Evrope. Sozastopnik lahko dostopa do stališč Republike Slovenije in do informacij v posameznem spisu. Tako stališča kot informacije mu posreduje državni odvetnik, ki zastopa Republiko Slovenijo v posamezni zadevi. </w:t>
      </w:r>
    </w:p>
    <w:p w14:paraId="7F65AA37" w14:textId="77777777" w:rsidR="00695AE2" w:rsidRPr="00CB5050" w:rsidRDefault="00695AE2" w:rsidP="00695AE2">
      <w:pPr>
        <w:spacing w:line="240" w:lineRule="auto"/>
        <w:jc w:val="both"/>
        <w:rPr>
          <w:rFonts w:eastAsia="Calibri"/>
          <w:sz w:val="28"/>
          <w:szCs w:val="28"/>
        </w:rPr>
      </w:pPr>
    </w:p>
    <w:p w14:paraId="7A4009EC" w14:textId="77777777" w:rsidR="00695AE2" w:rsidRPr="00CB5050" w:rsidRDefault="00695AE2" w:rsidP="00695AE2">
      <w:pPr>
        <w:pStyle w:val="Naslov3"/>
      </w:pPr>
      <w:bookmarkStart w:id="1070" w:name="_Toc168845084"/>
      <w:bookmarkStart w:id="1071" w:name="_Toc191562083"/>
      <w:r>
        <w:t xml:space="preserve"> </w:t>
      </w:r>
      <w:bookmarkStart w:id="1072" w:name="_Toc223094080"/>
      <w:r w:rsidRPr="00CB5050">
        <w:t>Statisti</w:t>
      </w:r>
      <w:bookmarkEnd w:id="1070"/>
      <w:r w:rsidRPr="00CB5050">
        <w:t>čni podatki</w:t>
      </w:r>
      <w:bookmarkEnd w:id="1071"/>
      <w:bookmarkEnd w:id="1072"/>
    </w:p>
    <w:p w14:paraId="05C98C03" w14:textId="77777777" w:rsidR="00695AE2" w:rsidRPr="00CB5050" w:rsidRDefault="00695AE2" w:rsidP="00695AE2">
      <w:pPr>
        <w:spacing w:line="240" w:lineRule="auto"/>
        <w:rPr>
          <w:rFonts w:eastAsia="Calibri"/>
          <w:sz w:val="28"/>
          <w:szCs w:val="28"/>
        </w:rPr>
      </w:pPr>
    </w:p>
    <w:p w14:paraId="200D0A83" w14:textId="77777777" w:rsidR="00695AE2" w:rsidRPr="00CB5050" w:rsidRDefault="00695AE2" w:rsidP="00695AE2">
      <w:pPr>
        <w:pStyle w:val="Naslov4"/>
      </w:pPr>
      <w:bookmarkStart w:id="1073" w:name="_Toc168845085"/>
      <w:bookmarkStart w:id="1074" w:name="_Toc191562084"/>
      <w:bookmarkStart w:id="1075" w:name="_Toc223094081"/>
      <w:r w:rsidRPr="00CB5050">
        <w:t>Nove zadeve</w:t>
      </w:r>
      <w:bookmarkEnd w:id="1073"/>
      <w:bookmarkEnd w:id="1074"/>
      <w:bookmarkEnd w:id="1075"/>
    </w:p>
    <w:p w14:paraId="2F58F8A4" w14:textId="77777777" w:rsidR="00695AE2" w:rsidRPr="00CB5050" w:rsidRDefault="00695AE2" w:rsidP="00695AE2">
      <w:pPr>
        <w:spacing w:line="240" w:lineRule="auto"/>
        <w:rPr>
          <w:rFonts w:eastAsia="Calibri"/>
        </w:rPr>
      </w:pPr>
    </w:p>
    <w:p w14:paraId="03477623" w14:textId="77777777" w:rsidR="00695AE2" w:rsidRPr="00CB5050" w:rsidRDefault="00695AE2" w:rsidP="00695AE2">
      <w:pPr>
        <w:spacing w:line="240" w:lineRule="auto"/>
        <w:jc w:val="both"/>
        <w:rPr>
          <w:rFonts w:eastAsia="Times New Roman"/>
          <w:color w:val="FF0000"/>
          <w:lang w:eastAsia="sl-SI"/>
        </w:rPr>
      </w:pPr>
      <w:r w:rsidRPr="00CB5050">
        <w:rPr>
          <w:rFonts w:eastAsia="Calibri"/>
        </w:rPr>
        <w:t>V letu 2025 je bilo v ESČP vpisniku odprtih 19 zadev (spisov), vsi na podlagi individualne pritožbe, ki so jo posamezniki vložili proti Sloveniji.</w:t>
      </w:r>
    </w:p>
    <w:p w14:paraId="678BC5EC" w14:textId="77777777" w:rsidR="00695AE2" w:rsidRPr="00CB5050" w:rsidRDefault="00695AE2" w:rsidP="00695AE2">
      <w:pPr>
        <w:pStyle w:val="Jasna"/>
      </w:pPr>
    </w:p>
    <w:p w14:paraId="7834EB31" w14:textId="77777777" w:rsidR="00695AE2" w:rsidRPr="00CB5050" w:rsidRDefault="00695AE2" w:rsidP="00695AE2">
      <w:pPr>
        <w:pStyle w:val="Naslov5"/>
        <w:ind w:left="0" w:firstLine="0"/>
      </w:pPr>
      <w:bookmarkStart w:id="1076" w:name="_Toc168845086"/>
      <w:bookmarkStart w:id="1077" w:name="_Toc191562085"/>
      <w:bookmarkStart w:id="1078" w:name="_Toc223094082"/>
      <w:r w:rsidRPr="00CB5050">
        <w:t>Prejete zadeve – pritožbene zadeve na podlagi 34. člena Konvencije o varstvu človekovih pravic in temeljnih svoboščin</w:t>
      </w:r>
      <w:bookmarkEnd w:id="1076"/>
      <w:bookmarkEnd w:id="1077"/>
      <w:bookmarkEnd w:id="1078"/>
    </w:p>
    <w:p w14:paraId="212F9C55" w14:textId="77777777" w:rsidR="00695AE2" w:rsidRPr="00CB5050" w:rsidRDefault="00695AE2" w:rsidP="00695AE2">
      <w:pPr>
        <w:pStyle w:val="Jasna"/>
      </w:pPr>
    </w:p>
    <w:p w14:paraId="3A8D2127" w14:textId="77777777" w:rsidR="00695AE2" w:rsidRPr="00CB5050" w:rsidRDefault="00695AE2" w:rsidP="00695AE2">
      <w:pPr>
        <w:spacing w:line="240" w:lineRule="auto"/>
        <w:jc w:val="both"/>
        <w:rPr>
          <w:rFonts w:eastAsia="Calibri"/>
        </w:rPr>
      </w:pPr>
      <w:r w:rsidRPr="00CB5050">
        <w:rPr>
          <w:rFonts w:eastAsia="Calibri"/>
          <w:bCs/>
        </w:rPr>
        <w:t>V vseh 19 pritožbenih zadevah proti Sloveniji, ki so jih pritožniki vložili na podlagi 34. člena</w:t>
      </w:r>
      <w:r w:rsidRPr="00CB5050">
        <w:rPr>
          <w:rFonts w:eastAsia="Calibri"/>
        </w:rPr>
        <w:t xml:space="preserve"> konvencije, je ESČP Slovenijo pozvalo k izjasnitvi glede sprejemljivosti in utemeljenosti pritožbe, in sicer:</w:t>
      </w:r>
    </w:p>
    <w:p w14:paraId="533D9874" w14:textId="77777777" w:rsidR="00695AE2" w:rsidRPr="00CB5050" w:rsidRDefault="00695AE2" w:rsidP="00695AE2">
      <w:pPr>
        <w:spacing w:line="240" w:lineRule="auto"/>
        <w:jc w:val="both"/>
        <w:rPr>
          <w:rFonts w:eastAsia="Calibri"/>
        </w:rPr>
      </w:pPr>
    </w:p>
    <w:p w14:paraId="7D0E7852"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rPr>
        <w:t>Gabrijan in drugi proti Sloveniji</w:t>
      </w:r>
      <w:r w:rsidRPr="00CB5050">
        <w:rPr>
          <w:rFonts w:eastAsia="Calibri"/>
          <w:bCs/>
          <w:iCs/>
        </w:rPr>
        <w:t xml:space="preserve">, št. 19722/24 in </w:t>
      </w:r>
      <w:r w:rsidRPr="00CB5050">
        <w:rPr>
          <w:rFonts w:eastAsia="Calibri"/>
          <w:i/>
        </w:rPr>
        <w:t>Kandrič proti Sloveniji</w:t>
      </w:r>
      <w:r w:rsidRPr="00CB5050">
        <w:rPr>
          <w:rFonts w:eastAsia="Calibri"/>
          <w:iCs/>
        </w:rPr>
        <w:t xml:space="preserve">, št. 20307/24 </w:t>
      </w:r>
      <w:r w:rsidRPr="00CB5050">
        <w:rPr>
          <w:rFonts w:eastAsia="Calibri"/>
          <w:bCs/>
          <w:iCs/>
        </w:rPr>
        <w:t xml:space="preserve">(pravica do </w:t>
      </w:r>
      <w:r w:rsidRPr="00CB5050">
        <w:rPr>
          <w:rFonts w:eastAsia="Calibri"/>
          <w:bCs/>
        </w:rPr>
        <w:t>mirnega uživanja premoženja iz 1. člena Protokola št. 1 h konvenciji);</w:t>
      </w:r>
    </w:p>
    <w:p w14:paraId="2F2AEE5B" w14:textId="77777777" w:rsidR="00695AE2" w:rsidRPr="00CB5050" w:rsidRDefault="00695AE2" w:rsidP="00695AE2">
      <w:pPr>
        <w:spacing w:line="240" w:lineRule="auto"/>
        <w:ind w:left="714" w:hanging="357"/>
        <w:jc w:val="both"/>
        <w:rPr>
          <w:rFonts w:eastAsia="Calibri"/>
          <w:bCs/>
          <w:iCs/>
        </w:rPr>
      </w:pPr>
    </w:p>
    <w:p w14:paraId="1D06E99C"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rPr>
        <w:t>Piščanc in drugi proti Sloveniji</w:t>
      </w:r>
      <w:r w:rsidRPr="00CB5050">
        <w:rPr>
          <w:rFonts w:eastAsia="Calibri"/>
          <w:bCs/>
        </w:rPr>
        <w:t>, št. 16658/24 (</w:t>
      </w:r>
      <w:bookmarkStart w:id="1079" w:name="_Hlk187668045"/>
      <w:r w:rsidRPr="00CB5050">
        <w:rPr>
          <w:rFonts w:eastAsia="Calibri"/>
          <w:bCs/>
        </w:rPr>
        <w:t xml:space="preserve">pravica do poštenega sojenja iz prvega odstavka 6. člena, </w:t>
      </w:r>
      <w:r w:rsidRPr="00CB5050">
        <w:rPr>
          <w:rFonts w:eastAsia="Calibri"/>
          <w:bCs/>
          <w:iCs/>
        </w:rPr>
        <w:t xml:space="preserve">pravica do </w:t>
      </w:r>
      <w:r w:rsidRPr="00CB5050">
        <w:rPr>
          <w:rFonts w:eastAsia="Calibri"/>
          <w:bCs/>
        </w:rPr>
        <w:t>mirnega uživanja premoženja iz 1. člena Protokola št. 1 h konvenciji in pravica do učinkovitega pravnega sredstva iz 13. člena konvencije)</w:t>
      </w:r>
      <w:bookmarkEnd w:id="1079"/>
      <w:r w:rsidRPr="00CB5050">
        <w:rPr>
          <w:rFonts w:eastAsia="Calibri"/>
          <w:bCs/>
        </w:rPr>
        <w:t>;</w:t>
      </w:r>
    </w:p>
    <w:p w14:paraId="2D3CC344" w14:textId="77777777" w:rsidR="00695AE2" w:rsidRPr="00CB5050" w:rsidRDefault="00695AE2" w:rsidP="00695AE2">
      <w:pPr>
        <w:spacing w:after="160" w:line="259" w:lineRule="auto"/>
        <w:ind w:left="720"/>
        <w:contextualSpacing/>
        <w:rPr>
          <w:rFonts w:eastAsia="Calibri"/>
          <w:bCs/>
        </w:rPr>
      </w:pPr>
    </w:p>
    <w:p w14:paraId="0F1BC705"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rPr>
        <w:lastRenderedPageBreak/>
        <w:t>Vodopivc proti Sloveniji</w:t>
      </w:r>
      <w:r w:rsidRPr="00CB5050">
        <w:rPr>
          <w:rFonts w:eastAsia="Calibri"/>
          <w:bCs/>
        </w:rPr>
        <w:t>, št. 25369/22 (pravica do spoštovanja zasebnega in družinskega življenja iz 8. člena konvencije);</w:t>
      </w:r>
    </w:p>
    <w:p w14:paraId="37AED0F3" w14:textId="77777777" w:rsidR="00695AE2" w:rsidRPr="00CB5050" w:rsidRDefault="00695AE2" w:rsidP="00695AE2">
      <w:pPr>
        <w:spacing w:line="240" w:lineRule="auto"/>
        <w:ind w:left="714" w:hanging="357"/>
        <w:jc w:val="both"/>
        <w:rPr>
          <w:rFonts w:eastAsia="Calibri"/>
          <w:bCs/>
        </w:rPr>
      </w:pPr>
    </w:p>
    <w:p w14:paraId="4892D4B7"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rPr>
        <w:t>Kolar proti Sloveniji,</w:t>
      </w:r>
      <w:r w:rsidRPr="00CB5050">
        <w:rPr>
          <w:rFonts w:eastAsia="Calibri"/>
          <w:bCs/>
        </w:rPr>
        <w:t xml:space="preserve"> št. 626/25 (pravica do spoštovanja zasebnega in družinskega življenja iz 8. člena, prepoved diskriminacije iz 14. člena in pravica do poštenega sojenja iz prvega odstavka 6. člena konvencije);</w:t>
      </w:r>
    </w:p>
    <w:p w14:paraId="43F75389" w14:textId="77777777" w:rsidR="00695AE2" w:rsidRPr="00CB5050" w:rsidRDefault="00695AE2" w:rsidP="00695AE2">
      <w:pPr>
        <w:spacing w:line="240" w:lineRule="auto"/>
        <w:ind w:left="714"/>
        <w:contextualSpacing/>
        <w:jc w:val="both"/>
        <w:rPr>
          <w:rFonts w:eastAsia="Calibri"/>
          <w:bCs/>
        </w:rPr>
      </w:pPr>
    </w:p>
    <w:p w14:paraId="024C8D8F"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Planinc proti Sloveniji</w:t>
      </w:r>
      <w:r w:rsidRPr="00CB5050">
        <w:rPr>
          <w:rFonts w:eastAsia="Calibri"/>
          <w:bCs/>
        </w:rPr>
        <w:t>, št. 11982/24 (pravica do svobode in varnosti iz 5. člena ter pravica do sojenja v razumnem roku iz prvega odstavka 6. člena konvencije);</w:t>
      </w:r>
    </w:p>
    <w:p w14:paraId="4DDF51CF" w14:textId="77777777" w:rsidR="00695AE2" w:rsidRPr="00CB5050" w:rsidRDefault="00695AE2" w:rsidP="00695AE2">
      <w:pPr>
        <w:spacing w:line="240" w:lineRule="auto"/>
        <w:ind w:left="714"/>
        <w:contextualSpacing/>
        <w:jc w:val="both"/>
        <w:rPr>
          <w:rFonts w:eastAsia="Calibri"/>
          <w:bCs/>
        </w:rPr>
      </w:pPr>
    </w:p>
    <w:p w14:paraId="0B524826"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Ristić in drugi proti Sloveniji</w:t>
      </w:r>
      <w:r w:rsidRPr="00CB5050">
        <w:rPr>
          <w:rFonts w:eastAsia="Calibri"/>
          <w:bCs/>
        </w:rPr>
        <w:t xml:space="preserve">, št. 16807/24 (pravica do spoštovanja zasebnega in družinskega življenja iz 8. člena, pravica do poštenega sojenja iz prvega odstavka 6. člena, </w:t>
      </w:r>
      <w:r w:rsidRPr="00CB5050">
        <w:rPr>
          <w:rFonts w:eastAsia="Calibri"/>
          <w:bCs/>
          <w:iCs/>
        </w:rPr>
        <w:t xml:space="preserve">pravica do </w:t>
      </w:r>
      <w:r w:rsidRPr="00CB5050">
        <w:rPr>
          <w:rFonts w:eastAsia="Calibri"/>
          <w:bCs/>
        </w:rPr>
        <w:t>mirnega uživanja premoženja iz 1. člena Protokola št. 1 h konvenciji in pravica do učinkovitega pravnega sredstva iz 13. člena konvencije);</w:t>
      </w:r>
    </w:p>
    <w:p w14:paraId="6EA68B08" w14:textId="77777777" w:rsidR="00695AE2" w:rsidRPr="00CB5050" w:rsidRDefault="00695AE2" w:rsidP="00695AE2">
      <w:pPr>
        <w:spacing w:line="240" w:lineRule="auto"/>
        <w:ind w:left="714"/>
        <w:contextualSpacing/>
        <w:jc w:val="both"/>
        <w:rPr>
          <w:rFonts w:eastAsia="Calibri"/>
          <w:bCs/>
        </w:rPr>
      </w:pPr>
    </w:p>
    <w:p w14:paraId="063098B6"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Marijon proti Sloveniji</w:t>
      </w:r>
      <w:r w:rsidRPr="00CB5050">
        <w:rPr>
          <w:rFonts w:eastAsia="Calibri"/>
          <w:bCs/>
        </w:rPr>
        <w:t>, št. 729/24 (pravica do spoštovanja zasebnega in družinskega življenja iz 8. člena konvencije in prepoved diskriminacije iz 14. člena konvencije);</w:t>
      </w:r>
    </w:p>
    <w:p w14:paraId="115F39B0" w14:textId="77777777" w:rsidR="00695AE2" w:rsidRPr="00CB5050" w:rsidRDefault="00695AE2" w:rsidP="00695AE2">
      <w:pPr>
        <w:spacing w:line="240" w:lineRule="auto"/>
        <w:ind w:left="714" w:hanging="357"/>
        <w:jc w:val="both"/>
        <w:rPr>
          <w:rFonts w:eastAsia="Calibri"/>
          <w:bCs/>
        </w:rPr>
      </w:pPr>
    </w:p>
    <w:p w14:paraId="0D34D7ED"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Giuliatti Bajželj proti Sloveniji</w:t>
      </w:r>
      <w:r w:rsidRPr="00CB5050">
        <w:rPr>
          <w:rFonts w:eastAsia="Calibri"/>
          <w:bCs/>
        </w:rPr>
        <w:t>, št. 3316/25 (pravica do življenja iz 2. člena in pravica do spoštovanja zasebnega in družinskega življenja iz 8. člena konvencije);</w:t>
      </w:r>
    </w:p>
    <w:p w14:paraId="3F4C6169" w14:textId="77777777" w:rsidR="00695AE2" w:rsidRPr="00CB5050" w:rsidRDefault="00695AE2" w:rsidP="00695AE2">
      <w:pPr>
        <w:spacing w:line="240" w:lineRule="auto"/>
        <w:ind w:left="714" w:hanging="357"/>
        <w:jc w:val="both"/>
        <w:rPr>
          <w:rFonts w:eastAsia="Calibri"/>
          <w:bCs/>
        </w:rPr>
      </w:pPr>
    </w:p>
    <w:p w14:paraId="7041C977"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Du Toit proti Sloveniji</w:t>
      </w:r>
      <w:r w:rsidRPr="00CB5050">
        <w:rPr>
          <w:rFonts w:eastAsia="Calibri"/>
          <w:bCs/>
        </w:rPr>
        <w:t>, št. 418/25 (pravica do spoštovanja zasebnega in družinskega življenja iz 8. člena, prepoved diskriminacije iz 14. člena in pravica do poštenega sojenja iz prvega odstavka 6. člena konvencije),</w:t>
      </w:r>
    </w:p>
    <w:p w14:paraId="26DACFA5" w14:textId="77777777" w:rsidR="00695AE2" w:rsidRPr="00CB5050" w:rsidRDefault="00695AE2" w:rsidP="00695AE2">
      <w:pPr>
        <w:spacing w:line="240" w:lineRule="auto"/>
        <w:ind w:left="714" w:hanging="357"/>
        <w:jc w:val="both"/>
        <w:rPr>
          <w:rFonts w:eastAsia="Calibri"/>
          <w:bCs/>
        </w:rPr>
      </w:pPr>
    </w:p>
    <w:p w14:paraId="335CB8B2"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Eržen proti Sloveniji</w:t>
      </w:r>
      <w:r w:rsidRPr="00CB5050">
        <w:rPr>
          <w:rFonts w:eastAsia="Calibri"/>
          <w:bCs/>
        </w:rPr>
        <w:t>, št. 13205/25 (pravica do poštenega sojenja iz prvega odstavka 6. člena in pravica do mirnega uživanja premoženja iz 1. člena Protokola št. 1 h konvenciji),</w:t>
      </w:r>
    </w:p>
    <w:p w14:paraId="072650A5" w14:textId="77777777" w:rsidR="00695AE2" w:rsidRPr="00CB5050" w:rsidRDefault="00695AE2" w:rsidP="00695AE2">
      <w:pPr>
        <w:spacing w:after="160" w:line="259" w:lineRule="auto"/>
        <w:ind w:left="720"/>
        <w:contextualSpacing/>
        <w:rPr>
          <w:rFonts w:eastAsia="Calibri"/>
          <w:bCs/>
        </w:rPr>
      </w:pPr>
    </w:p>
    <w:p w14:paraId="63F08475"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Kozole proti Sloveniji</w:t>
      </w:r>
      <w:r w:rsidRPr="00CB5050">
        <w:rPr>
          <w:rFonts w:eastAsia="Calibri"/>
          <w:bCs/>
        </w:rPr>
        <w:t>, št. 678/25 (pravica do spoštovanja zasebnega in družinskega življenja iz 8. člena, prepoved diskriminacije iz 14. člena in pravica do poštenega sojenja iz prvega odstavka 6. člena konvencije),</w:t>
      </w:r>
    </w:p>
    <w:p w14:paraId="1D167764" w14:textId="77777777" w:rsidR="00695AE2" w:rsidRPr="00CB5050" w:rsidRDefault="00695AE2" w:rsidP="00695AE2">
      <w:pPr>
        <w:spacing w:after="160" w:line="259" w:lineRule="auto"/>
        <w:ind w:left="720"/>
        <w:contextualSpacing/>
        <w:rPr>
          <w:rFonts w:eastAsia="Calibri"/>
          <w:bCs/>
        </w:rPr>
      </w:pPr>
    </w:p>
    <w:p w14:paraId="01EEE69D"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Janša proti Sloveniji</w:t>
      </w:r>
      <w:r w:rsidRPr="00CB5050">
        <w:rPr>
          <w:rFonts w:eastAsia="Calibri"/>
          <w:bCs/>
        </w:rPr>
        <w:t>, št. 21308/24 (svoboda izražanja iz 10. člena konvencije),</w:t>
      </w:r>
    </w:p>
    <w:p w14:paraId="4511B9C0" w14:textId="77777777" w:rsidR="00695AE2" w:rsidRPr="00CB5050" w:rsidRDefault="00695AE2" w:rsidP="00695AE2">
      <w:pPr>
        <w:spacing w:after="160" w:line="259" w:lineRule="auto"/>
        <w:ind w:left="720"/>
        <w:contextualSpacing/>
        <w:rPr>
          <w:rFonts w:eastAsia="Calibri"/>
          <w:bCs/>
        </w:rPr>
      </w:pPr>
    </w:p>
    <w:p w14:paraId="540FD4BE"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Čubej proti Sloveniji</w:t>
      </w:r>
      <w:r w:rsidRPr="00CB5050">
        <w:rPr>
          <w:rFonts w:eastAsia="Calibri"/>
          <w:bCs/>
        </w:rPr>
        <w:t>, št. 1744/25 (pravica do spoštovanja zasebnega in družinskega življenja iz 8. člena, prepoved diskriminacije iz 14. člena in pravica do poštenega sojenja iz prvega odstavka 6. člena konvencije),</w:t>
      </w:r>
    </w:p>
    <w:p w14:paraId="7E614D45" w14:textId="77777777" w:rsidR="00695AE2" w:rsidRPr="00CB5050" w:rsidRDefault="00695AE2" w:rsidP="00695AE2">
      <w:pPr>
        <w:spacing w:after="160" w:line="259" w:lineRule="auto"/>
        <w:ind w:left="720"/>
        <w:contextualSpacing/>
        <w:rPr>
          <w:rFonts w:eastAsia="Calibri"/>
          <w:bCs/>
        </w:rPr>
      </w:pPr>
    </w:p>
    <w:p w14:paraId="75DE3E82"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Može proti Sloveniji</w:t>
      </w:r>
      <w:r w:rsidRPr="00CB5050">
        <w:rPr>
          <w:rFonts w:eastAsia="Calibri"/>
          <w:bCs/>
        </w:rPr>
        <w:t>, št. 12950/25 (pravica do spoštovanja zasebnega in družinskega življenja iz 8. člena, prepoved diskriminacije iz 14. člena in pravica do poštenega sojenja iz prvega odstavka 6. člena konvencije),</w:t>
      </w:r>
    </w:p>
    <w:p w14:paraId="6A10F789" w14:textId="77777777" w:rsidR="00695AE2" w:rsidRPr="00CB5050" w:rsidRDefault="00695AE2" w:rsidP="00695AE2">
      <w:pPr>
        <w:spacing w:after="160" w:line="259" w:lineRule="auto"/>
        <w:ind w:left="720"/>
        <w:contextualSpacing/>
        <w:rPr>
          <w:rFonts w:eastAsia="Calibri"/>
          <w:bCs/>
        </w:rPr>
      </w:pPr>
    </w:p>
    <w:p w14:paraId="27F53BC8"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Oblak proti Sloveniji</w:t>
      </w:r>
      <w:r w:rsidRPr="00CB5050">
        <w:rPr>
          <w:rFonts w:eastAsia="Calibri"/>
          <w:bCs/>
        </w:rPr>
        <w:t>, št. 1748/25 (pravica do spoštovanja zasebnega in družinskega življenja iz 8. člena, prepoved diskriminacije iz 14. člena in pravica do poštenega sojenja iz prvega odstavka 6. člena konvencije),</w:t>
      </w:r>
    </w:p>
    <w:p w14:paraId="0603288C" w14:textId="77777777" w:rsidR="00695AE2" w:rsidRPr="00CB5050" w:rsidRDefault="00695AE2" w:rsidP="00695AE2">
      <w:pPr>
        <w:spacing w:after="160" w:line="259" w:lineRule="auto"/>
        <w:ind w:left="720"/>
        <w:contextualSpacing/>
        <w:rPr>
          <w:rFonts w:eastAsia="Calibri"/>
          <w:bCs/>
        </w:rPr>
      </w:pPr>
    </w:p>
    <w:p w14:paraId="423741E0"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Pajić proti Sloveniji</w:t>
      </w:r>
      <w:r w:rsidRPr="00CB5050">
        <w:rPr>
          <w:rFonts w:eastAsia="Calibri"/>
          <w:bCs/>
        </w:rPr>
        <w:t>, št. 1742/25 (pravica do spoštovanja zasebnega in družinskega življenja iz 8. člena, prepoved diskriminacije iz 14. člena in pravica do poštenega sojenja iz prvega odstavka 6. člena konvencije),</w:t>
      </w:r>
    </w:p>
    <w:p w14:paraId="5CE6FEFF" w14:textId="77777777" w:rsidR="00695AE2" w:rsidRPr="00CB5050" w:rsidRDefault="00695AE2" w:rsidP="00695AE2">
      <w:pPr>
        <w:spacing w:after="160" w:line="259" w:lineRule="auto"/>
        <w:ind w:left="720"/>
        <w:contextualSpacing/>
        <w:rPr>
          <w:rFonts w:eastAsia="Calibri"/>
          <w:bCs/>
        </w:rPr>
      </w:pPr>
    </w:p>
    <w:p w14:paraId="24D16790"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Supančić proti Sloveniji</w:t>
      </w:r>
      <w:r w:rsidRPr="00CB5050">
        <w:rPr>
          <w:rFonts w:eastAsia="Calibri"/>
          <w:bCs/>
        </w:rPr>
        <w:t>, št. 803/25 (pravica do spoštovanja zasebnega in družinskega življenja iz 8. člena, prepoved diskriminacije iz 14. člena in pravica do poštenega sojenja iz prvega odstavka 6. člena konvencije),</w:t>
      </w:r>
    </w:p>
    <w:p w14:paraId="107EBA82" w14:textId="77777777" w:rsidR="00695AE2" w:rsidRPr="00CB5050" w:rsidRDefault="00695AE2" w:rsidP="00695AE2">
      <w:pPr>
        <w:spacing w:after="160" w:line="259" w:lineRule="auto"/>
        <w:ind w:left="720"/>
        <w:contextualSpacing/>
        <w:rPr>
          <w:rFonts w:eastAsia="Calibri"/>
          <w:bCs/>
        </w:rPr>
      </w:pPr>
    </w:p>
    <w:p w14:paraId="68C5D3BB"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S. T. proti Sloveniji</w:t>
      </w:r>
      <w:r w:rsidRPr="00CB5050">
        <w:rPr>
          <w:rFonts w:eastAsia="Calibri"/>
          <w:bCs/>
        </w:rPr>
        <w:t>, št. 30205/25 (pravica do poštenega sojenja iz prvega odstavka 6. člena in pravica do spoštovanja zasebnega in družinskega življenja iz 8. člena konvencije), in</w:t>
      </w:r>
    </w:p>
    <w:p w14:paraId="0858AA38" w14:textId="77777777" w:rsidR="00695AE2" w:rsidRPr="00CB5050" w:rsidRDefault="00695AE2" w:rsidP="00695AE2">
      <w:pPr>
        <w:spacing w:line="240" w:lineRule="auto"/>
        <w:jc w:val="both"/>
        <w:rPr>
          <w:rFonts w:eastAsia="Calibri"/>
        </w:rPr>
      </w:pPr>
    </w:p>
    <w:p w14:paraId="4C86CE6E" w14:textId="77777777" w:rsidR="00695AE2" w:rsidRPr="00CB5050" w:rsidRDefault="00695AE2" w:rsidP="00695AE2">
      <w:pPr>
        <w:numPr>
          <w:ilvl w:val="0"/>
          <w:numId w:val="127"/>
        </w:numPr>
        <w:spacing w:after="160" w:line="240" w:lineRule="auto"/>
        <w:ind w:left="714" w:hanging="357"/>
        <w:contextualSpacing/>
        <w:jc w:val="both"/>
        <w:rPr>
          <w:rFonts w:eastAsia="Calibri"/>
          <w:bCs/>
        </w:rPr>
      </w:pPr>
      <w:r w:rsidRPr="00CB5050">
        <w:rPr>
          <w:rFonts w:eastAsia="Calibri"/>
          <w:bCs/>
          <w:i/>
          <w:iCs/>
        </w:rPr>
        <w:t>Regvar proti Sloveniji</w:t>
      </w:r>
      <w:r w:rsidRPr="00CB5050">
        <w:rPr>
          <w:rFonts w:eastAsia="Calibri"/>
          <w:bCs/>
        </w:rPr>
        <w:t>, št. 36538/25 (pravica do spoštovanja zasebnega in družinskega življenja iz 8. člena konvencije).</w:t>
      </w:r>
    </w:p>
    <w:p w14:paraId="6AAA329E" w14:textId="77777777" w:rsidR="00695AE2" w:rsidRPr="00CB5050" w:rsidRDefault="00695AE2" w:rsidP="00695AE2">
      <w:pPr>
        <w:spacing w:line="240" w:lineRule="auto"/>
        <w:jc w:val="both"/>
        <w:rPr>
          <w:rFonts w:eastAsia="Calibri"/>
        </w:rPr>
      </w:pPr>
    </w:p>
    <w:p w14:paraId="1E64BD61" w14:textId="77777777" w:rsidR="00695AE2" w:rsidRPr="00CB5050" w:rsidRDefault="00695AE2" w:rsidP="00695AE2">
      <w:pPr>
        <w:spacing w:line="240" w:lineRule="auto"/>
        <w:ind w:left="709" w:hanging="709"/>
        <w:jc w:val="both"/>
        <w:rPr>
          <w:rFonts w:eastAsia="Calibri"/>
        </w:rPr>
      </w:pPr>
      <w:r w:rsidRPr="00CB5050">
        <w:rPr>
          <w:rFonts w:eastAsia="Calibri"/>
        </w:rPr>
        <w:t>Nove zadeve so vsebinsko predstavljene v podpoglavju 2.8.1.</w:t>
      </w:r>
    </w:p>
    <w:p w14:paraId="19C1EDE2" w14:textId="77777777" w:rsidR="00695AE2" w:rsidRPr="00CB5050" w:rsidRDefault="00695AE2" w:rsidP="00695AE2">
      <w:pPr>
        <w:spacing w:line="240" w:lineRule="auto"/>
        <w:ind w:left="709" w:hanging="709"/>
        <w:jc w:val="both"/>
        <w:rPr>
          <w:rFonts w:eastAsia="Calibri"/>
        </w:rPr>
      </w:pPr>
    </w:p>
    <w:p w14:paraId="3FCFC10E" w14:textId="77777777" w:rsidR="00695AE2" w:rsidRPr="00CB5050" w:rsidRDefault="00695AE2" w:rsidP="00695AE2">
      <w:pPr>
        <w:pStyle w:val="Naslov4"/>
      </w:pPr>
      <w:bookmarkStart w:id="1080" w:name="_Toc168845088"/>
      <w:bookmarkStart w:id="1081" w:name="_Toc191562087"/>
      <w:bookmarkStart w:id="1082" w:name="_Toc223094083"/>
      <w:r w:rsidRPr="00CB5050">
        <w:t>Zaključene zadeve</w:t>
      </w:r>
      <w:bookmarkEnd w:id="1080"/>
      <w:bookmarkEnd w:id="1081"/>
      <w:bookmarkEnd w:id="1082"/>
    </w:p>
    <w:p w14:paraId="202E1AA4" w14:textId="77777777" w:rsidR="00695AE2" w:rsidRPr="00CB5050" w:rsidRDefault="00695AE2" w:rsidP="00695AE2">
      <w:pPr>
        <w:spacing w:line="240" w:lineRule="auto"/>
        <w:jc w:val="both"/>
        <w:rPr>
          <w:rFonts w:eastAsia="Calibri"/>
        </w:rPr>
      </w:pPr>
    </w:p>
    <w:p w14:paraId="23C0D647" w14:textId="77777777" w:rsidR="00695AE2" w:rsidRPr="00CB5050" w:rsidRDefault="00695AE2" w:rsidP="00695AE2">
      <w:pPr>
        <w:spacing w:line="240" w:lineRule="auto"/>
        <w:jc w:val="both"/>
        <w:rPr>
          <w:rFonts w:eastAsia="Calibri"/>
        </w:rPr>
      </w:pPr>
      <w:r w:rsidRPr="00CB5050">
        <w:rPr>
          <w:rFonts w:eastAsia="Calibri"/>
        </w:rPr>
        <w:t>V letu 2025 je bilo formalno zaključenih 17 zadev (spisov), v katerih so bile v 16 spisih obravnavane pritožbene zadeve, vložene</w:t>
      </w:r>
      <w:r w:rsidRPr="00CB5050">
        <w:rPr>
          <w:rFonts w:eastAsia="Calibri"/>
          <w:color w:val="FF0000"/>
        </w:rPr>
        <w:t xml:space="preserve"> </w:t>
      </w:r>
      <w:r w:rsidRPr="00CB5050">
        <w:rPr>
          <w:rFonts w:eastAsia="Calibri"/>
        </w:rPr>
        <w:t>proti Sloveniji, v eni, v kateri je bila tožena druga pogodbenica, pa je Slovenija vložila intervencijo. Od 17 zaključenih zadev je ESČP v letu 2025 odločilo v 9 zadevah</w:t>
      </w:r>
      <w:r w:rsidRPr="00CB5050">
        <w:rPr>
          <w:rFonts w:eastAsia="Calibri"/>
          <w:vertAlign w:val="superscript"/>
        </w:rPr>
        <w:footnoteReference w:id="34"/>
      </w:r>
      <w:r w:rsidRPr="00CB5050">
        <w:rPr>
          <w:rFonts w:eastAsia="Calibri"/>
        </w:rPr>
        <w:t>, v ostalih pa je odločbo izdalo že prej, a so bili spisi zaradi potrebnih opravil formalno zaključeni šele v letu 2025.</w:t>
      </w:r>
    </w:p>
    <w:p w14:paraId="37E92D52" w14:textId="77777777" w:rsidR="00695AE2" w:rsidRPr="00CB5050" w:rsidRDefault="00695AE2" w:rsidP="00695AE2">
      <w:pPr>
        <w:spacing w:line="240" w:lineRule="auto"/>
        <w:jc w:val="both"/>
        <w:rPr>
          <w:rFonts w:eastAsia="Calibri"/>
        </w:rPr>
      </w:pPr>
    </w:p>
    <w:p w14:paraId="077C803A" w14:textId="77777777" w:rsidR="00695AE2" w:rsidRPr="00CB5050" w:rsidRDefault="00695AE2" w:rsidP="00695AE2">
      <w:pPr>
        <w:spacing w:line="240" w:lineRule="auto"/>
        <w:jc w:val="both"/>
        <w:rPr>
          <w:rFonts w:eastAsia="Calibri"/>
        </w:rPr>
      </w:pPr>
      <w:r w:rsidRPr="00CB5050">
        <w:rPr>
          <w:rFonts w:eastAsia="Calibri"/>
        </w:rPr>
        <w:t>9 pritožbenih zadev proti Sloveniji, v katerih je ESČP vsebinsko odločilo v 2025, je bilo zaključenih na naslednji način:</w:t>
      </w:r>
    </w:p>
    <w:p w14:paraId="4E4FF7F4" w14:textId="77777777" w:rsidR="00695AE2" w:rsidRPr="00CB5050" w:rsidRDefault="00695AE2" w:rsidP="00695AE2">
      <w:pPr>
        <w:numPr>
          <w:ilvl w:val="0"/>
          <w:numId w:val="128"/>
        </w:numPr>
        <w:spacing w:after="160" w:line="240" w:lineRule="auto"/>
        <w:contextualSpacing/>
        <w:jc w:val="both"/>
        <w:rPr>
          <w:rFonts w:eastAsia="Calibri"/>
        </w:rPr>
      </w:pPr>
      <w:r w:rsidRPr="00CB5050">
        <w:rPr>
          <w:rFonts w:eastAsia="Calibri"/>
        </w:rPr>
        <w:t>1 zadeva je bila zaključena s sodbo z ugotovljeno kršitvijo pravic iz konvencije (</w:t>
      </w:r>
      <w:r w:rsidRPr="00CB5050">
        <w:rPr>
          <w:rFonts w:eastAsia="Calibri"/>
          <w:i/>
        </w:rPr>
        <w:t>Gorše proti Sloveniji</w:t>
      </w:r>
      <w:r w:rsidRPr="00CB5050">
        <w:rPr>
          <w:rFonts w:eastAsia="Calibri"/>
        </w:rPr>
        <w:t xml:space="preserve">, št. </w:t>
      </w:r>
      <w:r w:rsidRPr="00CB5050">
        <w:rPr>
          <w:rFonts w:eastAsia="Calibri"/>
          <w:shd w:val="clear" w:color="auto" w:fill="FFFFFF"/>
        </w:rPr>
        <w:t>47186/21</w:t>
      </w:r>
      <w:r w:rsidRPr="00CB5050">
        <w:rPr>
          <w:rFonts w:eastAsia="Calibri"/>
          <w:iCs/>
        </w:rPr>
        <w:t>)</w:t>
      </w:r>
      <w:r w:rsidRPr="00CB5050">
        <w:rPr>
          <w:rFonts w:eastAsia="Calibri"/>
        </w:rPr>
        <w:t>;</w:t>
      </w:r>
    </w:p>
    <w:p w14:paraId="6CE81F09" w14:textId="77777777" w:rsidR="00695AE2" w:rsidRPr="00CB5050" w:rsidRDefault="00695AE2" w:rsidP="00695AE2">
      <w:pPr>
        <w:numPr>
          <w:ilvl w:val="0"/>
          <w:numId w:val="128"/>
        </w:numPr>
        <w:spacing w:after="160" w:line="240" w:lineRule="auto"/>
        <w:contextualSpacing/>
        <w:jc w:val="both"/>
        <w:rPr>
          <w:rFonts w:eastAsia="Calibri"/>
        </w:rPr>
      </w:pPr>
      <w:r w:rsidRPr="00CB5050">
        <w:rPr>
          <w:rFonts w:eastAsia="Calibri"/>
        </w:rPr>
        <w:t>5 zadev je bilo zaključenih s sklepom o nesprejemljivosti zaradi očitne neutemeljenosti pritožbe (</w:t>
      </w:r>
      <w:r w:rsidRPr="00CB5050">
        <w:rPr>
          <w:rFonts w:eastAsia="Calibri"/>
          <w:i/>
          <w:iCs/>
        </w:rPr>
        <w:t>SIP NEPREMIČNINE d. o. o. proti Sloveniji</w:t>
      </w:r>
      <w:r w:rsidRPr="00CB5050">
        <w:rPr>
          <w:rFonts w:eastAsia="Calibri"/>
        </w:rPr>
        <w:t xml:space="preserve">, št. </w:t>
      </w:r>
      <w:r w:rsidRPr="00CB5050">
        <w:rPr>
          <w:rFonts w:eastAsia="Times New Roman"/>
          <w:szCs w:val="20"/>
          <w:lang w:eastAsia="sl-SI"/>
        </w:rPr>
        <w:t xml:space="preserve">26267/22, </w:t>
      </w:r>
      <w:r w:rsidRPr="00CB5050">
        <w:rPr>
          <w:rFonts w:eastAsia="Times New Roman"/>
          <w:i/>
          <w:iCs/>
          <w:szCs w:val="20"/>
          <w:lang w:eastAsia="sl-SI"/>
        </w:rPr>
        <w:t>Janković proti Sloveniji</w:t>
      </w:r>
      <w:r w:rsidRPr="00CB5050">
        <w:rPr>
          <w:rFonts w:eastAsia="Times New Roman"/>
          <w:szCs w:val="20"/>
          <w:lang w:eastAsia="sl-SI"/>
        </w:rPr>
        <w:t xml:space="preserve">, št. 15118/22, </w:t>
      </w:r>
      <w:r w:rsidRPr="00CB5050">
        <w:rPr>
          <w:rFonts w:eastAsia="Times New Roman"/>
          <w:i/>
          <w:iCs/>
          <w:szCs w:val="20"/>
          <w:lang w:eastAsia="sl-SI"/>
        </w:rPr>
        <w:t xml:space="preserve">D. J. proti Sloveniji, </w:t>
      </w:r>
      <w:r w:rsidRPr="00CB5050">
        <w:rPr>
          <w:rFonts w:eastAsia="Times New Roman"/>
          <w:szCs w:val="20"/>
          <w:lang w:eastAsia="sl-SI"/>
        </w:rPr>
        <w:t xml:space="preserve">št. 29265/22, </w:t>
      </w:r>
      <w:r w:rsidRPr="00CB5050">
        <w:rPr>
          <w:rFonts w:eastAsia="Times New Roman"/>
          <w:i/>
          <w:iCs/>
          <w:szCs w:val="20"/>
          <w:lang w:eastAsia="sl-SI"/>
        </w:rPr>
        <w:t xml:space="preserve">P. R. proti Sloveniji, </w:t>
      </w:r>
      <w:r w:rsidRPr="00CB5050">
        <w:rPr>
          <w:rFonts w:eastAsia="Times New Roman"/>
          <w:szCs w:val="20"/>
          <w:lang w:eastAsia="sl-SI"/>
        </w:rPr>
        <w:t xml:space="preserve">št. 11101/21 </w:t>
      </w:r>
      <w:r w:rsidRPr="00CB5050">
        <w:rPr>
          <w:rFonts w:eastAsia="Calibri"/>
          <w:shd w:val="clear" w:color="auto" w:fill="FFFFFF"/>
        </w:rPr>
        <w:t xml:space="preserve">in </w:t>
      </w:r>
      <w:r w:rsidRPr="00CB5050">
        <w:rPr>
          <w:rFonts w:eastAsia="Calibri"/>
          <w:i/>
          <w:iCs/>
          <w:shd w:val="clear" w:color="auto" w:fill="FFFFFF"/>
        </w:rPr>
        <w:t>Piro Planet d. o. o. proti Sloveniji</w:t>
      </w:r>
      <w:r w:rsidRPr="00CB5050">
        <w:rPr>
          <w:rFonts w:eastAsia="Calibri"/>
          <w:shd w:val="clear" w:color="auto" w:fill="FFFFFF"/>
        </w:rPr>
        <w:t xml:space="preserve">, št. </w:t>
      </w:r>
      <w:r w:rsidRPr="00CB5050">
        <w:rPr>
          <w:rFonts w:eastAsia="Times New Roman"/>
          <w:szCs w:val="20"/>
          <w:lang w:eastAsia="sl-SI"/>
        </w:rPr>
        <w:t>34568/22</w:t>
      </w:r>
      <w:r w:rsidRPr="00CB5050">
        <w:rPr>
          <w:rFonts w:eastAsia="Calibri"/>
          <w:shd w:val="clear" w:color="auto" w:fill="FFFFFF"/>
        </w:rPr>
        <w:t>);</w:t>
      </w:r>
    </w:p>
    <w:p w14:paraId="1FFB7C7B" w14:textId="77777777" w:rsidR="00695AE2" w:rsidRPr="00CB5050" w:rsidRDefault="00695AE2" w:rsidP="00695AE2">
      <w:pPr>
        <w:numPr>
          <w:ilvl w:val="0"/>
          <w:numId w:val="128"/>
        </w:numPr>
        <w:spacing w:after="160" w:line="240" w:lineRule="auto"/>
        <w:contextualSpacing/>
        <w:jc w:val="both"/>
        <w:rPr>
          <w:rFonts w:eastAsia="Calibri"/>
        </w:rPr>
      </w:pPr>
      <w:r w:rsidRPr="00CB5050">
        <w:rPr>
          <w:rFonts w:eastAsia="Calibri"/>
        </w:rPr>
        <w:t>2 zadevi sta bili po sklenjeni prijateljski poravnavi ali podani enostranski izjavi izbrisani s seznama zadev (</w:t>
      </w:r>
      <w:r w:rsidRPr="00CB5050">
        <w:rPr>
          <w:rFonts w:eastAsia="Calibri"/>
          <w:i/>
          <w:iCs/>
        </w:rPr>
        <w:t xml:space="preserve">Koella proti Sloveniji, </w:t>
      </w:r>
      <w:r w:rsidRPr="00CB5050">
        <w:rPr>
          <w:rFonts w:eastAsia="Calibri"/>
        </w:rPr>
        <w:t xml:space="preserve">št. </w:t>
      </w:r>
      <w:r w:rsidRPr="00CB5050">
        <w:rPr>
          <w:rFonts w:eastAsia="Times New Roman"/>
          <w:szCs w:val="20"/>
          <w:lang w:eastAsia="sl-SI"/>
        </w:rPr>
        <w:t xml:space="preserve">12482/24 in </w:t>
      </w:r>
      <w:r w:rsidRPr="00CB5050">
        <w:rPr>
          <w:rFonts w:eastAsia="Times New Roman"/>
          <w:i/>
          <w:iCs/>
          <w:szCs w:val="20"/>
          <w:lang w:eastAsia="sl-SI"/>
        </w:rPr>
        <w:t>Božičnik proti Sloveniji</w:t>
      </w:r>
      <w:r w:rsidRPr="00CB5050">
        <w:rPr>
          <w:rFonts w:eastAsia="Times New Roman"/>
          <w:szCs w:val="20"/>
          <w:lang w:eastAsia="sl-SI"/>
        </w:rPr>
        <w:t>, št. 1703/23</w:t>
      </w:r>
      <w:r w:rsidRPr="00CB5050">
        <w:rPr>
          <w:rFonts w:eastAsia="Calibri"/>
        </w:rPr>
        <w:t>), ter</w:t>
      </w:r>
    </w:p>
    <w:p w14:paraId="0DE336DB" w14:textId="77777777" w:rsidR="00695AE2" w:rsidRPr="00CB5050" w:rsidRDefault="00695AE2" w:rsidP="00695AE2">
      <w:pPr>
        <w:numPr>
          <w:ilvl w:val="0"/>
          <w:numId w:val="128"/>
        </w:numPr>
        <w:spacing w:after="160" w:line="240" w:lineRule="auto"/>
        <w:contextualSpacing/>
        <w:jc w:val="both"/>
        <w:rPr>
          <w:rFonts w:eastAsia="Calibri"/>
        </w:rPr>
      </w:pPr>
      <w:r w:rsidRPr="00CB5050">
        <w:rPr>
          <w:rFonts w:eastAsia="Calibri"/>
        </w:rPr>
        <w:t>1 zadeva je bila razglašena za nesprejemljivo zaradi neizčrpanja domačih pravnih sredstev (</w:t>
      </w:r>
      <w:r w:rsidRPr="00CB5050">
        <w:rPr>
          <w:rFonts w:eastAsia="Calibri"/>
          <w:i/>
          <w:iCs/>
        </w:rPr>
        <w:t xml:space="preserve">Kotnik in Jukič, </w:t>
      </w:r>
      <w:r w:rsidRPr="00CB5050">
        <w:rPr>
          <w:rFonts w:eastAsia="Calibri"/>
        </w:rPr>
        <w:t xml:space="preserve">št. </w:t>
      </w:r>
      <w:r w:rsidRPr="00CB5050">
        <w:rPr>
          <w:rFonts w:eastAsia="Times New Roman"/>
          <w:szCs w:val="20"/>
          <w:lang w:eastAsia="sl-SI"/>
        </w:rPr>
        <w:t>56605/19 in 25424/23).</w:t>
      </w:r>
    </w:p>
    <w:p w14:paraId="60BC1D90" w14:textId="77777777" w:rsidR="00695AE2" w:rsidRPr="00CB5050" w:rsidRDefault="00695AE2" w:rsidP="00695AE2">
      <w:pPr>
        <w:suppressAutoHyphens/>
        <w:spacing w:line="240" w:lineRule="auto"/>
        <w:jc w:val="both"/>
        <w:rPr>
          <w:rFonts w:eastAsia="Times New Roman"/>
          <w:szCs w:val="20"/>
          <w:lang w:eastAsia="sl-SI"/>
        </w:rPr>
      </w:pPr>
    </w:p>
    <w:p w14:paraId="2BC70B62" w14:textId="77777777" w:rsidR="00695AE2" w:rsidRPr="00CB5050" w:rsidRDefault="00695AE2" w:rsidP="00695AE2">
      <w:pPr>
        <w:spacing w:line="240" w:lineRule="auto"/>
        <w:jc w:val="both"/>
        <w:rPr>
          <w:rFonts w:eastAsia="Calibri"/>
        </w:rPr>
      </w:pPr>
      <w:r w:rsidRPr="00CB5050">
        <w:rPr>
          <w:rFonts w:eastAsia="Calibri"/>
        </w:rPr>
        <w:t xml:space="preserve">V preteklem letu je ESČP odločilo tudi v meddržavni zadevi </w:t>
      </w:r>
      <w:r w:rsidRPr="00CB5050">
        <w:rPr>
          <w:rFonts w:eastAsia="Calibri"/>
          <w:i/>
          <w:iCs/>
        </w:rPr>
        <w:t>Ukrajina proti Ruski federaciji</w:t>
      </w:r>
      <w:r w:rsidRPr="00CB5050">
        <w:rPr>
          <w:rFonts w:eastAsia="Calibri"/>
        </w:rPr>
        <w:t>, št. 11055/22, v kateri je Slovenija priglasila intervencijo. Ker o pritožbi še ni v celoti odločeno, spis formalno še ni zaključen; vsebinska odločitev je predstavljena v nadaljevanju.</w:t>
      </w:r>
    </w:p>
    <w:p w14:paraId="0E0C81ED" w14:textId="77777777" w:rsidR="00695AE2" w:rsidRPr="00CB5050" w:rsidRDefault="00695AE2" w:rsidP="00695AE2">
      <w:pPr>
        <w:suppressAutoHyphens/>
        <w:spacing w:line="240" w:lineRule="auto"/>
        <w:jc w:val="both"/>
        <w:rPr>
          <w:rFonts w:eastAsia="Times New Roman"/>
          <w:szCs w:val="20"/>
          <w:lang w:eastAsia="sl-SI"/>
        </w:rPr>
      </w:pPr>
    </w:p>
    <w:p w14:paraId="10E113FA" w14:textId="77777777" w:rsidR="00695AE2" w:rsidRPr="00CB5050" w:rsidRDefault="00695AE2" w:rsidP="00695AE2">
      <w:pPr>
        <w:suppressAutoHyphens/>
        <w:spacing w:line="240" w:lineRule="auto"/>
        <w:jc w:val="both"/>
        <w:rPr>
          <w:rFonts w:eastAsia="Times New Roman"/>
          <w:szCs w:val="20"/>
          <w:lang w:eastAsia="sl-SI"/>
        </w:rPr>
      </w:pPr>
      <w:r w:rsidRPr="00CB5050">
        <w:rPr>
          <w:rFonts w:eastAsia="Times New Roman"/>
          <w:szCs w:val="20"/>
          <w:lang w:eastAsia="sl-SI"/>
        </w:rPr>
        <w:t>Zaključene zadeve so vsebinsko predstavljene v podpoglavju 2.8.2.</w:t>
      </w:r>
    </w:p>
    <w:p w14:paraId="25C81E1C" w14:textId="77777777" w:rsidR="00695AE2" w:rsidRPr="00CB5050" w:rsidRDefault="00695AE2" w:rsidP="00695AE2">
      <w:pPr>
        <w:spacing w:line="240" w:lineRule="auto"/>
        <w:jc w:val="both"/>
        <w:rPr>
          <w:rFonts w:eastAsia="Calibri"/>
        </w:rPr>
      </w:pPr>
    </w:p>
    <w:p w14:paraId="0937EC2C" w14:textId="77777777" w:rsidR="00695AE2" w:rsidRPr="00CB5050" w:rsidRDefault="00695AE2" w:rsidP="00695AE2">
      <w:pPr>
        <w:pStyle w:val="Naslov4"/>
      </w:pPr>
      <w:bookmarkStart w:id="1083" w:name="_Toc168845089"/>
      <w:bookmarkStart w:id="1084" w:name="_Toc191562088"/>
      <w:bookmarkStart w:id="1085" w:name="_Toc223094084"/>
      <w:r w:rsidRPr="00CB5050">
        <w:t>Odprte zadeve</w:t>
      </w:r>
      <w:bookmarkEnd w:id="1083"/>
      <w:bookmarkEnd w:id="1084"/>
      <w:bookmarkEnd w:id="1085"/>
    </w:p>
    <w:p w14:paraId="416BF8D9" w14:textId="77777777" w:rsidR="00695AE2" w:rsidRPr="00CB5050" w:rsidRDefault="00695AE2" w:rsidP="00695AE2">
      <w:pPr>
        <w:spacing w:line="240" w:lineRule="auto"/>
        <w:jc w:val="both"/>
        <w:rPr>
          <w:rFonts w:eastAsia="Calibri"/>
        </w:rPr>
      </w:pPr>
    </w:p>
    <w:p w14:paraId="663684C1" w14:textId="77777777" w:rsidR="00695AE2" w:rsidRPr="00CB5050" w:rsidRDefault="00695AE2" w:rsidP="00695AE2">
      <w:pPr>
        <w:spacing w:line="240" w:lineRule="auto"/>
        <w:jc w:val="both"/>
        <w:rPr>
          <w:rFonts w:eastAsia="Calibri"/>
        </w:rPr>
      </w:pPr>
      <w:r w:rsidRPr="00CB5050">
        <w:rPr>
          <w:rFonts w:eastAsia="Calibri"/>
        </w:rPr>
        <w:t>Na presečni dan 31. december 2025 je bilo v ESČP vpisniku odprtih 39 zadev, in sicer:</w:t>
      </w:r>
    </w:p>
    <w:p w14:paraId="548FDDD8" w14:textId="77777777" w:rsidR="00695AE2" w:rsidRPr="00CB5050" w:rsidRDefault="00695AE2" w:rsidP="00695AE2">
      <w:pPr>
        <w:numPr>
          <w:ilvl w:val="0"/>
          <w:numId w:val="129"/>
        </w:numPr>
        <w:spacing w:after="160" w:line="240" w:lineRule="auto"/>
        <w:contextualSpacing/>
        <w:jc w:val="both"/>
        <w:rPr>
          <w:rFonts w:eastAsia="Calibri"/>
        </w:rPr>
      </w:pPr>
      <w:r w:rsidRPr="00CB5050">
        <w:rPr>
          <w:rFonts w:eastAsia="Calibri"/>
        </w:rPr>
        <w:t>33 pritožbenih zadev proti Sloveniji;</w:t>
      </w:r>
    </w:p>
    <w:p w14:paraId="2E3E795E" w14:textId="77777777" w:rsidR="00695AE2" w:rsidRPr="00CB5050" w:rsidRDefault="00695AE2" w:rsidP="00695AE2">
      <w:pPr>
        <w:numPr>
          <w:ilvl w:val="0"/>
          <w:numId w:val="129"/>
        </w:numPr>
        <w:spacing w:after="160" w:line="240" w:lineRule="auto"/>
        <w:contextualSpacing/>
        <w:jc w:val="both"/>
        <w:rPr>
          <w:rFonts w:eastAsia="Calibri"/>
        </w:rPr>
      </w:pPr>
      <w:r w:rsidRPr="00CB5050">
        <w:rPr>
          <w:rFonts w:eastAsia="Calibri"/>
        </w:rPr>
        <w:t>1 pritožbena zadeva proti drugi Visoki pogodbenici konvencije, v kateri je Slovenija priglasila intervencijo;</w:t>
      </w:r>
    </w:p>
    <w:p w14:paraId="2DC2D315" w14:textId="77777777" w:rsidR="00695AE2" w:rsidRPr="00CB5050" w:rsidRDefault="00695AE2" w:rsidP="00695AE2">
      <w:pPr>
        <w:numPr>
          <w:ilvl w:val="0"/>
          <w:numId w:val="129"/>
        </w:numPr>
        <w:spacing w:after="160" w:line="240" w:lineRule="auto"/>
        <w:contextualSpacing/>
        <w:jc w:val="both"/>
        <w:rPr>
          <w:rFonts w:eastAsia="Calibri"/>
        </w:rPr>
      </w:pPr>
      <w:r w:rsidRPr="00CB5050">
        <w:rPr>
          <w:rFonts w:eastAsia="Calibri"/>
        </w:rPr>
        <w:t>1 pritožbena zadeva v meddržavnem postopku, v katerem je Slovenija priglasila intervencijo;</w:t>
      </w:r>
    </w:p>
    <w:p w14:paraId="26288E7E" w14:textId="77777777" w:rsidR="00695AE2" w:rsidRPr="00CB5050" w:rsidRDefault="00695AE2" w:rsidP="00695AE2">
      <w:pPr>
        <w:numPr>
          <w:ilvl w:val="0"/>
          <w:numId w:val="129"/>
        </w:numPr>
        <w:spacing w:after="160" w:line="240" w:lineRule="auto"/>
        <w:contextualSpacing/>
        <w:jc w:val="both"/>
        <w:rPr>
          <w:rFonts w:eastAsia="Calibri"/>
        </w:rPr>
      </w:pPr>
      <w:r w:rsidRPr="00CB5050">
        <w:rPr>
          <w:rFonts w:eastAsia="Calibri"/>
        </w:rPr>
        <w:t>1 zadeva v zvezi z izvršitvijo sodbe ESČP in</w:t>
      </w:r>
    </w:p>
    <w:p w14:paraId="7CEF44A5" w14:textId="77777777" w:rsidR="00695AE2" w:rsidRPr="00CB5050" w:rsidRDefault="00695AE2" w:rsidP="00695AE2">
      <w:pPr>
        <w:numPr>
          <w:ilvl w:val="0"/>
          <w:numId w:val="129"/>
        </w:numPr>
        <w:spacing w:after="160" w:line="240" w:lineRule="auto"/>
        <w:contextualSpacing/>
        <w:jc w:val="both"/>
        <w:rPr>
          <w:rFonts w:eastAsia="Calibri"/>
        </w:rPr>
      </w:pPr>
      <w:r w:rsidRPr="00CB5050">
        <w:rPr>
          <w:rFonts w:eastAsia="Calibri"/>
        </w:rPr>
        <w:t xml:space="preserve">3 zadeve iz drugega naslova. </w:t>
      </w:r>
    </w:p>
    <w:p w14:paraId="02297C16" w14:textId="77777777" w:rsidR="00695AE2" w:rsidRPr="00CB5050" w:rsidRDefault="00695AE2" w:rsidP="00695AE2">
      <w:pPr>
        <w:spacing w:line="240" w:lineRule="auto"/>
        <w:ind w:left="720"/>
        <w:contextualSpacing/>
        <w:jc w:val="both"/>
        <w:rPr>
          <w:rFonts w:eastAsia="Calibri"/>
        </w:rPr>
      </w:pPr>
    </w:p>
    <w:p w14:paraId="0C89FB23" w14:textId="77777777" w:rsidR="00695AE2" w:rsidRPr="00CB5050" w:rsidRDefault="00695AE2" w:rsidP="00695AE2">
      <w:pPr>
        <w:pStyle w:val="Naslov5"/>
        <w:ind w:left="0" w:firstLine="0"/>
      </w:pPr>
      <w:bookmarkStart w:id="1086" w:name="_Toc168845090"/>
      <w:bookmarkStart w:id="1087" w:name="_Toc191562089"/>
      <w:bookmarkStart w:id="1088" w:name="_Toc223094085"/>
      <w:r w:rsidRPr="00CB5050">
        <w:t>Pritožbene zadeve (navedena je le zatrjevana kršitev, ki se v vpisniku vodi kot glavni temelj zadeve)</w:t>
      </w:r>
      <w:bookmarkEnd w:id="1086"/>
      <w:bookmarkEnd w:id="1087"/>
      <w:bookmarkEnd w:id="1088"/>
    </w:p>
    <w:p w14:paraId="24742877" w14:textId="77777777" w:rsidR="00695AE2" w:rsidRPr="00CB5050" w:rsidRDefault="00695AE2" w:rsidP="00695AE2">
      <w:pPr>
        <w:spacing w:line="240" w:lineRule="auto"/>
        <w:rPr>
          <w:rFonts w:eastAsia="Calibri"/>
          <w:szCs w:val="22"/>
        </w:rPr>
      </w:pPr>
    </w:p>
    <w:p w14:paraId="174110ED" w14:textId="77777777" w:rsidR="00695AE2" w:rsidRPr="00CB5050" w:rsidRDefault="00695AE2" w:rsidP="00695AE2">
      <w:pPr>
        <w:numPr>
          <w:ilvl w:val="0"/>
          <w:numId w:val="131"/>
        </w:numPr>
        <w:spacing w:after="160" w:line="240" w:lineRule="auto"/>
        <w:ind w:left="714" w:hanging="357"/>
        <w:contextualSpacing/>
        <w:jc w:val="both"/>
        <w:rPr>
          <w:rFonts w:eastAsia="Calibri"/>
        </w:rPr>
      </w:pPr>
      <w:r w:rsidRPr="00CB5050">
        <w:rPr>
          <w:rFonts w:eastAsia="Calibri"/>
        </w:rPr>
        <w:t>1 zadeva iz naslova kršitve pravice do življenja iz 2. člena konvencije (</w:t>
      </w:r>
      <w:r w:rsidRPr="00CB5050">
        <w:rPr>
          <w:rFonts w:eastAsia="Calibri"/>
          <w:bCs/>
          <w:i/>
          <w:iCs/>
        </w:rPr>
        <w:t>Giuliatti Bajželj proti Sloveniji</w:t>
      </w:r>
      <w:r w:rsidRPr="00CB5050">
        <w:rPr>
          <w:rFonts w:eastAsia="Calibri"/>
          <w:bCs/>
        </w:rPr>
        <w:t>, št. 3316/25</w:t>
      </w:r>
      <w:r w:rsidRPr="00CB5050">
        <w:rPr>
          <w:rFonts w:eastAsia="Calibri"/>
        </w:rPr>
        <w:t>);</w:t>
      </w:r>
    </w:p>
    <w:p w14:paraId="36330510" w14:textId="77777777" w:rsidR="00695AE2" w:rsidRPr="00CB5050" w:rsidRDefault="00695AE2" w:rsidP="00695AE2">
      <w:pPr>
        <w:numPr>
          <w:ilvl w:val="0"/>
          <w:numId w:val="131"/>
        </w:numPr>
        <w:spacing w:after="160" w:line="240" w:lineRule="auto"/>
        <w:ind w:left="714" w:hanging="357"/>
        <w:contextualSpacing/>
        <w:jc w:val="both"/>
        <w:rPr>
          <w:rFonts w:eastAsia="Calibri"/>
        </w:rPr>
      </w:pPr>
      <w:r w:rsidRPr="00CB5050">
        <w:rPr>
          <w:rFonts w:eastAsia="Calibri"/>
        </w:rPr>
        <w:t xml:space="preserve">1 zadeva iz naslova kršitve </w:t>
      </w:r>
      <w:r w:rsidRPr="00CB5050">
        <w:rPr>
          <w:rFonts w:eastAsia="Calibri"/>
          <w:bCs/>
        </w:rPr>
        <w:t>pravice do svobode in varnosti iz 5. člena (</w:t>
      </w:r>
      <w:r w:rsidRPr="00CB5050">
        <w:rPr>
          <w:rFonts w:eastAsia="Calibri"/>
          <w:bCs/>
          <w:i/>
          <w:iCs/>
        </w:rPr>
        <w:t>Planinc proti Sloveniji</w:t>
      </w:r>
      <w:r w:rsidRPr="00CB5050">
        <w:rPr>
          <w:rFonts w:eastAsia="Calibri"/>
          <w:bCs/>
        </w:rPr>
        <w:t>, št. 11982/24);</w:t>
      </w:r>
    </w:p>
    <w:p w14:paraId="5E561868" w14:textId="77777777" w:rsidR="00695AE2" w:rsidRPr="00CB5050" w:rsidRDefault="00695AE2" w:rsidP="00695AE2">
      <w:pPr>
        <w:numPr>
          <w:ilvl w:val="0"/>
          <w:numId w:val="131"/>
        </w:numPr>
        <w:spacing w:after="160" w:line="240" w:lineRule="auto"/>
        <w:ind w:left="714" w:hanging="357"/>
        <w:contextualSpacing/>
        <w:jc w:val="both"/>
        <w:rPr>
          <w:rFonts w:eastAsia="Calibri"/>
        </w:rPr>
      </w:pPr>
      <w:r w:rsidRPr="00CB5050">
        <w:rPr>
          <w:rFonts w:eastAsia="Calibri"/>
        </w:rPr>
        <w:t>10 zadev iz naslova kršitve pravice do poštenega sojenja iz 6. člena konvencije (</w:t>
      </w:r>
      <w:r w:rsidRPr="00CB5050">
        <w:rPr>
          <w:rFonts w:eastAsia="Calibri"/>
          <w:i/>
          <w:iCs/>
        </w:rPr>
        <w:t>Dolenc proti Sloveniji</w:t>
      </w:r>
      <w:r w:rsidRPr="00CB5050">
        <w:rPr>
          <w:rFonts w:eastAsia="Calibri"/>
        </w:rPr>
        <w:t xml:space="preserve">, št. 20256/20; </w:t>
      </w:r>
      <w:r w:rsidRPr="00CB5050">
        <w:rPr>
          <w:rFonts w:eastAsia="Calibri"/>
          <w:i/>
          <w:iCs/>
        </w:rPr>
        <w:t>Pušnik proti Sloveniji</w:t>
      </w:r>
      <w:r w:rsidRPr="00CB5050">
        <w:rPr>
          <w:rFonts w:eastAsia="Calibri"/>
        </w:rPr>
        <w:t xml:space="preserve">, št. 41541/22; </w:t>
      </w:r>
      <w:r w:rsidRPr="00CB5050">
        <w:rPr>
          <w:rFonts w:eastAsia="Calibri"/>
          <w:i/>
          <w:iCs/>
        </w:rPr>
        <w:t>Beganović proti Sloveniji</w:t>
      </w:r>
      <w:r w:rsidRPr="00CB5050">
        <w:rPr>
          <w:rFonts w:eastAsia="Calibri"/>
        </w:rPr>
        <w:t xml:space="preserve">, št. 449/23; </w:t>
      </w:r>
      <w:r w:rsidRPr="00CB5050">
        <w:rPr>
          <w:rFonts w:eastAsia="Calibri"/>
          <w:i/>
          <w:iCs/>
        </w:rPr>
        <w:t>Makovac in Latin proti Sloveniji</w:t>
      </w:r>
      <w:r w:rsidRPr="00CB5050">
        <w:rPr>
          <w:rFonts w:eastAsia="Calibri"/>
        </w:rPr>
        <w:t xml:space="preserve">, št. 15525/23 in 15532/23; </w:t>
      </w:r>
      <w:r w:rsidRPr="00CB5050">
        <w:rPr>
          <w:rFonts w:eastAsia="Calibri"/>
          <w:i/>
          <w:iCs/>
        </w:rPr>
        <w:t>Koella proti Sloveniji</w:t>
      </w:r>
      <w:r w:rsidRPr="00CB5050">
        <w:rPr>
          <w:rFonts w:eastAsia="Calibri"/>
        </w:rPr>
        <w:t xml:space="preserve">, št. 12482/24; </w:t>
      </w:r>
      <w:r w:rsidRPr="00CB5050">
        <w:rPr>
          <w:rFonts w:eastAsia="Calibri"/>
          <w:i/>
          <w:iCs/>
        </w:rPr>
        <w:t>Oven in Rdeče nebo d. o. o. proti Sloveniji</w:t>
      </w:r>
      <w:r w:rsidRPr="00CB5050">
        <w:rPr>
          <w:rFonts w:eastAsia="Calibri"/>
        </w:rPr>
        <w:t xml:space="preserve">, št. 30528/24; </w:t>
      </w:r>
      <w:r w:rsidRPr="00CB5050">
        <w:rPr>
          <w:rFonts w:eastAsia="Calibri"/>
          <w:i/>
          <w:iCs/>
        </w:rPr>
        <w:t>Makro 5 gradnje d. o. o. proti Sloveniji</w:t>
      </w:r>
      <w:r w:rsidRPr="00CB5050">
        <w:rPr>
          <w:rFonts w:eastAsia="Calibri"/>
        </w:rPr>
        <w:t xml:space="preserve">, št. 27043/24; </w:t>
      </w:r>
      <w:r w:rsidRPr="00CB5050">
        <w:rPr>
          <w:rFonts w:eastAsia="Calibri"/>
          <w:i/>
          <w:iCs/>
        </w:rPr>
        <w:t>Piščanc in drugi proti Sloveniji</w:t>
      </w:r>
      <w:r w:rsidRPr="00CB5050">
        <w:rPr>
          <w:rFonts w:eastAsia="Calibri"/>
        </w:rPr>
        <w:t xml:space="preserve">, 16658/24; </w:t>
      </w:r>
      <w:r w:rsidRPr="00CB5050">
        <w:rPr>
          <w:rFonts w:eastAsia="Calibri"/>
          <w:i/>
          <w:iCs/>
        </w:rPr>
        <w:t>Eržen proti Sloveniji</w:t>
      </w:r>
      <w:r w:rsidRPr="00CB5050">
        <w:rPr>
          <w:rFonts w:eastAsia="Calibri"/>
        </w:rPr>
        <w:t xml:space="preserve">, št. 13205/25 in </w:t>
      </w:r>
      <w:r w:rsidRPr="00CB5050">
        <w:rPr>
          <w:rFonts w:eastAsia="Calibri"/>
          <w:i/>
          <w:iCs/>
        </w:rPr>
        <w:t>S. T. proti Sloveniji</w:t>
      </w:r>
      <w:r w:rsidRPr="00CB5050">
        <w:rPr>
          <w:rFonts w:eastAsia="Calibri"/>
        </w:rPr>
        <w:t>, 30205/25);</w:t>
      </w:r>
    </w:p>
    <w:p w14:paraId="27F32AFE" w14:textId="299388D6" w:rsidR="00695AE2" w:rsidRPr="00CB5050" w:rsidRDefault="00695AE2" w:rsidP="00695AE2">
      <w:pPr>
        <w:numPr>
          <w:ilvl w:val="0"/>
          <w:numId w:val="131"/>
        </w:numPr>
        <w:spacing w:after="160" w:line="240" w:lineRule="auto"/>
        <w:ind w:left="714" w:hanging="357"/>
        <w:contextualSpacing/>
        <w:jc w:val="both"/>
        <w:rPr>
          <w:rFonts w:eastAsia="Calibri"/>
        </w:rPr>
      </w:pPr>
      <w:r w:rsidRPr="00CB5050">
        <w:rPr>
          <w:rFonts w:eastAsia="Calibri"/>
        </w:rPr>
        <w:t>15 zadev iz naslova kršitve pravice do spoštovanja zasebnega in družinskega življenja iz 8. člena konvencije (</w:t>
      </w:r>
      <w:r w:rsidRPr="00CB5050">
        <w:rPr>
          <w:rFonts w:eastAsia="Calibri"/>
          <w:i/>
        </w:rPr>
        <w:t>Vincetič proti Sloveniji</w:t>
      </w:r>
      <w:r w:rsidRPr="00CB5050">
        <w:rPr>
          <w:rFonts w:eastAsia="Calibri"/>
          <w:iCs/>
        </w:rPr>
        <w:t xml:space="preserve">, št. 9533/23; </w:t>
      </w:r>
      <w:r w:rsidRPr="00CB5050">
        <w:rPr>
          <w:rFonts w:eastAsia="Calibri"/>
          <w:i/>
          <w:iCs/>
        </w:rPr>
        <w:t>Mihajlović proti Sloveniji</w:t>
      </w:r>
      <w:r w:rsidRPr="00CB5050">
        <w:rPr>
          <w:rFonts w:eastAsia="Calibri"/>
        </w:rPr>
        <w:t xml:space="preserve">, št. 17268/23; </w:t>
      </w:r>
      <w:r w:rsidR="000B4DD4">
        <w:rPr>
          <w:rFonts w:eastAsia="Calibri"/>
        </w:rPr>
        <w:t>x in y</w:t>
      </w:r>
      <w:r w:rsidRPr="00CB5050">
        <w:rPr>
          <w:rFonts w:eastAsia="Calibri"/>
          <w:i/>
          <w:iCs/>
        </w:rPr>
        <w:t xml:space="preserve"> proti Sloveniji</w:t>
      </w:r>
      <w:r w:rsidRPr="00CB5050">
        <w:rPr>
          <w:rFonts w:eastAsia="Calibri"/>
        </w:rPr>
        <w:t xml:space="preserve">, št. 5112/23; </w:t>
      </w:r>
      <w:r w:rsidRPr="00CB5050">
        <w:rPr>
          <w:rFonts w:eastAsia="Calibri"/>
          <w:bCs/>
          <w:i/>
        </w:rPr>
        <w:t>Vodopivc proti Sloveniji</w:t>
      </w:r>
      <w:r w:rsidRPr="00CB5050">
        <w:rPr>
          <w:rFonts w:eastAsia="Calibri"/>
          <w:bCs/>
        </w:rPr>
        <w:t xml:space="preserve">, št. 25369/22; </w:t>
      </w:r>
      <w:r w:rsidRPr="00CB5050">
        <w:rPr>
          <w:rFonts w:eastAsia="Calibri"/>
          <w:bCs/>
          <w:i/>
        </w:rPr>
        <w:t>Kolar proti Sloveniji,</w:t>
      </w:r>
      <w:r w:rsidRPr="00CB5050">
        <w:rPr>
          <w:rFonts w:eastAsia="Calibri"/>
          <w:bCs/>
        </w:rPr>
        <w:t xml:space="preserve"> št. 626/25; </w:t>
      </w:r>
      <w:r w:rsidRPr="00CB5050">
        <w:rPr>
          <w:rFonts w:eastAsia="Calibri"/>
          <w:bCs/>
          <w:i/>
          <w:iCs/>
        </w:rPr>
        <w:t>Ristić in drugi proti Sloveniji</w:t>
      </w:r>
      <w:r w:rsidRPr="00CB5050">
        <w:rPr>
          <w:rFonts w:eastAsia="Calibri"/>
          <w:bCs/>
        </w:rPr>
        <w:t xml:space="preserve">, št. 16807/24; </w:t>
      </w:r>
      <w:r w:rsidRPr="00CB5050">
        <w:rPr>
          <w:rFonts w:eastAsia="Calibri"/>
          <w:bCs/>
          <w:i/>
          <w:iCs/>
        </w:rPr>
        <w:t>Marijon proti Sloveniji</w:t>
      </w:r>
      <w:r w:rsidRPr="00CB5050">
        <w:rPr>
          <w:rFonts w:eastAsia="Calibri"/>
          <w:bCs/>
        </w:rPr>
        <w:t xml:space="preserve">, št. 729/24; </w:t>
      </w:r>
      <w:r w:rsidRPr="00CB5050">
        <w:rPr>
          <w:rFonts w:eastAsia="Calibri"/>
          <w:bCs/>
          <w:i/>
          <w:iCs/>
        </w:rPr>
        <w:t>Du Toit proti Sloveniji</w:t>
      </w:r>
      <w:r w:rsidRPr="00CB5050">
        <w:rPr>
          <w:rFonts w:eastAsia="Calibri"/>
          <w:bCs/>
        </w:rPr>
        <w:t xml:space="preserve">, št. 418/25; </w:t>
      </w:r>
      <w:r w:rsidRPr="00CB5050">
        <w:rPr>
          <w:rFonts w:eastAsia="Calibri"/>
          <w:bCs/>
          <w:i/>
          <w:iCs/>
        </w:rPr>
        <w:t>Kozole proti Sloveniji</w:t>
      </w:r>
      <w:r w:rsidRPr="00CB5050">
        <w:rPr>
          <w:rFonts w:eastAsia="Calibri"/>
          <w:bCs/>
        </w:rPr>
        <w:t xml:space="preserve">, št. 678/25; </w:t>
      </w:r>
      <w:r w:rsidRPr="00CB5050">
        <w:rPr>
          <w:rFonts w:eastAsia="Calibri"/>
          <w:bCs/>
          <w:i/>
          <w:iCs/>
        </w:rPr>
        <w:t>Čubej proti Sloveniji</w:t>
      </w:r>
      <w:r w:rsidRPr="00CB5050">
        <w:rPr>
          <w:rFonts w:eastAsia="Calibri"/>
          <w:bCs/>
        </w:rPr>
        <w:t xml:space="preserve">, št. 1744/25; </w:t>
      </w:r>
      <w:r w:rsidRPr="00CB5050">
        <w:rPr>
          <w:rFonts w:eastAsia="Calibri"/>
          <w:bCs/>
          <w:i/>
          <w:iCs/>
        </w:rPr>
        <w:t>Može proti Sloveniji</w:t>
      </w:r>
      <w:r w:rsidRPr="00CB5050">
        <w:rPr>
          <w:rFonts w:eastAsia="Calibri"/>
          <w:bCs/>
        </w:rPr>
        <w:t xml:space="preserve">, št. 12950/25; </w:t>
      </w:r>
      <w:r w:rsidRPr="00CB5050">
        <w:rPr>
          <w:rFonts w:eastAsia="Calibri"/>
          <w:bCs/>
          <w:i/>
          <w:iCs/>
        </w:rPr>
        <w:t>Oblak proti Sloveniji</w:t>
      </w:r>
      <w:r w:rsidRPr="00CB5050">
        <w:rPr>
          <w:rFonts w:eastAsia="Calibri"/>
          <w:bCs/>
        </w:rPr>
        <w:t xml:space="preserve">, št. 1748/25; </w:t>
      </w:r>
      <w:r w:rsidRPr="00CB5050">
        <w:rPr>
          <w:rFonts w:eastAsia="Calibri"/>
          <w:bCs/>
          <w:i/>
          <w:iCs/>
        </w:rPr>
        <w:t>Pajić proti Sloveniji</w:t>
      </w:r>
      <w:r w:rsidRPr="00CB5050">
        <w:rPr>
          <w:rFonts w:eastAsia="Calibri"/>
          <w:bCs/>
        </w:rPr>
        <w:t xml:space="preserve">, št. 1742/25; </w:t>
      </w:r>
      <w:r w:rsidRPr="00CB5050">
        <w:rPr>
          <w:rFonts w:eastAsia="Calibri"/>
          <w:bCs/>
          <w:i/>
          <w:iCs/>
        </w:rPr>
        <w:t>Supančić proti Sloveniji</w:t>
      </w:r>
      <w:r w:rsidRPr="00CB5050">
        <w:rPr>
          <w:rFonts w:eastAsia="Calibri"/>
          <w:bCs/>
        </w:rPr>
        <w:t xml:space="preserve">, št. 803/25 in </w:t>
      </w:r>
      <w:r w:rsidRPr="00CB5050">
        <w:rPr>
          <w:rFonts w:eastAsia="Calibri"/>
          <w:bCs/>
          <w:i/>
          <w:iCs/>
        </w:rPr>
        <w:t>Regvar proti Sloveniji</w:t>
      </w:r>
      <w:r w:rsidRPr="00CB5050">
        <w:rPr>
          <w:rFonts w:eastAsia="Calibri"/>
          <w:bCs/>
        </w:rPr>
        <w:t>, št. 36538/25</w:t>
      </w:r>
      <w:r w:rsidRPr="00CB5050">
        <w:rPr>
          <w:rFonts w:eastAsia="Calibri"/>
        </w:rPr>
        <w:t>);</w:t>
      </w:r>
    </w:p>
    <w:p w14:paraId="36C52A9D" w14:textId="77777777" w:rsidR="00695AE2" w:rsidRPr="00CB5050" w:rsidRDefault="00695AE2" w:rsidP="00695AE2">
      <w:pPr>
        <w:numPr>
          <w:ilvl w:val="0"/>
          <w:numId w:val="131"/>
        </w:numPr>
        <w:spacing w:after="160" w:line="240" w:lineRule="auto"/>
        <w:ind w:left="714" w:hanging="357"/>
        <w:contextualSpacing/>
        <w:jc w:val="both"/>
        <w:rPr>
          <w:rFonts w:eastAsia="Calibri"/>
        </w:rPr>
      </w:pPr>
      <w:r w:rsidRPr="00CB5050">
        <w:rPr>
          <w:rFonts w:eastAsia="Calibri"/>
        </w:rPr>
        <w:t>3 zadeve iz naslova pravice do svobode izražanja iz 10. člena konvencije (</w:t>
      </w:r>
      <w:r w:rsidRPr="00CB5050">
        <w:rPr>
          <w:rFonts w:eastAsia="Calibri"/>
          <w:i/>
        </w:rPr>
        <w:t>Kunstelj proti Sloveniji</w:t>
      </w:r>
      <w:r w:rsidRPr="00CB5050">
        <w:rPr>
          <w:rFonts w:eastAsia="Calibri"/>
        </w:rPr>
        <w:t xml:space="preserve">, št. 5257/22; </w:t>
      </w:r>
      <w:r w:rsidRPr="00CB5050">
        <w:rPr>
          <w:rFonts w:eastAsia="Calibri"/>
          <w:i/>
          <w:iCs/>
        </w:rPr>
        <w:t>Mladina d. d. proti Sloveniji</w:t>
      </w:r>
      <w:r w:rsidRPr="00CB5050">
        <w:rPr>
          <w:rFonts w:eastAsia="Calibri"/>
        </w:rPr>
        <w:t xml:space="preserve">, št. 43388/17 in </w:t>
      </w:r>
      <w:r w:rsidRPr="00CB5050">
        <w:rPr>
          <w:rFonts w:eastAsia="Calibri"/>
          <w:bCs/>
          <w:i/>
          <w:iCs/>
        </w:rPr>
        <w:t>Janša proti Sloveniji</w:t>
      </w:r>
      <w:r w:rsidRPr="00CB5050">
        <w:rPr>
          <w:rFonts w:eastAsia="Calibri"/>
          <w:bCs/>
        </w:rPr>
        <w:t>, št. 21308/24</w:t>
      </w:r>
      <w:r w:rsidRPr="00CB5050">
        <w:rPr>
          <w:rFonts w:eastAsia="Calibri"/>
        </w:rPr>
        <w:t>), in</w:t>
      </w:r>
    </w:p>
    <w:p w14:paraId="4500A8CB" w14:textId="77777777" w:rsidR="00695AE2" w:rsidRPr="00CB5050" w:rsidRDefault="00695AE2" w:rsidP="00695AE2">
      <w:pPr>
        <w:numPr>
          <w:ilvl w:val="0"/>
          <w:numId w:val="131"/>
        </w:numPr>
        <w:tabs>
          <w:tab w:val="left" w:pos="900"/>
        </w:tabs>
        <w:suppressAutoHyphens/>
        <w:spacing w:after="160" w:line="240" w:lineRule="auto"/>
        <w:ind w:left="714" w:hanging="357"/>
        <w:contextualSpacing/>
        <w:jc w:val="both"/>
        <w:rPr>
          <w:rFonts w:eastAsia="Calibri"/>
        </w:rPr>
      </w:pPr>
      <w:r w:rsidRPr="00CB5050">
        <w:rPr>
          <w:rFonts w:eastAsia="Calibri"/>
        </w:rPr>
        <w:t>3 zadeve iz naslova kršitve pravice do mirnega uživanja premoženja iz 1. člena Protokola št. 1 h konvenciji (</w:t>
      </w:r>
      <w:r w:rsidRPr="00CB5050">
        <w:rPr>
          <w:rFonts w:eastAsia="Calibri"/>
          <w:i/>
        </w:rPr>
        <w:t>Landika in drugi proti Sloveniji</w:t>
      </w:r>
      <w:r w:rsidRPr="00CB5050">
        <w:rPr>
          <w:rFonts w:eastAsia="Calibri"/>
        </w:rPr>
        <w:t xml:space="preserve">, št. 45987/22; </w:t>
      </w:r>
      <w:r w:rsidRPr="00CB5050">
        <w:rPr>
          <w:rFonts w:eastAsia="Calibri"/>
          <w:i/>
        </w:rPr>
        <w:t>Interzero d. o. o. proti Sloveniji</w:t>
      </w:r>
      <w:r w:rsidRPr="00CB5050">
        <w:rPr>
          <w:rFonts w:eastAsia="Calibri"/>
        </w:rPr>
        <w:t xml:space="preserve">, št. 16077/23 in </w:t>
      </w:r>
      <w:r w:rsidRPr="00CB5050">
        <w:rPr>
          <w:rFonts w:eastAsia="Calibri"/>
          <w:bCs/>
          <w:i/>
        </w:rPr>
        <w:t>Gabrijan in drugi proti Sloveniji</w:t>
      </w:r>
      <w:r w:rsidRPr="00CB5050">
        <w:rPr>
          <w:rFonts w:eastAsia="Calibri"/>
          <w:bCs/>
          <w:iCs/>
        </w:rPr>
        <w:t>, št. 19722/24 in 20307/24</w:t>
      </w:r>
      <w:r w:rsidRPr="00CB5050">
        <w:rPr>
          <w:rFonts w:eastAsia="Calibri"/>
        </w:rPr>
        <w:t>).</w:t>
      </w:r>
    </w:p>
    <w:p w14:paraId="455852D5" w14:textId="77777777" w:rsidR="00695AE2" w:rsidRPr="00CB5050" w:rsidRDefault="00695AE2" w:rsidP="00695AE2">
      <w:pPr>
        <w:tabs>
          <w:tab w:val="left" w:pos="900"/>
        </w:tabs>
        <w:suppressAutoHyphens/>
        <w:spacing w:line="240" w:lineRule="auto"/>
        <w:ind w:left="1004"/>
        <w:contextualSpacing/>
        <w:jc w:val="both"/>
        <w:rPr>
          <w:rFonts w:eastAsia="Calibri"/>
        </w:rPr>
      </w:pPr>
    </w:p>
    <w:p w14:paraId="686E7C1C" w14:textId="77777777" w:rsidR="00695AE2" w:rsidRPr="00CB5050" w:rsidRDefault="00695AE2" w:rsidP="00695AE2">
      <w:pPr>
        <w:pStyle w:val="Naslov5"/>
        <w:ind w:left="0" w:firstLine="0"/>
      </w:pPr>
      <w:bookmarkStart w:id="1089" w:name="_Toc168845091"/>
      <w:bookmarkStart w:id="1090" w:name="_Toc191562090"/>
      <w:bookmarkStart w:id="1091" w:name="_Toc223094086"/>
      <w:r w:rsidRPr="00CB5050">
        <w:t>Pritožbena zadeva proti drugi visoki pogodbenici konvencije, v kateri je Slovenija priglasila intervencijo</w:t>
      </w:r>
      <w:bookmarkEnd w:id="1089"/>
      <w:bookmarkEnd w:id="1090"/>
      <w:bookmarkEnd w:id="1091"/>
    </w:p>
    <w:p w14:paraId="719C29FE" w14:textId="77777777" w:rsidR="00695AE2" w:rsidRPr="00CB5050" w:rsidRDefault="00695AE2" w:rsidP="00695AE2">
      <w:pPr>
        <w:spacing w:line="240" w:lineRule="auto"/>
        <w:jc w:val="both"/>
        <w:rPr>
          <w:rFonts w:eastAsia="Calibri"/>
          <w:color w:val="007466"/>
        </w:rPr>
      </w:pPr>
    </w:p>
    <w:p w14:paraId="0F03DDBA" w14:textId="77777777" w:rsidR="00695AE2" w:rsidRPr="00CB5050" w:rsidRDefault="00695AE2" w:rsidP="00695AE2">
      <w:pPr>
        <w:numPr>
          <w:ilvl w:val="0"/>
          <w:numId w:val="132"/>
        </w:numPr>
        <w:spacing w:after="160" w:line="240" w:lineRule="auto"/>
        <w:ind w:left="714" w:hanging="142"/>
        <w:contextualSpacing/>
        <w:jc w:val="both"/>
        <w:rPr>
          <w:rFonts w:eastAsia="Calibri"/>
        </w:rPr>
      </w:pPr>
      <w:r w:rsidRPr="00CB5050">
        <w:rPr>
          <w:rFonts w:eastAsia="Calibri"/>
          <w:i/>
          <w:iCs/>
          <w:shd w:val="clear" w:color="auto" w:fill="FFFFFF"/>
        </w:rPr>
        <w:t xml:space="preserve"> Duarte Agostinho in drugi proti Portugalski in 32 drugim, </w:t>
      </w:r>
      <w:r w:rsidRPr="00CB5050">
        <w:rPr>
          <w:rFonts w:eastAsia="Calibri"/>
          <w:shd w:val="clear" w:color="auto" w:fill="FFFFFF"/>
        </w:rPr>
        <w:t>št. 39371/20</w:t>
      </w:r>
      <w:r w:rsidRPr="00CB5050">
        <w:rPr>
          <w:rFonts w:eastAsia="Calibri"/>
          <w:i/>
          <w:iCs/>
          <w:shd w:val="clear" w:color="auto" w:fill="FFFFFF"/>
        </w:rPr>
        <w:t>.</w:t>
      </w:r>
    </w:p>
    <w:p w14:paraId="225DE424" w14:textId="77777777" w:rsidR="00695AE2" w:rsidRPr="00CB5050" w:rsidRDefault="00695AE2" w:rsidP="00695AE2">
      <w:pPr>
        <w:spacing w:line="240" w:lineRule="auto"/>
        <w:ind w:hanging="142"/>
        <w:jc w:val="both"/>
        <w:rPr>
          <w:rFonts w:eastAsia="Calibri"/>
        </w:rPr>
      </w:pPr>
    </w:p>
    <w:p w14:paraId="0705FC11" w14:textId="77777777" w:rsidR="00695AE2" w:rsidRPr="00CB5050" w:rsidRDefault="00695AE2" w:rsidP="00695AE2">
      <w:pPr>
        <w:pStyle w:val="Naslov5"/>
        <w:ind w:left="0" w:firstLine="0"/>
      </w:pPr>
      <w:bookmarkStart w:id="1092" w:name="_Hlk220392898"/>
      <w:bookmarkStart w:id="1093" w:name="_Toc223094087"/>
      <w:r w:rsidRPr="00CB5050">
        <w:t>Pritožbena zadeva v meddržavnem postopku, v katerem je Slovenija priglasila intervencijo</w:t>
      </w:r>
      <w:bookmarkEnd w:id="1092"/>
      <w:bookmarkEnd w:id="1093"/>
    </w:p>
    <w:p w14:paraId="0BA3DA7E" w14:textId="77777777" w:rsidR="00695AE2" w:rsidRPr="00CB5050" w:rsidRDefault="00695AE2" w:rsidP="00695AE2">
      <w:pPr>
        <w:spacing w:line="240" w:lineRule="auto"/>
        <w:jc w:val="both"/>
        <w:rPr>
          <w:rFonts w:eastAsia="Calibri"/>
        </w:rPr>
      </w:pPr>
    </w:p>
    <w:p w14:paraId="2801BDBC" w14:textId="77777777" w:rsidR="00695AE2" w:rsidRPr="00CB5050" w:rsidRDefault="00695AE2" w:rsidP="00695AE2">
      <w:pPr>
        <w:numPr>
          <w:ilvl w:val="0"/>
          <w:numId w:val="118"/>
        </w:numPr>
        <w:suppressAutoHyphens/>
        <w:spacing w:after="160" w:line="240" w:lineRule="auto"/>
        <w:contextualSpacing/>
        <w:jc w:val="both"/>
        <w:rPr>
          <w:rFonts w:eastAsia="Calibri"/>
        </w:rPr>
      </w:pPr>
      <w:r w:rsidRPr="00CB5050">
        <w:rPr>
          <w:rFonts w:eastAsia="Calibri"/>
          <w:i/>
          <w:iCs/>
        </w:rPr>
        <w:t>Ukrajina proti Ruski federaciji</w:t>
      </w:r>
      <w:r w:rsidRPr="00CB5050">
        <w:rPr>
          <w:rFonts w:eastAsia="Calibri"/>
        </w:rPr>
        <w:t>, št. 11055/22.</w:t>
      </w:r>
    </w:p>
    <w:p w14:paraId="65D8A458" w14:textId="77777777" w:rsidR="00695AE2" w:rsidRPr="00CB5050" w:rsidRDefault="00695AE2" w:rsidP="00695AE2">
      <w:pPr>
        <w:spacing w:line="240" w:lineRule="auto"/>
        <w:jc w:val="both"/>
        <w:rPr>
          <w:rFonts w:eastAsia="Calibri"/>
        </w:rPr>
      </w:pPr>
    </w:p>
    <w:p w14:paraId="4325B602" w14:textId="77777777" w:rsidR="00695AE2" w:rsidRPr="00CB5050" w:rsidRDefault="00695AE2" w:rsidP="00695AE2">
      <w:pPr>
        <w:pStyle w:val="Naslov5"/>
        <w:rPr>
          <w:szCs w:val="22"/>
        </w:rPr>
      </w:pPr>
      <w:bookmarkStart w:id="1094" w:name="_Toc223094088"/>
      <w:r w:rsidRPr="00CB5050">
        <w:t>Zadeva v zvezi z izvršitvijo sodbe ESČP</w:t>
      </w:r>
      <w:bookmarkEnd w:id="1094"/>
    </w:p>
    <w:p w14:paraId="18C4561A" w14:textId="77777777" w:rsidR="00695AE2" w:rsidRPr="00CB5050" w:rsidRDefault="00695AE2" w:rsidP="00695AE2">
      <w:pPr>
        <w:spacing w:line="240" w:lineRule="auto"/>
        <w:jc w:val="both"/>
        <w:rPr>
          <w:rFonts w:eastAsia="Calibri"/>
        </w:rPr>
      </w:pPr>
    </w:p>
    <w:p w14:paraId="3F27E216" w14:textId="77777777" w:rsidR="00695AE2" w:rsidRPr="00CB5050" w:rsidRDefault="00695AE2" w:rsidP="00695AE2">
      <w:pPr>
        <w:numPr>
          <w:ilvl w:val="0"/>
          <w:numId w:val="133"/>
        </w:numPr>
        <w:suppressAutoHyphens/>
        <w:spacing w:after="160" w:line="240" w:lineRule="auto"/>
        <w:ind w:left="714" w:hanging="357"/>
        <w:contextualSpacing/>
        <w:jc w:val="both"/>
        <w:rPr>
          <w:rFonts w:eastAsia="Calibri"/>
        </w:rPr>
      </w:pPr>
      <w:r w:rsidRPr="00CB5050">
        <w:rPr>
          <w:rFonts w:eastAsia="Calibri"/>
          <w:i/>
        </w:rPr>
        <w:t>Ališić in dva druga proti Bosni in Hercegovini in drugim</w:t>
      </w:r>
      <w:r w:rsidRPr="00CB5050">
        <w:rPr>
          <w:rFonts w:eastAsia="Calibri"/>
        </w:rPr>
        <w:t>, št. 60642/08.</w:t>
      </w:r>
    </w:p>
    <w:p w14:paraId="78193A22" w14:textId="77777777" w:rsidR="00695AE2" w:rsidRPr="00CB5050" w:rsidRDefault="00695AE2" w:rsidP="00695AE2">
      <w:pPr>
        <w:spacing w:line="240" w:lineRule="auto"/>
        <w:jc w:val="both"/>
        <w:rPr>
          <w:rFonts w:eastAsia="Calibri"/>
        </w:rPr>
      </w:pPr>
    </w:p>
    <w:p w14:paraId="7AD829E0" w14:textId="77777777" w:rsidR="00695AE2" w:rsidRPr="00CB5050" w:rsidRDefault="00695AE2" w:rsidP="00695AE2">
      <w:pPr>
        <w:pStyle w:val="Naslov5"/>
      </w:pPr>
      <w:bookmarkStart w:id="1095" w:name="_Toc168845094"/>
      <w:bookmarkStart w:id="1096" w:name="_Toc191562093"/>
      <w:bookmarkStart w:id="1097" w:name="_Toc223094089"/>
      <w:r w:rsidRPr="00CB5050">
        <w:t>Zadeve iz drugih naslovov</w:t>
      </w:r>
      <w:bookmarkEnd w:id="1095"/>
      <w:bookmarkEnd w:id="1096"/>
      <w:bookmarkEnd w:id="1097"/>
    </w:p>
    <w:p w14:paraId="51CB7C92" w14:textId="77777777" w:rsidR="00695AE2" w:rsidRPr="00CB5050" w:rsidRDefault="00695AE2" w:rsidP="00695AE2">
      <w:pPr>
        <w:spacing w:line="240" w:lineRule="auto"/>
        <w:jc w:val="both"/>
        <w:rPr>
          <w:rFonts w:eastAsia="Calibri"/>
        </w:rPr>
      </w:pPr>
    </w:p>
    <w:p w14:paraId="0676D32C" w14:textId="77777777" w:rsidR="00695AE2" w:rsidRPr="00CB5050" w:rsidRDefault="00695AE2" w:rsidP="00695AE2">
      <w:pPr>
        <w:numPr>
          <w:ilvl w:val="0"/>
          <w:numId w:val="130"/>
        </w:numPr>
        <w:spacing w:after="160" w:line="240" w:lineRule="auto"/>
        <w:contextualSpacing/>
        <w:jc w:val="both"/>
        <w:rPr>
          <w:rFonts w:eastAsia="Calibri"/>
        </w:rPr>
      </w:pPr>
      <w:r w:rsidRPr="00CB5050">
        <w:rPr>
          <w:rFonts w:eastAsia="Calibri"/>
        </w:rPr>
        <w:t>1 zadeva, v katero se vpisujejo odločbe ESČP v zadevah, ki Sloveniji niso bile vročene v opredelitev;</w:t>
      </w:r>
    </w:p>
    <w:p w14:paraId="178FE234" w14:textId="77777777" w:rsidR="00695AE2" w:rsidRPr="00CB5050" w:rsidRDefault="00695AE2" w:rsidP="00695AE2">
      <w:pPr>
        <w:numPr>
          <w:ilvl w:val="0"/>
          <w:numId w:val="130"/>
        </w:numPr>
        <w:tabs>
          <w:tab w:val="left" w:pos="900"/>
        </w:tabs>
        <w:suppressAutoHyphens/>
        <w:spacing w:after="160" w:line="240" w:lineRule="auto"/>
        <w:contextualSpacing/>
        <w:jc w:val="both"/>
        <w:rPr>
          <w:rFonts w:eastAsia="Calibri"/>
        </w:rPr>
      </w:pPr>
      <w:r w:rsidRPr="00CB5050">
        <w:rPr>
          <w:rFonts w:eastAsia="Calibri"/>
        </w:rPr>
        <w:t>1 zadeva v zvezi s splošnimi vprašanji v zvezi z izvrševanjem sodb ESČP;</w:t>
      </w:r>
    </w:p>
    <w:p w14:paraId="05E5A69B" w14:textId="77777777" w:rsidR="00695AE2" w:rsidRPr="00CB5050" w:rsidRDefault="00695AE2" w:rsidP="00695AE2">
      <w:pPr>
        <w:numPr>
          <w:ilvl w:val="0"/>
          <w:numId w:val="134"/>
        </w:numPr>
        <w:spacing w:after="160" w:line="240" w:lineRule="auto"/>
        <w:jc w:val="both"/>
        <w:rPr>
          <w:rFonts w:eastAsia="Calibri"/>
        </w:rPr>
      </w:pPr>
      <w:r w:rsidRPr="00CB5050">
        <w:rPr>
          <w:rFonts w:eastAsia="Calibri"/>
        </w:rPr>
        <w:t>1 zadeva, v katero se evidentirajo poizvedbe, ki jih Državno odvetništvo RS naslavlja na ESČP na predlog državnih organov ali posameznikov.</w:t>
      </w:r>
    </w:p>
    <w:p w14:paraId="5635473F" w14:textId="77777777" w:rsidR="00695AE2" w:rsidRPr="00115A72" w:rsidRDefault="00695AE2" w:rsidP="00695AE2">
      <w:pPr>
        <w:pStyle w:val="Jasna"/>
        <w:rPr>
          <w:sz w:val="28"/>
          <w:szCs w:val="28"/>
        </w:rPr>
      </w:pPr>
      <w:bookmarkStart w:id="1098" w:name="_Toc168845095"/>
      <w:bookmarkStart w:id="1099" w:name="_Toc191562095"/>
    </w:p>
    <w:p w14:paraId="54FB2BE7" w14:textId="77777777" w:rsidR="00695AE2" w:rsidRPr="00CB5050" w:rsidRDefault="00695AE2" w:rsidP="00695AE2">
      <w:pPr>
        <w:pStyle w:val="Naslov3"/>
      </w:pPr>
      <w:r>
        <w:t xml:space="preserve"> </w:t>
      </w:r>
      <w:bookmarkStart w:id="1100" w:name="_Toc223094090"/>
      <w:r w:rsidRPr="00CB5050">
        <w:t>Analiza primerjalnih vrednosti</w:t>
      </w:r>
      <w:bookmarkEnd w:id="1098"/>
      <w:bookmarkEnd w:id="1099"/>
      <w:bookmarkEnd w:id="1100"/>
    </w:p>
    <w:p w14:paraId="42D02BF6" w14:textId="77777777" w:rsidR="00695AE2" w:rsidRPr="00CB5050" w:rsidRDefault="00695AE2" w:rsidP="00695AE2">
      <w:pPr>
        <w:spacing w:line="240" w:lineRule="auto"/>
        <w:jc w:val="both"/>
        <w:rPr>
          <w:rFonts w:eastAsia="Calibri"/>
        </w:rPr>
      </w:pPr>
    </w:p>
    <w:p w14:paraId="47335D8D" w14:textId="77777777" w:rsidR="00695AE2" w:rsidRPr="00CB5050" w:rsidRDefault="00695AE2" w:rsidP="00695AE2">
      <w:pPr>
        <w:spacing w:line="240" w:lineRule="auto"/>
        <w:jc w:val="both"/>
        <w:rPr>
          <w:rFonts w:eastAsia="Calibri"/>
        </w:rPr>
      </w:pPr>
      <w:bookmarkStart w:id="1101" w:name="_Hlk218436881"/>
      <w:r w:rsidRPr="00CB5050">
        <w:rPr>
          <w:rFonts w:eastAsia="Calibri"/>
        </w:rPr>
        <w:t>Državno odvetništvo RS je v letu 2025 prejelo 19 novih pritožbenih zadev, kar je 58,33 odstotka več kot leta 2024, ko je prejelo 12 novih pritožbenih zadev.</w:t>
      </w:r>
    </w:p>
    <w:p w14:paraId="1898B441" w14:textId="77777777" w:rsidR="00695AE2" w:rsidRPr="00CB5050" w:rsidRDefault="00695AE2" w:rsidP="00695AE2">
      <w:pPr>
        <w:spacing w:line="240" w:lineRule="auto"/>
        <w:jc w:val="both"/>
        <w:rPr>
          <w:rFonts w:eastAsia="Calibri"/>
        </w:rPr>
      </w:pPr>
    </w:p>
    <w:p w14:paraId="3547E6C6" w14:textId="77777777" w:rsidR="00695AE2" w:rsidRPr="00CB5050" w:rsidRDefault="00695AE2" w:rsidP="00695AE2">
      <w:pPr>
        <w:spacing w:line="240" w:lineRule="auto"/>
        <w:jc w:val="both"/>
        <w:rPr>
          <w:rFonts w:eastAsia="Calibri"/>
        </w:rPr>
      </w:pPr>
      <w:r w:rsidRPr="00CB5050">
        <w:rPr>
          <w:rFonts w:eastAsia="Calibri"/>
        </w:rPr>
        <w:t xml:space="preserve">V letu 2025 je imelo Državno odvetništvo RS v delu 53 zadev, kar je 26,19 odstotka več kot v letu 2024, ko je imelo v delu 42 zadev. </w:t>
      </w:r>
    </w:p>
    <w:p w14:paraId="226D0682" w14:textId="77777777" w:rsidR="00695AE2" w:rsidRPr="00CB5050" w:rsidRDefault="00695AE2" w:rsidP="00695AE2">
      <w:pPr>
        <w:spacing w:line="240" w:lineRule="auto"/>
        <w:jc w:val="both"/>
        <w:rPr>
          <w:rFonts w:eastAsia="Calibri"/>
        </w:rPr>
      </w:pPr>
    </w:p>
    <w:p w14:paraId="4B9F7521"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rPr>
      </w:pPr>
      <w:r w:rsidRPr="00CB5050">
        <w:rPr>
          <w:rFonts w:eastAsia="Calibri"/>
        </w:rPr>
        <w:t>V letu 2025 je Državno odvetništvo RS zaključilo 17 zadev, kar je 112,50 odstotka več kot v letu 2024, ko je zaključilo 8 zadev.</w:t>
      </w:r>
    </w:p>
    <w:p w14:paraId="3F5D4CE7"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color w:val="FF0000"/>
        </w:rPr>
      </w:pPr>
    </w:p>
    <w:p w14:paraId="795C128E" w14:textId="77777777" w:rsidR="00695AE2" w:rsidRPr="00CB5050" w:rsidRDefault="00695AE2" w:rsidP="00695AE2">
      <w:pPr>
        <w:spacing w:line="240" w:lineRule="auto"/>
        <w:jc w:val="both"/>
        <w:rPr>
          <w:rFonts w:eastAsia="Calibri"/>
        </w:rPr>
      </w:pPr>
      <w:r w:rsidRPr="00CB5050">
        <w:rPr>
          <w:rFonts w:eastAsia="Calibri"/>
        </w:rPr>
        <w:t xml:space="preserve">Na dan 31. 12. 2025 je bilo odprtih 39 zadev, kar je 14,70 odstotka več kot na dan 31. 12. 2024, ko je bilo odprtih 34 zadev. </w:t>
      </w:r>
    </w:p>
    <w:p w14:paraId="5C40CD37" w14:textId="77777777" w:rsidR="00695AE2" w:rsidRPr="00CB5050" w:rsidRDefault="00695AE2" w:rsidP="00695AE2">
      <w:pPr>
        <w:spacing w:line="240" w:lineRule="auto"/>
        <w:jc w:val="both"/>
        <w:rPr>
          <w:rFonts w:eastAsia="Calibri"/>
        </w:rPr>
      </w:pPr>
    </w:p>
    <w:p w14:paraId="3D0DAC18" w14:textId="77777777" w:rsidR="00695AE2" w:rsidRPr="00CB5050" w:rsidRDefault="00695AE2" w:rsidP="00695AE2">
      <w:pPr>
        <w:spacing w:line="240" w:lineRule="auto"/>
        <w:jc w:val="both"/>
        <w:rPr>
          <w:rFonts w:eastAsia="Calibri"/>
        </w:rPr>
      </w:pPr>
      <w:r w:rsidRPr="00CB5050">
        <w:rPr>
          <w:rFonts w:eastAsia="Calibri"/>
        </w:rPr>
        <w:t>Spodnji grafikon prikazuje število vseh novoprejetih zadev v vpisniku ESČP Državnega odvetništva RS v obdobju od 2021 do 2025.</w:t>
      </w:r>
    </w:p>
    <w:p w14:paraId="508FEAE3" w14:textId="77777777" w:rsidR="00695AE2" w:rsidRDefault="00695AE2" w:rsidP="00695AE2">
      <w:pPr>
        <w:tabs>
          <w:tab w:val="left" w:pos="283"/>
        </w:tabs>
        <w:autoSpaceDE w:val="0"/>
        <w:autoSpaceDN w:val="0"/>
        <w:adjustRightInd w:val="0"/>
        <w:spacing w:line="240" w:lineRule="auto"/>
        <w:jc w:val="both"/>
        <w:textAlignment w:val="center"/>
        <w:rPr>
          <w:rFonts w:eastAsia="Calibri"/>
        </w:rPr>
      </w:pPr>
    </w:p>
    <w:p w14:paraId="3C32DBF5"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bCs/>
          <w:color w:val="007466"/>
          <w:spacing w:val="1"/>
          <w:sz w:val="20"/>
          <w:szCs w:val="20"/>
        </w:rPr>
      </w:pPr>
      <w:r w:rsidRPr="00CB5050">
        <w:rPr>
          <w:rFonts w:eastAsia="Calibri"/>
          <w:b/>
          <w:bCs/>
          <w:color w:val="007466"/>
          <w:spacing w:val="1"/>
          <w:sz w:val="20"/>
          <w:szCs w:val="20"/>
        </w:rPr>
        <w:t>Grafikon: Število prejetih zadev v postopkih pred ESČP v obdobju 2021 – 2025</w:t>
      </w:r>
    </w:p>
    <w:p w14:paraId="062D2983"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bCs/>
          <w:color w:val="007466"/>
          <w:spacing w:val="1"/>
          <w:sz w:val="20"/>
          <w:szCs w:val="20"/>
        </w:rPr>
      </w:pPr>
    </w:p>
    <w:p w14:paraId="0D9E4276" w14:textId="77777777" w:rsidR="00695AE2" w:rsidRPr="00CB5050" w:rsidRDefault="00695AE2" w:rsidP="00695AE2">
      <w:pPr>
        <w:spacing w:line="240" w:lineRule="auto"/>
        <w:jc w:val="center"/>
        <w:rPr>
          <w:rFonts w:eastAsia="Calibri"/>
        </w:rPr>
      </w:pPr>
      <w:r w:rsidRPr="00CB5050">
        <w:rPr>
          <w:rFonts w:eastAsia="Calibri"/>
          <w:noProof/>
        </w:rPr>
        <w:lastRenderedPageBreak/>
        <w:drawing>
          <wp:inline distT="0" distB="0" distL="0" distR="0" wp14:anchorId="7798FE2E" wp14:editId="435C31F5">
            <wp:extent cx="4584700" cy="2755900"/>
            <wp:effectExtent l="0" t="0" r="6350" b="6350"/>
            <wp:docPr id="1614078819" name="Slika 2" descr="Slika, ki vsebuje besede besedilo, posnetek zaslona, pravokotnik, kvadrat&#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78819" name="Slika 2" descr="Slika, ki vsebuje besede besedilo, posnetek zaslona, pravokotnik, kvadrat&#10;&#10;Vsebina, ustvarjena z UI, morda ni praviln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68615E" w14:textId="77777777" w:rsidR="00695AE2" w:rsidRPr="00CB5050" w:rsidRDefault="00695AE2" w:rsidP="00695AE2">
      <w:pPr>
        <w:spacing w:line="240" w:lineRule="auto"/>
        <w:jc w:val="both"/>
        <w:rPr>
          <w:rFonts w:eastAsia="Calibri"/>
        </w:rPr>
      </w:pPr>
    </w:p>
    <w:bookmarkEnd w:id="1101"/>
    <w:p w14:paraId="3E6C04FA" w14:textId="77777777" w:rsidR="00695AE2" w:rsidRPr="00CB5050" w:rsidRDefault="00695AE2" w:rsidP="00695AE2">
      <w:pPr>
        <w:spacing w:line="240" w:lineRule="auto"/>
        <w:jc w:val="both"/>
        <w:rPr>
          <w:rFonts w:eastAsia="Calibri"/>
        </w:rPr>
      </w:pPr>
      <w:r w:rsidRPr="00CB5050">
        <w:rPr>
          <w:rFonts w:eastAsia="Calibri"/>
        </w:rPr>
        <w:t xml:space="preserve">Iz grafikona je razvidno, da je v analiziranem petletnem obdobju 2021 – 2025 število novo prejetih zadev znatno odstopilo v letih 2022 in 2025, v katerih je bilo prejetih za skoraj polovico več zadev od siceršnjega primerljivo enakega števila v ostalih letih. </w:t>
      </w:r>
    </w:p>
    <w:p w14:paraId="30DCC6E8" w14:textId="77777777" w:rsidR="00695AE2" w:rsidRPr="00CB5050" w:rsidRDefault="00695AE2" w:rsidP="00695AE2">
      <w:pPr>
        <w:pStyle w:val="Naslov3"/>
      </w:pPr>
      <w:bookmarkStart w:id="1102" w:name="_Toc168845096"/>
      <w:bookmarkStart w:id="1103" w:name="_Toc191562096"/>
      <w:r>
        <w:t xml:space="preserve"> </w:t>
      </w:r>
      <w:bookmarkStart w:id="1104" w:name="_Toc223094091"/>
      <w:r w:rsidRPr="00CB5050">
        <w:t>Ukrepi za obvladovanje zadev in priporočila Državnega odvetništva RS</w:t>
      </w:r>
      <w:bookmarkEnd w:id="1102"/>
      <w:bookmarkEnd w:id="1103"/>
      <w:bookmarkEnd w:id="1104"/>
    </w:p>
    <w:p w14:paraId="20C77844" w14:textId="77777777" w:rsidR="00695AE2" w:rsidRPr="00CB5050" w:rsidRDefault="00695AE2" w:rsidP="00695AE2">
      <w:pPr>
        <w:pStyle w:val="Jasna"/>
      </w:pPr>
    </w:p>
    <w:p w14:paraId="1F5D9535" w14:textId="77777777" w:rsidR="00695AE2" w:rsidRPr="00CB5050" w:rsidRDefault="00695AE2" w:rsidP="00695AE2">
      <w:pPr>
        <w:spacing w:line="240" w:lineRule="auto"/>
        <w:jc w:val="both"/>
        <w:rPr>
          <w:rFonts w:eastAsia="Calibri"/>
        </w:rPr>
      </w:pPr>
      <w:bookmarkStart w:id="1105" w:name="_Hlk220395998"/>
      <w:r w:rsidRPr="00CB5050">
        <w:rPr>
          <w:rFonts w:eastAsia="Calibri"/>
        </w:rPr>
        <w:t>Glede vseh v zadnjih letih novo prejetih zadev v postopkih pred ESČP je treba poudariti, da so zadeve zelo raznovrstne, številne med njimi obsegajo kompleksna dejanska stanja in spreminjajoči se pravni okvir, ki ga je bilo treba ob pripravi procesnih aktov spremljati, aktualizirati in ustrezno obravnavati v pisnih vlogah.</w:t>
      </w:r>
    </w:p>
    <w:p w14:paraId="6431D730" w14:textId="77777777" w:rsidR="00695AE2" w:rsidRPr="00CB5050" w:rsidRDefault="00695AE2" w:rsidP="00695AE2">
      <w:pPr>
        <w:spacing w:line="240" w:lineRule="auto"/>
        <w:jc w:val="both"/>
        <w:rPr>
          <w:rFonts w:eastAsia="Calibri"/>
        </w:rPr>
      </w:pPr>
    </w:p>
    <w:p w14:paraId="67192A78" w14:textId="77777777" w:rsidR="00695AE2" w:rsidRPr="00CB5050" w:rsidRDefault="00695AE2" w:rsidP="00695AE2">
      <w:pPr>
        <w:spacing w:line="240" w:lineRule="auto"/>
        <w:jc w:val="both"/>
        <w:rPr>
          <w:rFonts w:eastAsia="Calibri"/>
        </w:rPr>
      </w:pPr>
      <w:r w:rsidRPr="00CB5050">
        <w:rPr>
          <w:rFonts w:eastAsia="Calibri"/>
        </w:rPr>
        <w:t>Glede vsebinskih izidov postopkov pred ESČP je v letu 2025 v primerjavi s predhodnim letom zaznati znaten upad števila zadev, v katerih je ESČP ugotovilo kršitev konvencije (v letu 2024 3 sodbe, v letu 2025 pa le 1).</w:t>
      </w:r>
    </w:p>
    <w:p w14:paraId="4B7F3C39" w14:textId="77777777" w:rsidR="00695AE2" w:rsidRPr="00CB5050" w:rsidRDefault="00695AE2" w:rsidP="00695AE2">
      <w:pPr>
        <w:spacing w:line="240" w:lineRule="auto"/>
        <w:jc w:val="both"/>
        <w:rPr>
          <w:rFonts w:eastAsia="Calibri"/>
        </w:rPr>
      </w:pPr>
    </w:p>
    <w:p w14:paraId="6B362F7F" w14:textId="77777777" w:rsidR="00695AE2" w:rsidRPr="00CB5050" w:rsidRDefault="00695AE2" w:rsidP="00695AE2">
      <w:pPr>
        <w:spacing w:line="240" w:lineRule="auto"/>
        <w:jc w:val="both"/>
        <w:rPr>
          <w:rFonts w:eastAsia="Calibri"/>
        </w:rPr>
      </w:pPr>
      <w:r w:rsidRPr="00CB5050">
        <w:rPr>
          <w:rFonts w:eastAsia="Calibri"/>
        </w:rPr>
        <w:t xml:space="preserve">Čeprav ima Državno odvetništvo RS le omejene pristojnosti v postopku izvrševanja sodb ESČP, je tudi v letu 2025 aktivno sodelovalo pri iskanju rešitev za izvršitev in prenehanje kršitve po dokončnosti sodbe v zadevi </w:t>
      </w:r>
      <w:r w:rsidRPr="00CB5050">
        <w:rPr>
          <w:rFonts w:eastAsia="Calibri"/>
          <w:i/>
          <w:iCs/>
        </w:rPr>
        <w:t>Dolenc proti Sloveniji</w:t>
      </w:r>
      <w:r w:rsidRPr="00CB5050">
        <w:rPr>
          <w:rFonts w:eastAsia="Calibri"/>
        </w:rPr>
        <w:t xml:space="preserve"> (skupaj z Ministrstvom za pravosodje, pristojnim za koordinacijo izvrševanja sodb ESČP). </w:t>
      </w:r>
    </w:p>
    <w:bookmarkEnd w:id="1105"/>
    <w:p w14:paraId="18C8FE58" w14:textId="77777777" w:rsidR="00695AE2" w:rsidRPr="00CB5050" w:rsidRDefault="00695AE2" w:rsidP="00695AE2">
      <w:pPr>
        <w:spacing w:line="240" w:lineRule="auto"/>
        <w:jc w:val="both"/>
        <w:rPr>
          <w:rFonts w:eastAsia="Calibri"/>
          <w:sz w:val="32"/>
          <w:szCs w:val="32"/>
        </w:rPr>
      </w:pPr>
    </w:p>
    <w:p w14:paraId="71D23C53" w14:textId="77777777" w:rsidR="00695AE2" w:rsidRPr="00CB5050" w:rsidRDefault="00695AE2" w:rsidP="00695AE2">
      <w:pPr>
        <w:pStyle w:val="Naslov2"/>
      </w:pPr>
      <w:bookmarkStart w:id="1106" w:name="_Toc168845097"/>
      <w:bookmarkStart w:id="1107" w:name="_Toc191562097"/>
      <w:r>
        <w:t xml:space="preserve"> </w:t>
      </w:r>
      <w:bookmarkStart w:id="1108" w:name="_Toc223094092"/>
      <w:r w:rsidRPr="00CB5050">
        <w:t>Postopki pred Sodiščem Evropske unije</w:t>
      </w:r>
      <w:bookmarkEnd w:id="1106"/>
      <w:bookmarkEnd w:id="1107"/>
      <w:bookmarkEnd w:id="1108"/>
    </w:p>
    <w:p w14:paraId="29612B7F" w14:textId="77777777" w:rsidR="00695AE2" w:rsidRPr="00CB5050" w:rsidRDefault="00695AE2" w:rsidP="00695AE2">
      <w:pPr>
        <w:spacing w:line="240" w:lineRule="auto"/>
        <w:jc w:val="both"/>
        <w:rPr>
          <w:rFonts w:eastAsia="Calibri"/>
          <w:sz w:val="32"/>
          <w:szCs w:val="32"/>
        </w:rPr>
      </w:pPr>
    </w:p>
    <w:p w14:paraId="0FCE7DFB" w14:textId="77777777" w:rsidR="00695AE2" w:rsidRPr="00CB5050" w:rsidRDefault="00695AE2" w:rsidP="00695AE2">
      <w:pPr>
        <w:pStyle w:val="Naslov3"/>
      </w:pPr>
      <w:bookmarkStart w:id="1109" w:name="_Toc168845098"/>
      <w:bookmarkStart w:id="1110" w:name="_Toc191562098"/>
      <w:bookmarkStart w:id="1111" w:name="_Toc223094093"/>
      <w:r w:rsidRPr="00CB5050">
        <w:t>Uvod</w:t>
      </w:r>
      <w:bookmarkEnd w:id="1109"/>
      <w:bookmarkEnd w:id="1110"/>
      <w:bookmarkEnd w:id="1111"/>
    </w:p>
    <w:p w14:paraId="7FC3CDA9" w14:textId="77777777" w:rsidR="00695AE2" w:rsidRPr="00CB5050" w:rsidRDefault="00695AE2" w:rsidP="00695AE2">
      <w:pPr>
        <w:spacing w:line="240" w:lineRule="auto"/>
        <w:jc w:val="both"/>
        <w:rPr>
          <w:rFonts w:eastAsia="Calibri"/>
          <w:sz w:val="28"/>
          <w:szCs w:val="28"/>
        </w:rPr>
      </w:pPr>
    </w:p>
    <w:p w14:paraId="15B5D78A" w14:textId="77777777" w:rsidR="00695AE2" w:rsidRPr="00CB5050" w:rsidRDefault="00695AE2" w:rsidP="00695AE2">
      <w:pPr>
        <w:pStyle w:val="Naslov4"/>
      </w:pPr>
      <w:bookmarkStart w:id="1112" w:name="_Toc168845099"/>
      <w:bookmarkStart w:id="1113" w:name="_Toc191562099"/>
      <w:bookmarkStart w:id="1114" w:name="_Toc223094094"/>
      <w:r w:rsidRPr="00CB5050">
        <w:t>Predstavitev Sodišča Evropske unije</w:t>
      </w:r>
      <w:bookmarkEnd w:id="1112"/>
      <w:bookmarkEnd w:id="1113"/>
      <w:bookmarkEnd w:id="1114"/>
    </w:p>
    <w:p w14:paraId="7C1A8872" w14:textId="77777777" w:rsidR="00695AE2" w:rsidRPr="00CB5050" w:rsidRDefault="00695AE2" w:rsidP="00695AE2">
      <w:pPr>
        <w:spacing w:line="240" w:lineRule="auto"/>
        <w:jc w:val="both"/>
        <w:rPr>
          <w:rFonts w:eastAsia="Calibri"/>
        </w:rPr>
      </w:pPr>
    </w:p>
    <w:p w14:paraId="20F169EA" w14:textId="77777777" w:rsidR="00695AE2" w:rsidRPr="00CB5050" w:rsidRDefault="00695AE2" w:rsidP="00695AE2">
      <w:pPr>
        <w:spacing w:line="240" w:lineRule="auto"/>
        <w:jc w:val="both"/>
        <w:rPr>
          <w:rFonts w:eastAsia="Calibri"/>
        </w:rPr>
      </w:pPr>
      <w:r w:rsidRPr="00CB5050">
        <w:rPr>
          <w:rFonts w:eastAsia="Calibri"/>
        </w:rPr>
        <w:t xml:space="preserve">Sodišče Evropske unije je bilo ustanovljeno leta 1952, njegova naloga pa je zagotavljati spoštovanje prava Unije ter enotne razlage in uporabe pravnega reda Unije. Sodišče Evropske unije v okviru te naloge nadzira zakonitost aktov institucij Evropske unije, skrbi, da države članice izpolnjujejo obveznosti iz pogodb in drugih pravnih aktov Unije, ter na predlog </w:t>
      </w:r>
      <w:r w:rsidRPr="00CB5050">
        <w:rPr>
          <w:rFonts w:eastAsia="Calibri"/>
        </w:rPr>
        <w:lastRenderedPageBreak/>
        <w:t xml:space="preserve">nacionalnih sodišč razlaga pravo Unije. Kot sodna avtoriteta Evropske unije skupaj s sodišči držav članic skrbi za skladno uporabo in razlago prava Unije. </w:t>
      </w:r>
    </w:p>
    <w:p w14:paraId="6878EA15" w14:textId="77777777" w:rsidR="00695AE2" w:rsidRPr="00CB5050" w:rsidRDefault="00695AE2" w:rsidP="00695AE2">
      <w:pPr>
        <w:spacing w:line="240" w:lineRule="auto"/>
        <w:jc w:val="both"/>
        <w:rPr>
          <w:rFonts w:eastAsia="Calibri"/>
        </w:rPr>
      </w:pPr>
    </w:p>
    <w:p w14:paraId="01B90AB0" w14:textId="77777777" w:rsidR="00695AE2" w:rsidRPr="00CB5050" w:rsidRDefault="00695AE2" w:rsidP="00695AE2">
      <w:pPr>
        <w:spacing w:line="240" w:lineRule="auto"/>
        <w:jc w:val="both"/>
        <w:rPr>
          <w:rFonts w:eastAsia="Calibri"/>
          <w:color w:val="007466"/>
        </w:rPr>
      </w:pPr>
      <w:r w:rsidRPr="00CB5050">
        <w:rPr>
          <w:rFonts w:eastAsia="Calibri"/>
          <w:color w:val="007466"/>
        </w:rPr>
        <w:t>Sodišče Evropske unije sestavljata dve sodišči:</w:t>
      </w:r>
    </w:p>
    <w:p w14:paraId="32DBBA5C" w14:textId="77777777" w:rsidR="00695AE2" w:rsidRPr="00CB5050" w:rsidRDefault="00695AE2" w:rsidP="00695AE2">
      <w:pPr>
        <w:numPr>
          <w:ilvl w:val="0"/>
          <w:numId w:val="114"/>
        </w:numPr>
        <w:spacing w:after="160" w:line="240" w:lineRule="auto"/>
        <w:jc w:val="both"/>
        <w:rPr>
          <w:rFonts w:eastAsia="Calibri"/>
        </w:rPr>
      </w:pPr>
      <w:r w:rsidRPr="00CB5050">
        <w:rPr>
          <w:rFonts w:eastAsia="Calibri"/>
        </w:rPr>
        <w:t>Sodišče (SEU ali Sodišče) in</w:t>
      </w:r>
    </w:p>
    <w:p w14:paraId="32892CA6" w14:textId="77777777" w:rsidR="00695AE2" w:rsidRPr="00CB5050" w:rsidRDefault="00695AE2" w:rsidP="00695AE2">
      <w:pPr>
        <w:numPr>
          <w:ilvl w:val="0"/>
          <w:numId w:val="114"/>
        </w:numPr>
        <w:spacing w:after="160" w:line="240" w:lineRule="auto"/>
        <w:jc w:val="both"/>
        <w:rPr>
          <w:rFonts w:eastAsia="Calibri"/>
        </w:rPr>
      </w:pPr>
      <w:r w:rsidRPr="00CB5050">
        <w:rPr>
          <w:rFonts w:eastAsia="Calibri"/>
        </w:rPr>
        <w:t>Splošno sodišče (SSEU)</w:t>
      </w:r>
    </w:p>
    <w:p w14:paraId="5382A2E3" w14:textId="77777777" w:rsidR="00695AE2" w:rsidRPr="00CB5050" w:rsidRDefault="00695AE2" w:rsidP="00695AE2">
      <w:pPr>
        <w:spacing w:line="240" w:lineRule="auto"/>
        <w:jc w:val="both"/>
        <w:rPr>
          <w:rFonts w:eastAsia="Calibri"/>
        </w:rPr>
      </w:pPr>
    </w:p>
    <w:p w14:paraId="55AFBC59" w14:textId="77777777" w:rsidR="00695AE2" w:rsidRPr="00CB5050" w:rsidRDefault="00695AE2" w:rsidP="00695AE2">
      <w:pPr>
        <w:spacing w:line="240" w:lineRule="auto"/>
        <w:jc w:val="both"/>
        <w:rPr>
          <w:rFonts w:eastAsia="Calibri"/>
          <w:color w:val="007466"/>
        </w:rPr>
      </w:pPr>
      <w:r w:rsidRPr="00CB5050">
        <w:rPr>
          <w:rFonts w:eastAsia="Calibri"/>
          <w:color w:val="007466"/>
        </w:rPr>
        <w:t>SEU je pristojno za:</w:t>
      </w:r>
    </w:p>
    <w:p w14:paraId="51D99306" w14:textId="77777777" w:rsidR="00695AE2" w:rsidRPr="00CB5050" w:rsidRDefault="00695AE2" w:rsidP="00695AE2">
      <w:pPr>
        <w:numPr>
          <w:ilvl w:val="0"/>
          <w:numId w:val="115"/>
        </w:numPr>
        <w:spacing w:after="160" w:line="240" w:lineRule="auto"/>
        <w:ind w:left="357" w:hanging="357"/>
        <w:jc w:val="both"/>
        <w:rPr>
          <w:rFonts w:eastAsia="Calibri"/>
        </w:rPr>
      </w:pPr>
      <w:r w:rsidRPr="00CB5050">
        <w:rPr>
          <w:rFonts w:eastAsia="Calibri"/>
        </w:rPr>
        <w:t>postopke predhodnega odločanja, katerih namen je zagotoviti učinkovito in enotno uporabo zakonodaje Unije. S tem namenom lahko nacionalni sodniki nanj naslovijo vprašanje (včasih ga morajo) s predlogom za razlago nekega pravnega akta Unije. SEU o predlogu predložitvenega sodišča odloči s sodbo ali z obrazloženim sklepom. Nacionalno sodišče, ki je predlog za sprejem predhodne odločbe naslovilo na SEU, je pri obravnavanju spora vezano na dano razlago. Sodba SEU je zavezujoča tudi za druga nacionalna sodišča;</w:t>
      </w:r>
    </w:p>
    <w:p w14:paraId="22EA2E37" w14:textId="77777777" w:rsidR="00695AE2" w:rsidRPr="00CB5050" w:rsidRDefault="00695AE2" w:rsidP="00695AE2">
      <w:pPr>
        <w:numPr>
          <w:ilvl w:val="0"/>
          <w:numId w:val="115"/>
        </w:numPr>
        <w:spacing w:after="160" w:line="240" w:lineRule="auto"/>
        <w:ind w:left="357" w:hanging="357"/>
        <w:jc w:val="both"/>
        <w:rPr>
          <w:rFonts w:eastAsia="Calibri"/>
        </w:rPr>
      </w:pPr>
      <w:r w:rsidRPr="00CB5050">
        <w:rPr>
          <w:rFonts w:eastAsia="Calibri"/>
        </w:rPr>
        <w:t>tožbe zaradi neizpolnitve obveznosti, ki omogočajo SEU nadzor nad tem, ali države članice spoštujejo obveznosti, ki jih imajo na podlagi prava Unije. Tožbo lahko vloži Evropska komisija (v nadaljevanju: Komisija) ali druga država članica;</w:t>
      </w:r>
    </w:p>
    <w:p w14:paraId="0CFBB014" w14:textId="77777777" w:rsidR="00695AE2" w:rsidRPr="00CB5050" w:rsidRDefault="00695AE2" w:rsidP="00695AE2">
      <w:pPr>
        <w:numPr>
          <w:ilvl w:val="0"/>
          <w:numId w:val="115"/>
        </w:numPr>
        <w:spacing w:after="160" w:line="240" w:lineRule="auto"/>
        <w:ind w:left="357" w:hanging="357"/>
        <w:jc w:val="both"/>
        <w:rPr>
          <w:rFonts w:eastAsia="Calibri"/>
        </w:rPr>
      </w:pPr>
      <w:r w:rsidRPr="00CB5050">
        <w:rPr>
          <w:rFonts w:eastAsia="Calibri"/>
        </w:rPr>
        <w:t>ničnostne tožbe, s katerimi tožeče stranke zahtevajo razglasitev ničnosti akta institucije, organa, urada ali agencije Unije (zlasti uredbe, direktive, odločbe). V pristojnosti SEU so tožbe države članice proti Evropskemu parlamentu oziroma Svetu (razen proti aktom le-tega s področja državnih pomoči, dampinga in izvršilnih pooblastil) in tožbe ene institucije Unije proti drugi instituciji. Splošno sodišče je pristojno za obravnavanje vseh drugih tožb te vrste na prvi stopnji, predvsem tistih, ki jih vložijo posamezniki;</w:t>
      </w:r>
    </w:p>
    <w:p w14:paraId="2E9E964E" w14:textId="77777777" w:rsidR="00695AE2" w:rsidRPr="00CB5050" w:rsidRDefault="00695AE2" w:rsidP="00695AE2">
      <w:pPr>
        <w:numPr>
          <w:ilvl w:val="0"/>
          <w:numId w:val="115"/>
        </w:numPr>
        <w:spacing w:after="160" w:line="240" w:lineRule="auto"/>
        <w:ind w:left="357" w:hanging="357"/>
        <w:jc w:val="both"/>
        <w:rPr>
          <w:rFonts w:eastAsia="Calibri"/>
        </w:rPr>
      </w:pPr>
      <w:r w:rsidRPr="00CB5050">
        <w:rPr>
          <w:rFonts w:eastAsia="Calibri"/>
        </w:rPr>
        <w:t>tožbe zaradi nedelovanja. Ta tožba omogoča SEU nadzor nad zakonitostjo nedelovanja institucij, organov, uradov in agencij Unije. Vložiti jo je mogoče le po tem, ko je bila zadevna institucija pozvana k delovanju. Če se ugotovi nezakonitost opustitve, mora zadevna institucija sprejeti ustrezne ukrepe za prenehanje nedelovanja. Pristojnost za odločanje o tožbi zaradi nedelovanja si delita SEU in SSEU po merilih, kakršna veljajo za ničnostne tožbe;</w:t>
      </w:r>
    </w:p>
    <w:p w14:paraId="14F8FA2B" w14:textId="77777777" w:rsidR="00695AE2" w:rsidRPr="00CB5050" w:rsidRDefault="00695AE2" w:rsidP="00695AE2">
      <w:pPr>
        <w:numPr>
          <w:ilvl w:val="0"/>
          <w:numId w:val="115"/>
        </w:numPr>
        <w:spacing w:after="160" w:line="240" w:lineRule="auto"/>
        <w:ind w:left="357" w:hanging="357"/>
        <w:jc w:val="both"/>
        <w:rPr>
          <w:rFonts w:eastAsia="Calibri"/>
        </w:rPr>
      </w:pPr>
      <w:r w:rsidRPr="00CB5050">
        <w:rPr>
          <w:rFonts w:eastAsia="Calibri"/>
        </w:rPr>
        <w:t>pritožbe zoper končne odločitve SSEU. Pri SEU je mogoče vložiti pritožbe, omejene na pravna vprašanja, zoper sodbe in sklepe SSEU. Če je pritožba dopustna in utemeljena, SEU odločitev SSEU razveljavi. Če je zadeva zrela za odločanje, lahko SEU samo odloči o sporu. Sicer zadevo vrne SSEU, ki je vezano na odločitev SEU v okviru pritožbe.</w:t>
      </w:r>
    </w:p>
    <w:p w14:paraId="2EA1F034" w14:textId="77777777" w:rsidR="00695AE2" w:rsidRPr="00CB5050" w:rsidRDefault="00695AE2" w:rsidP="00695AE2">
      <w:pPr>
        <w:spacing w:line="240" w:lineRule="auto"/>
        <w:jc w:val="both"/>
        <w:rPr>
          <w:rFonts w:eastAsia="Calibri"/>
        </w:rPr>
      </w:pPr>
    </w:p>
    <w:p w14:paraId="1588D7A8" w14:textId="77777777" w:rsidR="00695AE2" w:rsidRPr="00CB5050" w:rsidRDefault="00695AE2" w:rsidP="00695AE2">
      <w:pPr>
        <w:spacing w:line="240" w:lineRule="auto"/>
        <w:jc w:val="both"/>
        <w:rPr>
          <w:rFonts w:eastAsia="Calibri"/>
          <w:color w:val="007466"/>
        </w:rPr>
      </w:pPr>
      <w:r w:rsidRPr="00CB5050">
        <w:rPr>
          <w:rFonts w:eastAsia="Calibri"/>
          <w:color w:val="007466"/>
        </w:rPr>
        <w:t>SSEU je pristojno za obravnavo:</w:t>
      </w:r>
    </w:p>
    <w:p w14:paraId="3DC5F690"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postopke predhodnega odločanja na šestih, z zadnjo spremembo Statuta Sodišča EU določenih področjih (skupni sistem davka na dodano vrednost, trošarine, carinski zakonik, tarifna uvrstitev blaga v kombinirano nomenklaturo, odškodnina in pomoč potnikom v primeru zavrnitve vkrcanja ali zamude ali odpovedi prevoznih storitev in sistem za trgovanje s pravicami do emisije toplogrednih plinov), razen če te zadeve zahtevajo načelno odločitev, ki bi lahko vplivala na enotnost ali doslednost prava EU; tako kot pri postopkih predhodnega odločanja, ki ostajajo v pristojnosti SEU, je tudi namen teh postopkov zagotoviti učinkovito in enotno uporabo pravnega reda Unije;</w:t>
      </w:r>
    </w:p>
    <w:p w14:paraId="6E90C46E"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lastRenderedPageBreak/>
        <w:t xml:space="preserve">neposrednih tožb fizičnih ali pravnih oseb zoper akte institucij, organov, uradov in agencij Evropske unije (na katere so naslovljeni ali ki se nanje neposredno in posamično nanašajo) ter zoper predpise (ki se nanje neposredno nanašajo, vendar ne potrebujejo izvedbenih ukrepov) in zoper neodločanje teh institucij, organov, uradov in agencij. Gre na primer za tožbo, ki jo vloži podjetje zoper odločbo Evropske komisije, ki mu nalaga denarno kazen; </w:t>
      </w:r>
    </w:p>
    <w:p w14:paraId="42CCB329"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tožb držav članic zoper Komisijo;</w:t>
      </w:r>
    </w:p>
    <w:p w14:paraId="420207D5"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 xml:space="preserve">tožb držav članic zoper Svet v zvezi s sprejetimi akti glede državnih pomoči, ukrepi trgovinske zaščite </w:t>
      </w:r>
      <w:r w:rsidRPr="00CB5050">
        <w:rPr>
          <w:rFonts w:eastAsia="Calibri"/>
          <w:i/>
          <w:iCs/>
        </w:rPr>
        <w:t xml:space="preserve">(damping) </w:t>
      </w:r>
      <w:r w:rsidRPr="00CB5050">
        <w:rPr>
          <w:rFonts w:eastAsia="Calibri"/>
        </w:rPr>
        <w:t xml:space="preserve">in akti, s katerimi prenese pristojnost za izvajanje; </w:t>
      </w:r>
    </w:p>
    <w:p w14:paraId="62F34B59"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tožb za povrnitev škode, ki so jo povzročile institucije Evropske unije ali njihovi uslužbenci;</w:t>
      </w:r>
    </w:p>
    <w:p w14:paraId="2A9E6E6C"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tožb, ki temeljijo na pogodbah, ki jih je sklenila Evropska unija, ki izrecno določajo pristojnost SSEU;</w:t>
      </w:r>
    </w:p>
    <w:p w14:paraId="1AFEFDF4"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tožb s področja intelektualne lastnine zoper odločbe odbora za pritožbe pri Uradu za usklajevanje na notranjem trgu (znamke in modeli);</w:t>
      </w:r>
    </w:p>
    <w:p w14:paraId="43612F84" w14:textId="77777777" w:rsidR="00695AE2" w:rsidRPr="00CB5050" w:rsidRDefault="00695AE2" w:rsidP="00695AE2">
      <w:pPr>
        <w:numPr>
          <w:ilvl w:val="0"/>
          <w:numId w:val="116"/>
        </w:numPr>
        <w:spacing w:after="160" w:line="240" w:lineRule="auto"/>
        <w:ind w:left="357" w:hanging="357"/>
        <w:jc w:val="both"/>
        <w:rPr>
          <w:rFonts w:eastAsia="Calibri"/>
        </w:rPr>
      </w:pPr>
      <w:r w:rsidRPr="00CB5050">
        <w:rPr>
          <w:rFonts w:eastAsia="Calibri"/>
        </w:rPr>
        <w:t xml:space="preserve">sporov med institucijami Evropske unije in njihovim osebjem glede delovnih razmerij in sistema socialne varnosti. </w:t>
      </w:r>
    </w:p>
    <w:p w14:paraId="039F5BEF" w14:textId="77777777" w:rsidR="00695AE2" w:rsidRPr="00CB5050" w:rsidRDefault="00695AE2" w:rsidP="00695AE2">
      <w:pPr>
        <w:spacing w:line="240" w:lineRule="auto"/>
        <w:jc w:val="both"/>
        <w:rPr>
          <w:rFonts w:eastAsia="Calibri"/>
        </w:rPr>
      </w:pPr>
      <w:r w:rsidRPr="00CB5050">
        <w:rPr>
          <w:rFonts w:eastAsia="Calibri"/>
        </w:rPr>
        <w:t>Zoper odločbe, ki jih sprejme SSEU, je mogoče v roku dveh mesecev vložiti pritožbo na SEU, vendar zgolj glede pravnih vprašanj.</w:t>
      </w:r>
    </w:p>
    <w:p w14:paraId="139693AE" w14:textId="77777777" w:rsidR="00695AE2" w:rsidRPr="00CB5050" w:rsidRDefault="00695AE2" w:rsidP="00695AE2">
      <w:pPr>
        <w:pStyle w:val="Jasna"/>
      </w:pPr>
    </w:p>
    <w:p w14:paraId="12AC38FF" w14:textId="77777777" w:rsidR="00695AE2" w:rsidRPr="00CB5050" w:rsidRDefault="00695AE2" w:rsidP="00695AE2">
      <w:pPr>
        <w:pStyle w:val="Naslov4"/>
      </w:pPr>
      <w:bookmarkStart w:id="1115" w:name="_Toc168845100"/>
      <w:bookmarkStart w:id="1116" w:name="_Toc191562100"/>
      <w:bookmarkStart w:id="1117" w:name="_Toc223094095"/>
      <w:r w:rsidRPr="00CB5050">
        <w:t>Postopkovna pravila</w:t>
      </w:r>
      <w:bookmarkEnd w:id="1115"/>
      <w:bookmarkEnd w:id="1116"/>
      <w:bookmarkEnd w:id="1117"/>
      <w:r w:rsidRPr="00CB5050">
        <w:t xml:space="preserve"> </w:t>
      </w:r>
    </w:p>
    <w:p w14:paraId="74133B1B" w14:textId="77777777" w:rsidR="00695AE2" w:rsidRPr="00CB5050" w:rsidRDefault="00695AE2" w:rsidP="00695AE2">
      <w:pPr>
        <w:spacing w:line="240" w:lineRule="auto"/>
        <w:jc w:val="both"/>
        <w:rPr>
          <w:rFonts w:eastAsia="Calibri"/>
        </w:rPr>
      </w:pPr>
    </w:p>
    <w:p w14:paraId="20CF604D" w14:textId="77777777" w:rsidR="00695AE2" w:rsidRPr="00CB5050" w:rsidRDefault="00695AE2" w:rsidP="00695AE2">
      <w:pPr>
        <w:spacing w:line="240" w:lineRule="auto"/>
        <w:jc w:val="both"/>
        <w:rPr>
          <w:rFonts w:eastAsia="Calibri"/>
        </w:rPr>
      </w:pPr>
      <w:r w:rsidRPr="00CB5050">
        <w:rPr>
          <w:rFonts w:eastAsia="Calibri"/>
        </w:rPr>
        <w:t xml:space="preserve">V skladu s postopkovnimi pravili obeh sodišč Evropske unije se vsak predlog za sprejetje predhodne odločbe, vložen na podlagi 267. člena PDEU, vroči vsem državam članicam EU, ki se nato lahko vključijo v postopek. Aktivna vključitev v postopek je možna vse do ustne obravnave. Sodbe, ki jih izdata SEU in SSEU v zadevah predhodnega odločanja (gre za odločitve o razlagi in veljavnosti prava EU), so zaradi njihovega </w:t>
      </w:r>
      <w:r w:rsidRPr="00CB5050">
        <w:rPr>
          <w:rFonts w:eastAsia="Calibri"/>
          <w:i/>
        </w:rPr>
        <w:t>erga omnes</w:t>
      </w:r>
      <w:r w:rsidRPr="00CB5050">
        <w:rPr>
          <w:rFonts w:eastAsia="Calibri"/>
        </w:rPr>
        <w:t xml:space="preserve"> učinka pomembne za vse države članice. Razlaga, ki jo sprejmeta sodišči, je namreč obvezna za vse države članice. Po sodni praksi SEU je kot kršitev prava Evropske unije opredeljeno tudi neupoštevanje razlage prava Evropske unije, kakor jo je podalo SEU, zato so države članice zaradi neupoštevanja razlage prava EU lahko celo tožene. S tega vidika je nujno, da država te postopke spremlja in se seznani z vsemi sodbami SEU in SSEU. </w:t>
      </w:r>
    </w:p>
    <w:p w14:paraId="4EAE31FA" w14:textId="77777777" w:rsidR="00695AE2" w:rsidRPr="00CB5050" w:rsidRDefault="00695AE2" w:rsidP="00695AE2">
      <w:pPr>
        <w:spacing w:line="240" w:lineRule="auto"/>
        <w:jc w:val="both"/>
        <w:rPr>
          <w:rFonts w:eastAsia="Calibri"/>
        </w:rPr>
      </w:pPr>
    </w:p>
    <w:p w14:paraId="0BC03304" w14:textId="77777777" w:rsidR="00695AE2" w:rsidRPr="00CB5050" w:rsidRDefault="00695AE2" w:rsidP="00695AE2">
      <w:pPr>
        <w:spacing w:line="240" w:lineRule="auto"/>
        <w:jc w:val="both"/>
        <w:rPr>
          <w:rFonts w:eastAsia="Calibri"/>
        </w:rPr>
      </w:pPr>
      <w:r w:rsidRPr="00CB5050">
        <w:rPr>
          <w:rFonts w:eastAsia="Calibri"/>
        </w:rPr>
        <w:t xml:space="preserve">Državam članicam se vročajo tudi vse odločbe SSEU, izdane v postopkih med drugimi državami članicami in/ali institucijami. V skladu z določbami 56. člena Protokola o Statutu Sodišča Evropske unije so države članice kot privilegirani udeleženci upravičene vložiti pritožbo zoper odločbo SSEU tudi v zadevah, ki jih neposredno ne zadevajo. Države članice lahko na podlagi tretjega odstavka istega člena statuta vložijo pritožbo zoper odločbo SSEU tudi v zadevah, v katerih se postopka pred navedenim sodiščem niso udeležile. Pritožbo morajo vložiti v roku dveh mesecev od prejema obvestila o sodbi, postopek po pritožbi pa teče pred SEU. </w:t>
      </w:r>
    </w:p>
    <w:p w14:paraId="6771E935" w14:textId="77777777" w:rsidR="00695AE2" w:rsidRPr="00115A72" w:rsidRDefault="00695AE2" w:rsidP="00695AE2">
      <w:pPr>
        <w:pStyle w:val="Jasna"/>
        <w:rPr>
          <w:sz w:val="28"/>
          <w:szCs w:val="28"/>
        </w:rPr>
      </w:pPr>
      <w:bookmarkStart w:id="1118" w:name="_Toc168845101"/>
      <w:bookmarkStart w:id="1119" w:name="_Toc191562101"/>
    </w:p>
    <w:p w14:paraId="180C7E68" w14:textId="77777777" w:rsidR="00695AE2" w:rsidRPr="00CB5050" w:rsidRDefault="00695AE2" w:rsidP="00695AE2">
      <w:pPr>
        <w:pStyle w:val="Naslov3"/>
      </w:pPr>
      <w:r>
        <w:t xml:space="preserve"> </w:t>
      </w:r>
      <w:bookmarkStart w:id="1120" w:name="_Toc223094096"/>
      <w:r w:rsidRPr="00CB5050">
        <w:t>Statisti</w:t>
      </w:r>
      <w:bookmarkEnd w:id="1118"/>
      <w:r w:rsidRPr="00CB5050">
        <w:t>čni podatki</w:t>
      </w:r>
      <w:bookmarkEnd w:id="1119"/>
      <w:bookmarkEnd w:id="1120"/>
    </w:p>
    <w:p w14:paraId="325A21B1" w14:textId="77777777" w:rsidR="00695AE2" w:rsidRPr="00CB5050" w:rsidRDefault="00695AE2" w:rsidP="00695AE2">
      <w:pPr>
        <w:spacing w:line="240" w:lineRule="auto"/>
        <w:jc w:val="both"/>
        <w:rPr>
          <w:rFonts w:eastAsia="Calibri"/>
          <w:sz w:val="28"/>
          <w:szCs w:val="28"/>
        </w:rPr>
      </w:pPr>
    </w:p>
    <w:p w14:paraId="46CB48D6" w14:textId="77777777" w:rsidR="00695AE2" w:rsidRPr="00CB5050" w:rsidRDefault="00695AE2" w:rsidP="00695AE2">
      <w:pPr>
        <w:spacing w:line="240" w:lineRule="auto"/>
        <w:jc w:val="both"/>
        <w:rPr>
          <w:rFonts w:eastAsia="Calibri"/>
        </w:rPr>
      </w:pPr>
      <w:r w:rsidRPr="00CB5050">
        <w:rPr>
          <w:rFonts w:eastAsia="Calibri"/>
        </w:rPr>
        <w:t xml:space="preserve">Predstavljene številke zajemajo zadeve, v katere se je Slovenija vključila kot udeleženec ali je imela položaj stranke, ter tudi preostale zadeve. </w:t>
      </w:r>
    </w:p>
    <w:p w14:paraId="7FB602CB" w14:textId="77777777" w:rsidR="00695AE2" w:rsidRPr="00CB5050" w:rsidRDefault="00695AE2" w:rsidP="00695AE2">
      <w:pPr>
        <w:spacing w:line="240" w:lineRule="auto"/>
        <w:jc w:val="both"/>
        <w:rPr>
          <w:rFonts w:eastAsia="Calibri"/>
          <w:highlight w:val="yellow"/>
        </w:rPr>
      </w:pPr>
    </w:p>
    <w:p w14:paraId="049629C6" w14:textId="77777777" w:rsidR="00695AE2" w:rsidRPr="00CB5050" w:rsidRDefault="00695AE2" w:rsidP="00695AE2">
      <w:pPr>
        <w:spacing w:line="240" w:lineRule="auto"/>
        <w:jc w:val="both"/>
        <w:rPr>
          <w:rFonts w:eastAsia="Calibri"/>
        </w:rPr>
      </w:pPr>
      <w:r w:rsidRPr="00CB5050">
        <w:rPr>
          <w:rFonts w:eastAsia="Calibri"/>
        </w:rPr>
        <w:t xml:space="preserve">SEU je v letu 2025 Državnemu odvetništvu RS vročilo 513 zadev. Skupno je imelo Državno odvetništvo RS v letu 2025 v delu 1.135 zadev iz pristojnosti SEU. Državno odvetništvo RS je v letu 2025 zaključilo 463 zadev ter imelo na dan 31. 12. 2025 odprtih 672 zadev iz pristojnosti SEU. </w:t>
      </w:r>
    </w:p>
    <w:p w14:paraId="0FCD4682" w14:textId="77777777" w:rsidR="00695AE2" w:rsidRPr="00CB5050" w:rsidRDefault="00695AE2" w:rsidP="00695AE2">
      <w:pPr>
        <w:spacing w:line="240" w:lineRule="auto"/>
        <w:jc w:val="both"/>
        <w:rPr>
          <w:rFonts w:eastAsia="Calibri"/>
        </w:rPr>
      </w:pPr>
    </w:p>
    <w:p w14:paraId="511697D5" w14:textId="77777777" w:rsidR="00695AE2" w:rsidRPr="00CB5050" w:rsidRDefault="00695AE2" w:rsidP="00695AE2">
      <w:pPr>
        <w:spacing w:line="240" w:lineRule="auto"/>
        <w:jc w:val="both"/>
        <w:rPr>
          <w:rFonts w:eastAsia="Calibri"/>
        </w:rPr>
      </w:pPr>
      <w:r w:rsidRPr="00CB5050">
        <w:rPr>
          <w:rFonts w:eastAsia="Calibri"/>
        </w:rPr>
        <w:t>SSEU je Državnemu odvetništvu RS v letu 2025 vročilo 705 zadev. Skupno je imelo Državno odvetništvo RS v letu 2025 v delu 836 zadev iz pristojnosti SSEU. Državno odvetništvo RS je v letu 2025 zaključilo 748 zadev ter imelo na dan 31. 12. 2025 odprtih 88 zadev iz pristojnosti SSEU.</w:t>
      </w:r>
    </w:p>
    <w:p w14:paraId="6ACB9F77" w14:textId="77777777" w:rsidR="00695AE2" w:rsidRPr="00CB5050" w:rsidRDefault="00695AE2" w:rsidP="00695AE2">
      <w:pPr>
        <w:spacing w:line="240" w:lineRule="auto"/>
        <w:jc w:val="both"/>
        <w:rPr>
          <w:rFonts w:eastAsia="Calibri"/>
          <w:sz w:val="28"/>
          <w:szCs w:val="28"/>
        </w:rPr>
      </w:pPr>
    </w:p>
    <w:p w14:paraId="20B19750" w14:textId="77777777" w:rsidR="00695AE2" w:rsidRPr="00CB5050" w:rsidRDefault="00695AE2" w:rsidP="00695AE2">
      <w:pPr>
        <w:pStyle w:val="Naslov3"/>
      </w:pPr>
      <w:bookmarkStart w:id="1121" w:name="_Toc168845102"/>
      <w:bookmarkStart w:id="1122" w:name="_Toc191562102"/>
      <w:r>
        <w:t xml:space="preserve"> </w:t>
      </w:r>
      <w:bookmarkStart w:id="1123" w:name="_Toc223094097"/>
      <w:r w:rsidRPr="00CB5050">
        <w:t>Analiza primerjalnih vrednosti</w:t>
      </w:r>
      <w:bookmarkEnd w:id="1121"/>
      <w:bookmarkEnd w:id="1122"/>
      <w:bookmarkEnd w:id="1123"/>
    </w:p>
    <w:p w14:paraId="58068DEF" w14:textId="77777777" w:rsidR="00695AE2" w:rsidRPr="00CB5050" w:rsidRDefault="00695AE2" w:rsidP="00695AE2">
      <w:pPr>
        <w:spacing w:line="240" w:lineRule="auto"/>
        <w:jc w:val="both"/>
        <w:rPr>
          <w:rFonts w:eastAsia="Calibri"/>
          <w:sz w:val="28"/>
          <w:szCs w:val="28"/>
        </w:rPr>
      </w:pPr>
    </w:p>
    <w:p w14:paraId="0E7FFAAB" w14:textId="77777777" w:rsidR="00695AE2" w:rsidRPr="00CB5050" w:rsidRDefault="00695AE2" w:rsidP="00695AE2">
      <w:pPr>
        <w:spacing w:line="240" w:lineRule="auto"/>
        <w:jc w:val="both"/>
        <w:rPr>
          <w:rFonts w:eastAsia="Calibri"/>
        </w:rPr>
      </w:pPr>
      <w:r w:rsidRPr="00CB5050">
        <w:rPr>
          <w:rFonts w:eastAsia="Calibri"/>
        </w:rPr>
        <w:t>Sodišče Evropske unije je v letu 2025 Državnemu odvetništvu RS vročilo 1.218 zadev iz pristojnosti SEU in SSEU; iz pristojnosti obeh sodišč je bilo v letu 2025 skupaj v delu 1.971 zadev, zaključenih je bilo skupno 1.211 zadev, na dan 31. 12. 2025 pa je bilo skupno v delu še 760 zadev.</w:t>
      </w:r>
    </w:p>
    <w:p w14:paraId="5EC03ABA" w14:textId="77777777" w:rsidR="00695AE2" w:rsidRPr="00CB5050" w:rsidRDefault="00695AE2" w:rsidP="00695AE2">
      <w:pPr>
        <w:spacing w:line="240" w:lineRule="auto"/>
        <w:jc w:val="both"/>
        <w:rPr>
          <w:rFonts w:eastAsia="Calibri"/>
        </w:rPr>
      </w:pPr>
    </w:p>
    <w:p w14:paraId="0F99CBCA" w14:textId="77777777" w:rsidR="00695AE2" w:rsidRPr="00CB5050" w:rsidRDefault="00695AE2" w:rsidP="00695AE2">
      <w:pPr>
        <w:spacing w:line="240" w:lineRule="auto"/>
        <w:jc w:val="both"/>
        <w:rPr>
          <w:rFonts w:eastAsia="Calibri"/>
        </w:rPr>
      </w:pPr>
      <w:r w:rsidRPr="00CB5050">
        <w:rPr>
          <w:rFonts w:eastAsia="Calibri"/>
        </w:rPr>
        <w:t xml:space="preserve">V letu 2025 je SEU Državnemu odvetništvu RS vročilo 513 zadev, kar je 2,29 odstotka manj kot v letu 2024, ko je bilo Državnemu odvetništvu RS vročenih 525 zadev. </w:t>
      </w:r>
    </w:p>
    <w:p w14:paraId="1A2BAC2C" w14:textId="77777777" w:rsidR="00695AE2" w:rsidRPr="00CB5050" w:rsidRDefault="00695AE2" w:rsidP="00695AE2">
      <w:pPr>
        <w:spacing w:line="240" w:lineRule="auto"/>
        <w:jc w:val="both"/>
        <w:rPr>
          <w:rFonts w:eastAsia="Calibri"/>
        </w:rPr>
      </w:pPr>
    </w:p>
    <w:p w14:paraId="1878D8C5" w14:textId="77777777" w:rsidR="00695AE2" w:rsidRPr="00CB5050" w:rsidRDefault="00695AE2" w:rsidP="00695AE2">
      <w:pPr>
        <w:spacing w:line="240" w:lineRule="auto"/>
        <w:jc w:val="both"/>
        <w:rPr>
          <w:rFonts w:eastAsia="Calibri"/>
        </w:rPr>
      </w:pPr>
      <w:r w:rsidRPr="00CB5050">
        <w:rPr>
          <w:rFonts w:eastAsia="Calibri"/>
        </w:rPr>
        <w:t>Skupno je imelo Državno odvetništvo RS v letu 2025 v zadevah pred SEU v delu 1.135 zadev, kar je 3,24 odstotka manj kot v letu 2024, ko je v zadevah pred SEU imelo v delu 1.173 zadev.</w:t>
      </w:r>
    </w:p>
    <w:p w14:paraId="6F20CDAA" w14:textId="77777777" w:rsidR="00695AE2" w:rsidRPr="00CB5050" w:rsidRDefault="00695AE2" w:rsidP="00695AE2">
      <w:pPr>
        <w:spacing w:line="240" w:lineRule="auto"/>
        <w:jc w:val="both"/>
        <w:rPr>
          <w:rFonts w:eastAsia="Calibri"/>
        </w:rPr>
      </w:pPr>
    </w:p>
    <w:p w14:paraId="587ED344"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v letu 2025 zaključilo 463 zadev pred SEU, kar je 15,97 odstotka manj kot v letu 2024, ko je Državno odvetništvo RS pred SEU zaključilo 551 zadev. </w:t>
      </w:r>
    </w:p>
    <w:p w14:paraId="147BAFBF" w14:textId="77777777" w:rsidR="00695AE2" w:rsidRPr="00CB5050" w:rsidRDefault="00695AE2" w:rsidP="00695AE2">
      <w:pPr>
        <w:spacing w:line="240" w:lineRule="auto"/>
        <w:jc w:val="both"/>
        <w:rPr>
          <w:rFonts w:eastAsia="Calibri"/>
        </w:rPr>
      </w:pPr>
    </w:p>
    <w:p w14:paraId="6811F645" w14:textId="77777777" w:rsidR="00695AE2" w:rsidRPr="00CB5050" w:rsidRDefault="00695AE2" w:rsidP="00695AE2">
      <w:pPr>
        <w:spacing w:line="240" w:lineRule="auto"/>
        <w:jc w:val="both"/>
        <w:rPr>
          <w:rFonts w:eastAsia="Calibri"/>
        </w:rPr>
      </w:pPr>
      <w:r w:rsidRPr="00CB5050">
        <w:rPr>
          <w:rFonts w:eastAsia="Calibri"/>
        </w:rPr>
        <w:t xml:space="preserve">Na dan 31. 12. 2025 je bilo odprtih 672 zadev pred SEU, kar je 8,04 odstotka več kot na dan 31. 12. 2024, ko je bilo pred SEU odprtih 622 zadev. </w:t>
      </w:r>
    </w:p>
    <w:p w14:paraId="1421A4A3" w14:textId="77777777" w:rsidR="00695AE2" w:rsidRPr="00CB5050" w:rsidRDefault="00695AE2" w:rsidP="00695AE2">
      <w:pPr>
        <w:spacing w:line="240" w:lineRule="auto"/>
        <w:jc w:val="both"/>
        <w:rPr>
          <w:rFonts w:eastAsia="Calibri"/>
        </w:rPr>
      </w:pPr>
    </w:p>
    <w:p w14:paraId="69B5C672" w14:textId="77777777" w:rsidR="00695AE2" w:rsidRPr="00CB5050" w:rsidRDefault="00695AE2" w:rsidP="00695AE2">
      <w:pPr>
        <w:tabs>
          <w:tab w:val="left" w:pos="7020"/>
        </w:tabs>
        <w:spacing w:line="240" w:lineRule="auto"/>
        <w:jc w:val="both"/>
        <w:rPr>
          <w:rFonts w:eastAsia="Calibri"/>
        </w:rPr>
      </w:pPr>
      <w:r w:rsidRPr="00CB5050">
        <w:rPr>
          <w:rFonts w:eastAsia="Calibri"/>
        </w:rPr>
        <w:t>SSEU je Državnemu odvetništvu RS v letu 2025 vročilo 705 zadev, kar je 15,57 odstotka več kot v letu 2024, ko je bilo vročenih 610 zadev.</w:t>
      </w:r>
    </w:p>
    <w:p w14:paraId="7D8AFD52" w14:textId="77777777" w:rsidR="00695AE2" w:rsidRPr="00CB5050" w:rsidRDefault="00695AE2" w:rsidP="00695AE2">
      <w:pPr>
        <w:tabs>
          <w:tab w:val="left" w:pos="7020"/>
        </w:tabs>
        <w:spacing w:line="240" w:lineRule="auto"/>
        <w:jc w:val="both"/>
        <w:rPr>
          <w:rFonts w:eastAsia="Calibri"/>
        </w:rPr>
      </w:pPr>
    </w:p>
    <w:p w14:paraId="582520EF" w14:textId="77777777" w:rsidR="00695AE2" w:rsidRPr="00CB5050" w:rsidRDefault="00695AE2" w:rsidP="00695AE2">
      <w:pPr>
        <w:tabs>
          <w:tab w:val="left" w:pos="7020"/>
        </w:tabs>
        <w:spacing w:line="240" w:lineRule="auto"/>
        <w:jc w:val="both"/>
        <w:rPr>
          <w:rFonts w:eastAsia="Calibri"/>
        </w:rPr>
      </w:pPr>
      <w:r w:rsidRPr="00CB5050">
        <w:rPr>
          <w:rFonts w:eastAsia="Calibri"/>
        </w:rPr>
        <w:t xml:space="preserve">Skupno je imelo Državno odvetništvo RS v letu 2025 v delu 836 zadev pred SSEU, kar je 13,59 odstotka več kot v letu 2024, ko je Državno odvetništvo RS pred SSEU imelo v delu skupno 736 zadev. </w:t>
      </w:r>
    </w:p>
    <w:p w14:paraId="236D4B44" w14:textId="77777777" w:rsidR="00695AE2" w:rsidRPr="00CB5050" w:rsidRDefault="00695AE2" w:rsidP="00695AE2">
      <w:pPr>
        <w:tabs>
          <w:tab w:val="left" w:pos="7020"/>
        </w:tabs>
        <w:spacing w:line="240" w:lineRule="auto"/>
        <w:jc w:val="both"/>
        <w:rPr>
          <w:rFonts w:eastAsia="Calibri"/>
        </w:rPr>
      </w:pPr>
    </w:p>
    <w:p w14:paraId="32ED2C65" w14:textId="77777777" w:rsidR="00695AE2" w:rsidRPr="00CB5050" w:rsidRDefault="00695AE2" w:rsidP="00695AE2">
      <w:pPr>
        <w:tabs>
          <w:tab w:val="left" w:pos="7020"/>
        </w:tabs>
        <w:spacing w:line="240" w:lineRule="auto"/>
        <w:jc w:val="both"/>
        <w:rPr>
          <w:rFonts w:eastAsia="Calibri"/>
        </w:rPr>
      </w:pPr>
      <w:r w:rsidRPr="00CB5050">
        <w:rPr>
          <w:rFonts w:eastAsia="Calibri"/>
        </w:rPr>
        <w:t xml:space="preserve">Državno odvetništvo RS je v letu 2025 zaključilo 748 zadev pred SSEU, kar je 23,64 odstotka več kot v letu 2024, ko je Državno odvetništvo RS zaključilo 605 zadev pred SSEU. </w:t>
      </w:r>
    </w:p>
    <w:p w14:paraId="4FCCFD7A" w14:textId="77777777" w:rsidR="00695AE2" w:rsidRPr="00CB5050" w:rsidRDefault="00695AE2" w:rsidP="00695AE2">
      <w:pPr>
        <w:spacing w:line="240" w:lineRule="auto"/>
        <w:jc w:val="both"/>
        <w:rPr>
          <w:rFonts w:eastAsia="Calibri"/>
        </w:rPr>
      </w:pPr>
    </w:p>
    <w:p w14:paraId="0625028C" w14:textId="77777777" w:rsidR="00695AE2" w:rsidRPr="00CB5050" w:rsidRDefault="00695AE2" w:rsidP="00695AE2">
      <w:pPr>
        <w:tabs>
          <w:tab w:val="left" w:pos="7020"/>
        </w:tabs>
        <w:spacing w:line="240" w:lineRule="auto"/>
        <w:jc w:val="both"/>
        <w:rPr>
          <w:rFonts w:eastAsia="Calibri"/>
        </w:rPr>
      </w:pPr>
      <w:r w:rsidRPr="00CB5050">
        <w:rPr>
          <w:rFonts w:eastAsia="Calibri"/>
        </w:rPr>
        <w:t>Na dan 31. 12. 2025 je bilo odprtih 88 zadev pred SSEU, kar je 32,82 odstotka manj kot na dan 31. 12. 2024, ko je bilo odprtih 131 zadev pred SSEU.</w:t>
      </w:r>
    </w:p>
    <w:p w14:paraId="54DF6470"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p>
    <w:p w14:paraId="191D03A4"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pacing w:val="1"/>
          <w:sz w:val="20"/>
          <w:szCs w:val="20"/>
        </w:rPr>
      </w:pPr>
      <w:r w:rsidRPr="00CB5050">
        <w:rPr>
          <w:rFonts w:eastAsia="Calibri"/>
          <w:b/>
          <w:color w:val="007466"/>
          <w:spacing w:val="1"/>
          <w:sz w:val="20"/>
          <w:szCs w:val="20"/>
        </w:rPr>
        <w:t>Grafikon: Število prejetih zadev v postopkih pred SEU in SSEU v obdobju 2021 – 2025</w:t>
      </w:r>
    </w:p>
    <w:p w14:paraId="09217416"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b/>
          <w:color w:val="007466"/>
          <w:spacing w:val="1"/>
        </w:rPr>
      </w:pPr>
    </w:p>
    <w:p w14:paraId="636F2ABC" w14:textId="77777777" w:rsidR="00695AE2" w:rsidRPr="00CB5050" w:rsidRDefault="00695AE2" w:rsidP="00695AE2">
      <w:pPr>
        <w:spacing w:line="240" w:lineRule="auto"/>
        <w:contextualSpacing/>
        <w:jc w:val="center"/>
        <w:rPr>
          <w:rFonts w:eastAsia="Calibri"/>
        </w:rPr>
      </w:pPr>
      <w:r w:rsidRPr="00CB5050">
        <w:rPr>
          <w:rFonts w:eastAsia="Calibri"/>
          <w:noProof/>
        </w:rPr>
        <w:lastRenderedPageBreak/>
        <w:drawing>
          <wp:inline distT="0" distB="0" distL="0" distR="0" wp14:anchorId="42F55899" wp14:editId="5954C231">
            <wp:extent cx="4584700" cy="2773680"/>
            <wp:effectExtent l="0" t="0" r="6350" b="7620"/>
            <wp:docPr id="1389651867" name="Slika 1" descr="Slika, ki vsebuje besede besedilo, posnetek zaslona, pravokotnik,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51867" name="Slika 1" descr="Slika, ki vsebuje besede besedilo, posnetek zaslona, pravokotnik, številka&#10;&#10;Vsebina, ustvarjena z UI, morda ni praviln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3AC757B9" w14:textId="77777777" w:rsidR="00695AE2" w:rsidRPr="00CB5050" w:rsidRDefault="00695AE2" w:rsidP="00695AE2">
      <w:pPr>
        <w:spacing w:line="240" w:lineRule="auto"/>
        <w:jc w:val="both"/>
        <w:rPr>
          <w:rFonts w:eastAsia="Calibri"/>
        </w:rPr>
      </w:pPr>
    </w:p>
    <w:p w14:paraId="0C7D1D7E" w14:textId="77777777" w:rsidR="00695AE2" w:rsidRPr="00CB5050" w:rsidRDefault="00695AE2" w:rsidP="00695AE2">
      <w:pPr>
        <w:spacing w:line="240" w:lineRule="auto"/>
        <w:jc w:val="both"/>
        <w:rPr>
          <w:rFonts w:eastAsia="Calibri"/>
        </w:rPr>
      </w:pPr>
      <w:r w:rsidRPr="00CB5050">
        <w:rPr>
          <w:rFonts w:eastAsia="Calibri"/>
        </w:rPr>
        <w:t>Z razliko od prejšnjih letnih poročil, v katerih so bili za obdobje zadnjih pet let primerjalno prikazani le podatki za SEU, so zaradi celovitosti prikaza v poročilu za leto 2025 prikazani zbirni podatki za SEU in SSEU skupaj.</w:t>
      </w:r>
    </w:p>
    <w:p w14:paraId="36E1109D" w14:textId="77777777" w:rsidR="00695AE2" w:rsidRPr="00CB5050" w:rsidRDefault="00695AE2" w:rsidP="00695AE2">
      <w:pPr>
        <w:spacing w:line="240" w:lineRule="auto"/>
        <w:jc w:val="both"/>
        <w:rPr>
          <w:rFonts w:eastAsia="Calibri"/>
        </w:rPr>
      </w:pPr>
    </w:p>
    <w:p w14:paraId="73472675" w14:textId="77777777" w:rsidR="00695AE2" w:rsidRPr="00CB5050" w:rsidRDefault="00695AE2" w:rsidP="00695AE2">
      <w:pPr>
        <w:spacing w:line="240" w:lineRule="auto"/>
        <w:jc w:val="both"/>
        <w:rPr>
          <w:rFonts w:eastAsia="Calibri"/>
        </w:rPr>
      </w:pPr>
      <w:r w:rsidRPr="00CB5050">
        <w:rPr>
          <w:rFonts w:eastAsia="Calibri"/>
        </w:rPr>
        <w:t xml:space="preserve">Statistični podatki kažejo, da je bilo Državnemu odvetništvu RS iz pristojnosti obeh sodišč, ki delujeta v okviru Sodišča Evropske unije, v letu 2025 v primerjavi s predhodnim letom vročenih 83 več zadev. Grafikon gibanja skupnega števila vročenih zadev iz Sodišča Evropske unije v zadnjem petletnem obdobju kaže, da se je po manjšem številu vročenih zadev v letu 2023 v letu 2024 število vročenih zadev povečalo za več kot četrtino (26,11 odstotka), v letu 2025 pa še za nadaljnjih 7,31 odstotka. </w:t>
      </w:r>
    </w:p>
    <w:p w14:paraId="0B9B4507" w14:textId="77777777" w:rsidR="00695AE2" w:rsidRPr="00CB5050" w:rsidRDefault="00695AE2" w:rsidP="00695AE2">
      <w:pPr>
        <w:spacing w:line="240" w:lineRule="auto"/>
        <w:jc w:val="both"/>
        <w:rPr>
          <w:rFonts w:eastAsia="Calibri"/>
        </w:rPr>
      </w:pPr>
    </w:p>
    <w:p w14:paraId="5EB3CE05" w14:textId="77777777" w:rsidR="00695AE2" w:rsidRPr="00CB5050" w:rsidRDefault="00695AE2" w:rsidP="00695AE2">
      <w:pPr>
        <w:spacing w:line="240" w:lineRule="auto"/>
        <w:jc w:val="both"/>
        <w:rPr>
          <w:rFonts w:eastAsia="Calibri"/>
        </w:rPr>
      </w:pPr>
      <w:r w:rsidRPr="00CB5050">
        <w:rPr>
          <w:rFonts w:eastAsia="Calibri"/>
        </w:rPr>
        <w:t xml:space="preserve">Nekoliko večje kot v predhodnem letu (za 4,75 odstotka) je tudi število zaključenih zadev iz pristojnosti obeh sodišč, saj je bilo v letu 2025 skupaj zaključenih 1.211 zadev, v letu 2024 pa 1.156 zadev. Število odprtih zadev na dan 31. 12. 2025 je bilo neznatno (za 7 zadev) višje od skupnega števila odprtih zadev iz pristojnosti SEU in SSEU ob koncu leta 2024. </w:t>
      </w:r>
    </w:p>
    <w:p w14:paraId="32F383AA" w14:textId="77777777" w:rsidR="00695AE2" w:rsidRPr="00CB5050" w:rsidRDefault="00695AE2" w:rsidP="00695AE2">
      <w:pPr>
        <w:spacing w:line="240" w:lineRule="auto"/>
        <w:jc w:val="both"/>
        <w:rPr>
          <w:rFonts w:eastAsia="Calibri"/>
          <w:sz w:val="28"/>
          <w:szCs w:val="28"/>
        </w:rPr>
      </w:pPr>
    </w:p>
    <w:p w14:paraId="430ECF2C" w14:textId="77777777" w:rsidR="00695AE2" w:rsidRPr="00CB5050" w:rsidRDefault="00695AE2" w:rsidP="00695AE2">
      <w:pPr>
        <w:pStyle w:val="Naslov3"/>
      </w:pPr>
      <w:bookmarkStart w:id="1124" w:name="_Toc168845103"/>
      <w:bookmarkStart w:id="1125" w:name="_Toc191562103"/>
      <w:r>
        <w:t xml:space="preserve"> </w:t>
      </w:r>
      <w:bookmarkStart w:id="1126" w:name="_Toc223094098"/>
      <w:r w:rsidRPr="00CB5050">
        <w:t>Ukrepi za obvladovanje zadev in priporočila Državnega odvetništva RS</w:t>
      </w:r>
      <w:bookmarkEnd w:id="1124"/>
      <w:bookmarkEnd w:id="1125"/>
      <w:bookmarkEnd w:id="1126"/>
    </w:p>
    <w:p w14:paraId="2A2EB097" w14:textId="77777777" w:rsidR="00695AE2" w:rsidRPr="00CB5050" w:rsidRDefault="00695AE2" w:rsidP="00695AE2">
      <w:pPr>
        <w:spacing w:line="240" w:lineRule="auto"/>
        <w:jc w:val="both"/>
        <w:rPr>
          <w:rFonts w:eastAsia="Calibri"/>
          <w:sz w:val="28"/>
          <w:szCs w:val="28"/>
        </w:rPr>
      </w:pPr>
    </w:p>
    <w:p w14:paraId="5C395005" w14:textId="77777777" w:rsidR="00695AE2" w:rsidRPr="00CB5050" w:rsidRDefault="00695AE2" w:rsidP="00695AE2">
      <w:pPr>
        <w:spacing w:line="240" w:lineRule="auto"/>
        <w:jc w:val="both"/>
        <w:rPr>
          <w:rFonts w:eastAsia="Calibri"/>
        </w:rPr>
      </w:pPr>
      <w:r w:rsidRPr="00CB5050">
        <w:rPr>
          <w:rFonts w:eastAsia="Calibri"/>
        </w:rPr>
        <w:t xml:space="preserve">Državno odvetništvo RS poudarja, da so sodbe, ki jih izda Sodišče Evropske unije v zadevah predhodnega odločanja (gre za odločitve o razlagi prava Evropske unije), zaradi njihovega </w:t>
      </w:r>
      <w:r w:rsidRPr="00CB5050">
        <w:rPr>
          <w:rFonts w:eastAsia="Calibri"/>
          <w:i/>
          <w:iCs/>
        </w:rPr>
        <w:t>erga omnes</w:t>
      </w:r>
      <w:r w:rsidRPr="00CB5050">
        <w:rPr>
          <w:rFonts w:eastAsia="Calibri"/>
        </w:rPr>
        <w:t xml:space="preserve"> učinka pomembne za vse države članice, saj je njegova razlaga obvezna za vse države članice, po sodni praksi SEU pa je kot kršitev prava Evropske unije opredeljeno tudi neupoštevanje razlage prava Evropske unije, kot jo je sprejelo Sodišče Evropske unije. Glede na navedeno je nujno, da vsaka država članica spremlja tovrstne postopke in se seznani z vsemi sodbami obeh sodišč. Zaradi navedenega </w:t>
      </w:r>
      <w:r w:rsidRPr="00CB5050">
        <w:rPr>
          <w:rFonts w:eastAsia="Calibri"/>
          <w:i/>
          <w:iCs/>
        </w:rPr>
        <w:t>erga omnes</w:t>
      </w:r>
      <w:r w:rsidRPr="00CB5050">
        <w:rPr>
          <w:rFonts w:eastAsia="Calibri"/>
        </w:rPr>
        <w:t xml:space="preserve"> učinka Državno odvetništvo RS o končnem izidu vseh postopkov v vsaki posamezni zadevi obvešča pristojna ministrstva, in sicer ne glede na to, ali posamezno ministrstvo izrazi izrecno zahtevo po spremljanju postopka in obveščanja o procesnih aktih ali ne, in ne glede na to, ali se Republika Slovenija vključi v posamezni postopek ali ne. Zaradi vloge Sodišča Evropske unije v institucionalnem ustroju EU in obveznega upoštevanja razlage prava EU je obveščanje ministrstev o poteku postopka in odločitvah Sodišča Evropske unije v vsaki posamezni zadevi ustrezno zagotovljeno.</w:t>
      </w:r>
    </w:p>
    <w:p w14:paraId="1DBFAE61" w14:textId="77777777" w:rsidR="00695AE2" w:rsidRPr="00CB5050" w:rsidRDefault="00695AE2" w:rsidP="00695AE2">
      <w:pPr>
        <w:spacing w:line="240" w:lineRule="auto"/>
        <w:jc w:val="both"/>
        <w:rPr>
          <w:rFonts w:eastAsia="Calibri"/>
          <w:bCs/>
        </w:rPr>
      </w:pPr>
    </w:p>
    <w:p w14:paraId="5D917B8E" w14:textId="77777777" w:rsidR="00695AE2" w:rsidRPr="00CB5050" w:rsidRDefault="00695AE2" w:rsidP="00695AE2">
      <w:pPr>
        <w:spacing w:line="240" w:lineRule="auto"/>
        <w:jc w:val="both"/>
        <w:rPr>
          <w:rFonts w:eastAsia="Calibri"/>
          <w:bCs/>
        </w:rPr>
      </w:pPr>
      <w:r w:rsidRPr="00CB5050">
        <w:rPr>
          <w:rFonts w:eastAsia="Calibri"/>
          <w:bCs/>
        </w:rPr>
        <w:t>Glede na leto 2024, v katerem se je Republika Slovenija vključila v šest postopkov prehodnega odločanja, je bila v letu 2025 udeležba le v enem postopku, v enem postopku pred Splošnim sodiščem pa je Republika Slovenija predlagala intervencijo in vložila pisno vlogo.</w:t>
      </w:r>
    </w:p>
    <w:p w14:paraId="313DD8E5" w14:textId="77777777" w:rsidR="00695AE2" w:rsidRPr="00CB5050" w:rsidRDefault="00695AE2" w:rsidP="00695AE2">
      <w:pPr>
        <w:spacing w:line="240" w:lineRule="auto"/>
        <w:jc w:val="both"/>
        <w:rPr>
          <w:rFonts w:eastAsia="Calibri"/>
          <w:bCs/>
        </w:rPr>
      </w:pPr>
    </w:p>
    <w:p w14:paraId="2CB688A8" w14:textId="77777777" w:rsidR="00695AE2" w:rsidRPr="00CB5050" w:rsidRDefault="00695AE2" w:rsidP="00695AE2">
      <w:pPr>
        <w:spacing w:line="240" w:lineRule="auto"/>
        <w:jc w:val="both"/>
        <w:rPr>
          <w:rFonts w:eastAsia="Calibri"/>
          <w:bCs/>
        </w:rPr>
      </w:pPr>
      <w:r w:rsidRPr="00CB5050">
        <w:rPr>
          <w:rFonts w:eastAsia="Calibri"/>
          <w:bCs/>
        </w:rPr>
        <w:t>Čeprav Slovenija že vse od pristopa k EU v postopkih pred Sodiščem Evropske unije relativno redko predstavi svoja stališča, Državno odvetništvo RS pristojne organe vzpodbuja, da prepoznajo dragocene priložnosti za dosego razlage prava EU v skladu z njihovimi pravnimi stališči in/ali interesi in</w:t>
      </w:r>
      <w:r w:rsidRPr="00CB5050">
        <w:rPr>
          <w:rFonts w:eastAsia="Calibri"/>
        </w:rPr>
        <w:t xml:space="preserve"> </w:t>
      </w:r>
      <w:r w:rsidRPr="00CB5050">
        <w:rPr>
          <w:rFonts w:eastAsia="Calibri"/>
          <w:bCs/>
        </w:rPr>
        <w:t>pomen predstavitve stališč Republike Slovenije v postopkih predhodnega odločanja ter argumentov, ki lahko pomembno pripomorejo k odločitvi. Čeprav imajo države članice EU pravico (in ne dolžnosti) sodelovanja, bi bilo po mnenju Državnega odvetništva RS potrebno število udeležb Slovenije v sodnih postopkih povečati. Državno odvetništvo kontinuirano opozarja na nujnost aktivnejšega sodelovanja s koordinatorji sodnih zadev na posameznih ministrstvih, in sicer s ciljem dviga ravni zavedanja o pomenu razlage prava EU in njenega učinka na nacionalni pravni red in/ali prakso pristojnih državnih organov.</w:t>
      </w:r>
    </w:p>
    <w:p w14:paraId="71A56919" w14:textId="77777777" w:rsidR="00695AE2" w:rsidRPr="00CB5050" w:rsidRDefault="00695AE2" w:rsidP="00695AE2">
      <w:pPr>
        <w:spacing w:line="240" w:lineRule="auto"/>
        <w:jc w:val="both"/>
        <w:rPr>
          <w:rFonts w:eastAsia="Calibri"/>
          <w:bCs/>
        </w:rPr>
      </w:pPr>
    </w:p>
    <w:p w14:paraId="71BDDCA4" w14:textId="77777777" w:rsidR="00695AE2" w:rsidRPr="00CB5050" w:rsidRDefault="00695AE2" w:rsidP="00695AE2">
      <w:pPr>
        <w:spacing w:line="240" w:lineRule="auto"/>
        <w:jc w:val="both"/>
        <w:rPr>
          <w:rFonts w:eastAsia="Calibri"/>
          <w:bCs/>
        </w:rPr>
      </w:pPr>
      <w:r w:rsidRPr="00CB5050">
        <w:rPr>
          <w:rFonts w:eastAsia="Calibri"/>
        </w:rPr>
        <w:t>Državno odvetništvo RS bo s temi prizadevanji nadaljevalo tudi v prihodnje.</w:t>
      </w:r>
    </w:p>
    <w:p w14:paraId="1BC66376" w14:textId="77777777" w:rsidR="00695AE2" w:rsidRPr="00115A72" w:rsidRDefault="00695AE2" w:rsidP="00695AE2">
      <w:pPr>
        <w:pStyle w:val="Jasna"/>
        <w:rPr>
          <w:sz w:val="32"/>
          <w:szCs w:val="32"/>
        </w:rPr>
      </w:pPr>
      <w:bookmarkStart w:id="1127" w:name="_Toc168845104"/>
      <w:bookmarkStart w:id="1128" w:name="_Toc191562104"/>
    </w:p>
    <w:p w14:paraId="24E25E4A" w14:textId="77777777" w:rsidR="00695AE2" w:rsidRPr="00CB5050" w:rsidRDefault="00695AE2" w:rsidP="00695AE2">
      <w:pPr>
        <w:pStyle w:val="Naslov2"/>
      </w:pPr>
      <w:r>
        <w:t xml:space="preserve"> </w:t>
      </w:r>
      <w:bookmarkStart w:id="1129" w:name="_Toc223094099"/>
      <w:r w:rsidRPr="00CB5050">
        <w:t>Postopki pred Sodiščem EFTA</w:t>
      </w:r>
      <w:bookmarkEnd w:id="1127"/>
      <w:bookmarkEnd w:id="1128"/>
      <w:bookmarkEnd w:id="1129"/>
    </w:p>
    <w:p w14:paraId="1B480E1C" w14:textId="77777777" w:rsidR="00695AE2" w:rsidRPr="00CB5050" w:rsidRDefault="00695AE2" w:rsidP="00695AE2">
      <w:pPr>
        <w:spacing w:line="240" w:lineRule="auto"/>
        <w:jc w:val="both"/>
        <w:rPr>
          <w:rFonts w:eastAsia="Calibri"/>
          <w:sz w:val="32"/>
          <w:szCs w:val="32"/>
        </w:rPr>
      </w:pPr>
    </w:p>
    <w:p w14:paraId="3651F7C1" w14:textId="77777777" w:rsidR="00695AE2" w:rsidRPr="00CB5050" w:rsidRDefault="00695AE2" w:rsidP="00695AE2">
      <w:pPr>
        <w:spacing w:line="240" w:lineRule="auto"/>
        <w:jc w:val="both"/>
        <w:rPr>
          <w:rFonts w:eastAsia="Calibri"/>
        </w:rPr>
      </w:pPr>
      <w:r w:rsidRPr="00CB5050">
        <w:rPr>
          <w:rFonts w:eastAsia="Calibri"/>
        </w:rPr>
        <w:t>V postopkih pred Sodiščem EFTA (gre za postopke za izdajo svetovalnega mnenja ter postopke na podlagi tožbe) je prav tako možna intervencija držav članic in institucij EU, ki jih Sodišče EFTA seznanja s temi postopki. Slovenija se je doslej odločila za eno intervencijo v postopku za izdajo svetovalnega mnenja (</w:t>
      </w:r>
      <w:r w:rsidRPr="00CB5050">
        <w:rPr>
          <w:rFonts w:eastAsia="Calibri"/>
          <w:i/>
        </w:rPr>
        <w:t>Landbrokes Ltd.,</w:t>
      </w:r>
      <w:r w:rsidRPr="00CB5050">
        <w:rPr>
          <w:rFonts w:eastAsia="Calibri"/>
        </w:rPr>
        <w:t xml:space="preserve"> E-3/06, sodba z dne 30. maja 2007).</w:t>
      </w:r>
    </w:p>
    <w:p w14:paraId="019A67B5" w14:textId="77777777" w:rsidR="00695AE2" w:rsidRPr="00CB5050" w:rsidRDefault="00695AE2" w:rsidP="00695AE2">
      <w:pPr>
        <w:spacing w:line="240" w:lineRule="auto"/>
        <w:jc w:val="both"/>
        <w:rPr>
          <w:rFonts w:eastAsia="Calibri"/>
        </w:rPr>
      </w:pPr>
    </w:p>
    <w:p w14:paraId="1B892DE6" w14:textId="77777777" w:rsidR="00695AE2" w:rsidRPr="00CB5050" w:rsidRDefault="00695AE2" w:rsidP="00695AE2">
      <w:pPr>
        <w:spacing w:line="240" w:lineRule="auto"/>
        <w:jc w:val="both"/>
        <w:rPr>
          <w:rFonts w:eastAsia="Calibri"/>
        </w:rPr>
      </w:pPr>
      <w:r w:rsidRPr="00CB5050">
        <w:rPr>
          <w:rFonts w:eastAsia="Calibri"/>
        </w:rPr>
        <w:t xml:space="preserve">Sodišče EFTA je Državnemu odvetništvu RS v letu 2025 vročilo 29 zadev, tako da je imelo v letu 2025 v delu skupno 57 zadev. Zaključenih je bilo 33 zadev, na dan 31. 12. 2025 pa je bilo odprtih 24 zadev. </w:t>
      </w:r>
    </w:p>
    <w:p w14:paraId="78B28B4C" w14:textId="77777777" w:rsidR="00695AE2" w:rsidRPr="00CB5050" w:rsidRDefault="00695AE2" w:rsidP="00695AE2">
      <w:pPr>
        <w:spacing w:line="240" w:lineRule="auto"/>
        <w:jc w:val="both"/>
        <w:rPr>
          <w:rFonts w:eastAsia="Calibri"/>
        </w:rPr>
      </w:pPr>
    </w:p>
    <w:p w14:paraId="7496D788" w14:textId="77777777" w:rsidR="00695AE2" w:rsidRPr="00CB5050" w:rsidRDefault="00695AE2" w:rsidP="00695AE2">
      <w:pPr>
        <w:spacing w:line="240" w:lineRule="auto"/>
        <w:jc w:val="both"/>
        <w:rPr>
          <w:rFonts w:eastAsia="Calibri"/>
        </w:rPr>
      </w:pPr>
      <w:r w:rsidRPr="00CB5050">
        <w:rPr>
          <w:rFonts w:eastAsia="Calibri"/>
        </w:rPr>
        <w:t xml:space="preserve">V letu 2025 se je število vročenih zadev iz pristojnosti Sodišča EFTA v primerjavi s predhodnim letom nekoliko zmanjšalo, število zaključenih pa nekoliko povečalo. Prav tako je bilo nekoliko višje število zadev, v katerih Državno odvetništvo RS postopke in odločitve Sodišča EFTA le spremlja ter o njih obvešča pristojna ministrstva. </w:t>
      </w:r>
    </w:p>
    <w:p w14:paraId="59D77ACF" w14:textId="77777777" w:rsidR="00695AE2" w:rsidRPr="00CB5050" w:rsidRDefault="00695AE2" w:rsidP="00695AE2">
      <w:pPr>
        <w:spacing w:line="240" w:lineRule="auto"/>
        <w:jc w:val="both"/>
        <w:rPr>
          <w:rFonts w:eastAsia="Calibri"/>
        </w:rPr>
      </w:pPr>
    </w:p>
    <w:p w14:paraId="3A8F4186" w14:textId="77777777" w:rsidR="00695AE2" w:rsidRPr="00CB5050" w:rsidRDefault="00695AE2" w:rsidP="00695AE2">
      <w:pPr>
        <w:spacing w:line="240" w:lineRule="auto"/>
        <w:jc w:val="both"/>
        <w:rPr>
          <w:rFonts w:eastAsia="Calibri"/>
        </w:rPr>
      </w:pPr>
      <w:r w:rsidRPr="00CB5050">
        <w:rPr>
          <w:rFonts w:eastAsia="Calibri"/>
        </w:rPr>
        <w:t>Če se država ne odloči za intervencijo, je način poslovanja v teh zadevah enak ustaljeni praksi v postopkih za sprejetje predhodne odločbe po 267. členu PDEU, v katerih se Slovenija ne odloči za aktivno udeležbo, a postopke spremlja in ministrstva seznanja s sodno prakso.</w:t>
      </w:r>
    </w:p>
    <w:p w14:paraId="24D181DB" w14:textId="77777777" w:rsidR="00695AE2" w:rsidRPr="00CB5050" w:rsidRDefault="00695AE2" w:rsidP="00695AE2">
      <w:pPr>
        <w:spacing w:line="240" w:lineRule="auto"/>
        <w:jc w:val="both"/>
        <w:rPr>
          <w:rFonts w:eastAsia="Calibri"/>
          <w:sz w:val="32"/>
          <w:szCs w:val="32"/>
        </w:rPr>
      </w:pPr>
    </w:p>
    <w:p w14:paraId="146F6FAD" w14:textId="77777777" w:rsidR="00695AE2" w:rsidRPr="00CB5050" w:rsidRDefault="00695AE2" w:rsidP="00695AE2">
      <w:pPr>
        <w:pStyle w:val="Naslov2"/>
      </w:pPr>
      <w:bookmarkStart w:id="1130" w:name="_Toc168845106"/>
      <w:bookmarkStart w:id="1131" w:name="_Toc191562105"/>
      <w:r>
        <w:t xml:space="preserve"> </w:t>
      </w:r>
      <w:bookmarkStart w:id="1132" w:name="_Toc223094100"/>
      <w:r w:rsidRPr="00CB5050">
        <w:t>Mednarodne arbitraže</w:t>
      </w:r>
      <w:bookmarkEnd w:id="1130"/>
      <w:bookmarkEnd w:id="1131"/>
      <w:bookmarkEnd w:id="1132"/>
    </w:p>
    <w:p w14:paraId="121BED68" w14:textId="77777777" w:rsidR="00695AE2" w:rsidRPr="00CB5050" w:rsidRDefault="00695AE2" w:rsidP="00695AE2">
      <w:pPr>
        <w:spacing w:line="240" w:lineRule="auto"/>
        <w:jc w:val="both"/>
        <w:rPr>
          <w:rFonts w:eastAsia="Calibri"/>
          <w:sz w:val="32"/>
          <w:szCs w:val="32"/>
        </w:rPr>
      </w:pPr>
    </w:p>
    <w:p w14:paraId="546F730A" w14:textId="77777777" w:rsidR="00695AE2" w:rsidRPr="00CB5050" w:rsidRDefault="00695AE2" w:rsidP="00695AE2">
      <w:pPr>
        <w:spacing w:line="240" w:lineRule="auto"/>
        <w:jc w:val="both"/>
        <w:rPr>
          <w:rFonts w:eastAsia="Calibri"/>
        </w:rPr>
      </w:pPr>
      <w:r w:rsidRPr="00CB5050">
        <w:rPr>
          <w:rFonts w:eastAsia="Calibri"/>
        </w:rPr>
        <w:t xml:space="preserve">Državno odvetništvo RS je od uveljavitve ZDOdv v letu 2017 pristojno tudi za zastopanje Republike Slovenije v mednarodnih arbitražah. Zadeve s tega področja predstavljajo za Državno odvetništvo RS izjemne delovne obremenitve, ki so glede kompleksnosti zadev, specifike postopkov pred mednarodnimi arbitražnimi tribunali in organizacijskega ustroja dela na posamezni zadevi neprimerljive z drugimi zadevami pred mednarodnimi sodišči. </w:t>
      </w:r>
    </w:p>
    <w:p w14:paraId="529D32AE" w14:textId="77777777" w:rsidR="00695AE2" w:rsidRPr="00CB5050" w:rsidRDefault="00695AE2" w:rsidP="00695AE2">
      <w:pPr>
        <w:spacing w:line="240" w:lineRule="auto"/>
        <w:jc w:val="both"/>
        <w:rPr>
          <w:rFonts w:eastAsia="Calibri"/>
        </w:rPr>
      </w:pPr>
    </w:p>
    <w:p w14:paraId="73AE1433" w14:textId="77777777" w:rsidR="00695AE2" w:rsidRPr="00CB5050" w:rsidRDefault="00695AE2" w:rsidP="00695AE2">
      <w:pPr>
        <w:spacing w:line="240" w:lineRule="auto"/>
        <w:jc w:val="both"/>
        <w:rPr>
          <w:rFonts w:eastAsia="Calibri"/>
        </w:rPr>
      </w:pPr>
      <w:r w:rsidRPr="00CB5050">
        <w:rPr>
          <w:rFonts w:eastAsia="Calibri"/>
        </w:rPr>
        <w:t xml:space="preserve">Doslej so bili proti Republiki Sloveniji sproženi trije arbitražni postopki, od katerih je bil eden že zaključen. V ostalih dveh postopkih so tudi v letu 2025 potekale intenzivne aktivnosti, v nadaljevanju pa so predstavljena le pomembnejša procesna dejanja, opravljena v obravnavanem letu. </w:t>
      </w:r>
    </w:p>
    <w:p w14:paraId="7849E44E" w14:textId="77777777" w:rsidR="00695AE2" w:rsidRPr="00CB5050" w:rsidRDefault="00695AE2" w:rsidP="00695AE2">
      <w:pPr>
        <w:spacing w:line="240" w:lineRule="auto"/>
        <w:jc w:val="both"/>
        <w:rPr>
          <w:rFonts w:eastAsia="Calibri"/>
        </w:rPr>
      </w:pPr>
    </w:p>
    <w:p w14:paraId="45C8873C" w14:textId="77777777" w:rsidR="00695AE2" w:rsidRPr="00CB5050" w:rsidRDefault="00695AE2" w:rsidP="00695AE2">
      <w:pPr>
        <w:spacing w:line="240" w:lineRule="auto"/>
        <w:jc w:val="both"/>
        <w:rPr>
          <w:rFonts w:eastAsia="Calibri"/>
        </w:rPr>
      </w:pPr>
      <w:r w:rsidRPr="00CB5050">
        <w:rPr>
          <w:rFonts w:eastAsia="Calibri"/>
        </w:rPr>
        <w:t xml:space="preserve">V letu 2025 Slovenija ni prejela nobenega uradnega obvestila o sporu, ki bi nakazovalo potencialno sprožitev nove arbitražne zadeve. </w:t>
      </w:r>
    </w:p>
    <w:p w14:paraId="38F8EF39" w14:textId="77777777" w:rsidR="00695AE2" w:rsidRPr="00CB5050" w:rsidRDefault="00695AE2" w:rsidP="00695AE2">
      <w:pPr>
        <w:spacing w:line="240" w:lineRule="auto"/>
        <w:jc w:val="both"/>
        <w:rPr>
          <w:rFonts w:eastAsia="Calibri"/>
          <w:sz w:val="28"/>
          <w:szCs w:val="28"/>
        </w:rPr>
      </w:pPr>
    </w:p>
    <w:p w14:paraId="40FE4329" w14:textId="77777777" w:rsidR="00695AE2" w:rsidRPr="00CB5050" w:rsidRDefault="00695AE2" w:rsidP="00695AE2">
      <w:pPr>
        <w:pStyle w:val="Naslov3"/>
      </w:pPr>
      <w:r>
        <w:t xml:space="preserve"> </w:t>
      </w:r>
      <w:bookmarkStart w:id="1133" w:name="_Toc223094101"/>
      <w:r w:rsidRPr="00CB5050">
        <w:t>Ključne aktivnosti na arbitražnih zadevah v teku</w:t>
      </w:r>
      <w:bookmarkEnd w:id="1133"/>
    </w:p>
    <w:p w14:paraId="7563537C" w14:textId="77777777" w:rsidR="00695AE2" w:rsidRPr="00E737D7" w:rsidRDefault="00695AE2" w:rsidP="00695AE2">
      <w:pPr>
        <w:pStyle w:val="Jasna"/>
        <w:rPr>
          <w:sz w:val="28"/>
          <w:szCs w:val="28"/>
        </w:rPr>
      </w:pPr>
    </w:p>
    <w:p w14:paraId="7E86A2D8" w14:textId="77777777" w:rsidR="00695AE2" w:rsidRPr="00CB5050" w:rsidRDefault="00695AE2" w:rsidP="00695AE2">
      <w:pPr>
        <w:pStyle w:val="Naslov4"/>
      </w:pPr>
      <w:bookmarkStart w:id="1134" w:name="_Toc223094102"/>
      <w:r w:rsidRPr="00CB5050">
        <w:t>Ascent Resources Plc in Ascent Slovenia Ltd proti Sloveniji, št. ARB/22/21</w:t>
      </w:r>
      <w:bookmarkEnd w:id="1134"/>
    </w:p>
    <w:p w14:paraId="0E2240C4" w14:textId="77777777" w:rsidR="00695AE2" w:rsidRPr="00CB5050" w:rsidRDefault="00695AE2" w:rsidP="00695AE2">
      <w:pPr>
        <w:spacing w:line="240" w:lineRule="auto"/>
        <w:rPr>
          <w:rFonts w:eastAsia="Calibri"/>
          <w:sz w:val="28"/>
          <w:szCs w:val="28"/>
        </w:rPr>
      </w:pPr>
    </w:p>
    <w:p w14:paraId="531B6243" w14:textId="77777777" w:rsidR="00695AE2" w:rsidRPr="00CB5050" w:rsidRDefault="00695AE2" w:rsidP="00695AE2">
      <w:pPr>
        <w:spacing w:line="240" w:lineRule="auto"/>
        <w:jc w:val="both"/>
        <w:rPr>
          <w:rFonts w:eastAsia="Calibri"/>
        </w:rPr>
      </w:pPr>
      <w:r w:rsidRPr="00CB5050">
        <w:rPr>
          <w:rFonts w:eastAsia="Calibri"/>
          <w:color w:val="000000"/>
        </w:rPr>
        <w:t xml:space="preserve">Vlagatelja </w:t>
      </w:r>
      <w:r w:rsidRPr="00CB5050">
        <w:rPr>
          <w:rFonts w:eastAsia="Calibri"/>
        </w:rPr>
        <w:t xml:space="preserve">Ascent Resources Plc s sedežem v Združenem kraljestvu Velike Britanije in Severne Irske ter Ascent Slovenia Ltd s sedežem na Malti sta </w:t>
      </w:r>
      <w:r w:rsidRPr="00CB5050">
        <w:rPr>
          <w:rFonts w:eastAsia="Calibri"/>
          <w:color w:val="000000"/>
        </w:rPr>
        <w:t>23. julija 2020 Sloveniji vročila uradno obvestilo o sporu,</w:t>
      </w:r>
      <w:r w:rsidRPr="00CB5050">
        <w:rPr>
          <w:rFonts w:eastAsia="Calibri"/>
          <w:bCs/>
        </w:rPr>
        <w:t xml:space="preserve"> s katerim sta jo v skladu </w:t>
      </w:r>
      <w:r w:rsidRPr="00CB5050">
        <w:rPr>
          <w:rFonts w:eastAsia="Calibri"/>
        </w:rPr>
        <w:t xml:space="preserve">z drugim odstavkom 8. člena Sporazuma med Vlado RS in Vlado Združenega kraljestva Velike Britanije in Severne Irske o zaščiti in spodbujanju vlaganj ter drugim odstavkom 26. člena Pogodbe o energetski listini (v nadaljevanju: PEL) </w:t>
      </w:r>
      <w:r w:rsidRPr="00CB5050">
        <w:rPr>
          <w:rFonts w:eastAsia="Calibri"/>
          <w:bCs/>
        </w:rPr>
        <w:t xml:space="preserve">obvestila, da med strankama obstoji sporno razmerje. </w:t>
      </w:r>
      <w:r w:rsidRPr="00CB5050">
        <w:rPr>
          <w:rFonts w:eastAsia="Calibri"/>
        </w:rPr>
        <w:t>Očitki vlagateljev v uradnem obvestilu o sporu so se nanašali na ravnanja predstavnikov oblasti ter na odločitve slovenskih upravnih in sodnih organov Republike Slovenije, s katerimi je bila pravnomočno določena obveznost, da se pred hidravlično stimulacijo vrtin, usmerjeno k povečanju količine izčrpanega zemeljskega plina izpod Petišovskega polja, izvede presoja vplivov na okolje. Republika Slovenija se je v odgovoru na uradno obvestilo o sporu opredelila do očitkov vlagateljev, v nadaljevanju pa zavrnila možnost mirne rešitve spornega razmerja.</w:t>
      </w:r>
    </w:p>
    <w:p w14:paraId="5C9593FB" w14:textId="77777777" w:rsidR="00695AE2" w:rsidRPr="00CB5050" w:rsidRDefault="00695AE2" w:rsidP="00695AE2">
      <w:pPr>
        <w:spacing w:line="240" w:lineRule="auto"/>
        <w:jc w:val="both"/>
        <w:rPr>
          <w:rFonts w:eastAsia="Calibri"/>
        </w:rPr>
      </w:pPr>
    </w:p>
    <w:p w14:paraId="715AF6BF" w14:textId="77777777" w:rsidR="00695AE2" w:rsidRPr="00CB5050" w:rsidRDefault="00695AE2" w:rsidP="00695AE2">
      <w:pPr>
        <w:spacing w:line="240" w:lineRule="auto"/>
        <w:jc w:val="both"/>
        <w:rPr>
          <w:rFonts w:eastAsia="Calibri"/>
        </w:rPr>
      </w:pPr>
      <w:r w:rsidRPr="00CB5050">
        <w:rPr>
          <w:rFonts w:eastAsia="Calibri"/>
        </w:rPr>
        <w:t>Vlagatelja sta nemudoma po sprejetju Zakona o spremembah in dopolnitvah Zakona o rudarstvu (Uradni list RS, št. 54/22), s katero je na ozemlju Slovenije v celoti prepovedano izkoriščanje ogljikovodikov s pomočjo hidravlične stimulacije, na Slovenijo naslovila novo uradno obvestilo o sporu s ključnim očitkom, da je toženka s sprejetjem novele Zakona o rudarstvu kršila PEL in Sporazum med Vlado RS in Vlado Združenega kraljestva Velike Britanije in Severne Irske o zaščiti in spodbujanju vlaganj.</w:t>
      </w:r>
    </w:p>
    <w:p w14:paraId="49B8F32C" w14:textId="77777777" w:rsidR="00695AE2" w:rsidRPr="00CB5050" w:rsidRDefault="00695AE2" w:rsidP="00695AE2">
      <w:pPr>
        <w:spacing w:line="240" w:lineRule="auto"/>
        <w:jc w:val="both"/>
        <w:rPr>
          <w:rFonts w:eastAsia="Calibri"/>
        </w:rPr>
      </w:pPr>
    </w:p>
    <w:p w14:paraId="5755CD81" w14:textId="77777777" w:rsidR="00695AE2" w:rsidRPr="00CB5050" w:rsidRDefault="00695AE2" w:rsidP="00695AE2">
      <w:pPr>
        <w:spacing w:line="240" w:lineRule="auto"/>
        <w:jc w:val="both"/>
        <w:rPr>
          <w:rFonts w:eastAsia="Calibri"/>
        </w:rPr>
      </w:pPr>
      <w:r w:rsidRPr="00CB5050">
        <w:rPr>
          <w:rFonts w:eastAsia="Calibri"/>
        </w:rPr>
        <w:t xml:space="preserve">15. avgusta 2022 sta vlagatelja na ICSID vložila zahtevo za arbitražo, ki sta jo dopolnila 30. avgusta 2022. V njej zahtevata ugotovitev, da je Slovenija s sprejetjem novele Zakona o rudarstvu kršila PEL, in sicer prvi odstavek 13. člena, ki prepoveduje razlastitev naložbe brez plačila takojšnjega, ustreznega in učinkovitega nadomestila, ter prvi odstavek 5. člena, ki pogodbenici nalaga spodbujanje in ustvarjanje ustaljenih, nepristranskih in preglednih razmer za vlagatelje drugih pogodbenic za uresničevanje naložb na svojem območju. </w:t>
      </w:r>
    </w:p>
    <w:p w14:paraId="11B9A4A2" w14:textId="77777777" w:rsidR="00695AE2" w:rsidRPr="00CB5050" w:rsidRDefault="00695AE2" w:rsidP="00695AE2">
      <w:pPr>
        <w:spacing w:line="240" w:lineRule="auto"/>
        <w:jc w:val="both"/>
        <w:rPr>
          <w:rFonts w:eastAsia="Calibri"/>
        </w:rPr>
      </w:pPr>
    </w:p>
    <w:p w14:paraId="19ED9B5E" w14:textId="77777777" w:rsidR="00695AE2" w:rsidRPr="00CB5050" w:rsidRDefault="00695AE2" w:rsidP="00695AE2">
      <w:pPr>
        <w:spacing w:line="240" w:lineRule="auto"/>
        <w:jc w:val="both"/>
        <w:rPr>
          <w:rFonts w:eastAsia="Calibri"/>
        </w:rPr>
      </w:pPr>
      <w:r w:rsidRPr="00CB5050">
        <w:rPr>
          <w:rFonts w:eastAsia="Calibri"/>
        </w:rPr>
        <w:t xml:space="preserve">Vlagatelja od toženke zahtevata plačilo škode, ki naj bi jima nastala zaradi očitanih ravnanj in odločitev organov Republike Slovenije in s tem nezakonitih posegov v njuno naložbo. Škodo sta vlagatelja prvotno ocenila na 656,5 milijona evrov z zamudnimi obrestmi po stanju na dan 30. junij 2023, naknadno pa sta to oceno spremenila in škodo ovrednotila v višini 598,7 milijona evrov po stanju na dan 30. junij 2024, pri čemer se z vsakim dnem nezmožnosti izkoriščanja ogljikovodikov s pomočjo hidravlične stimulacije škoda še povečuje. Vlagatelja </w:t>
      </w:r>
      <w:r w:rsidRPr="00CB5050">
        <w:rPr>
          <w:rFonts w:eastAsia="Calibri"/>
        </w:rPr>
        <w:lastRenderedPageBreak/>
        <w:t>poleg plačila škode zahtevata tudi plačilo vseh stroškov in izdatkov, povezanih z arbitražnim postopkom pred ICSID.</w:t>
      </w:r>
    </w:p>
    <w:p w14:paraId="4B6E27AF" w14:textId="77777777" w:rsidR="00695AE2" w:rsidRPr="00CB5050" w:rsidRDefault="00695AE2" w:rsidP="00695AE2">
      <w:pPr>
        <w:spacing w:line="240" w:lineRule="auto"/>
        <w:jc w:val="both"/>
        <w:rPr>
          <w:rFonts w:eastAsia="Calibri"/>
        </w:rPr>
      </w:pPr>
    </w:p>
    <w:p w14:paraId="5BF549CD" w14:textId="77777777" w:rsidR="00695AE2" w:rsidRPr="00CB5050" w:rsidRDefault="00695AE2" w:rsidP="00695AE2">
      <w:pPr>
        <w:spacing w:line="240" w:lineRule="auto"/>
        <w:jc w:val="both"/>
        <w:rPr>
          <w:rFonts w:eastAsia="Calibri"/>
        </w:rPr>
      </w:pPr>
      <w:r w:rsidRPr="00CB5050">
        <w:rPr>
          <w:rFonts w:eastAsia="Calibri"/>
        </w:rPr>
        <w:t xml:space="preserve">Po konstituiranju arbitražnega tribunala in po določitvi ključnih procesnih mejnikov v postopku sta si stranki v dveh krogih pisnega postopka izmenjali po dve obrazloženi vlogi, v začetku aprila 2025 pa je bila v Parizu izvedena ustna obravnava. V uvodnih navedbah sta predstavili svoje ključne argumente, v nadaljevanju pa so bile zaslišane priče in strokovnjaki (izvedenci), ki sta jih predlagali. Po zaključku ustnega dela postopka sta stranki v sredini leta 2025 vložili zadnjo vsebinsko pisno vlogo po obravnavi (t. i. </w:t>
      </w:r>
      <w:r w:rsidRPr="00CB5050">
        <w:rPr>
          <w:rFonts w:eastAsia="Calibri"/>
          <w:i/>
          <w:iCs/>
        </w:rPr>
        <w:t>post-hearing brief</w:t>
      </w:r>
      <w:r w:rsidRPr="00CB5050">
        <w:rPr>
          <w:rFonts w:eastAsia="Calibri"/>
        </w:rPr>
        <w:t>), v kateri sta se opredelili do izvajanj prič in strokovnjakov nasprotne stranke ter izpostavili nedoslednosti, neskladnosti in druge pomanjkljivosti v njihovih navedbah, vse s ciljem, da bi arbitražni tribunal prepričali o utemeljenosti svojih argumentov. S to vlogo so se zaključila procesna dejanja strank v arbitražnem postopku, po njih pa sledi odločanje tribunala z izdajo razsodbe, ki jo je pričakovati v letu 2026.</w:t>
      </w:r>
    </w:p>
    <w:p w14:paraId="6C1D2685" w14:textId="77777777" w:rsidR="00695AE2" w:rsidRPr="00CB5050" w:rsidRDefault="00695AE2" w:rsidP="00695AE2">
      <w:pPr>
        <w:spacing w:line="240" w:lineRule="auto"/>
        <w:jc w:val="both"/>
        <w:rPr>
          <w:rFonts w:eastAsia="Calibri"/>
        </w:rPr>
      </w:pPr>
    </w:p>
    <w:p w14:paraId="355BAF7B" w14:textId="77777777" w:rsidR="00695AE2" w:rsidRPr="00CB5050" w:rsidRDefault="00695AE2" w:rsidP="00695AE2">
      <w:pPr>
        <w:pStyle w:val="Naslov4"/>
      </w:pPr>
      <w:bookmarkStart w:id="1135" w:name="_Toc223094103"/>
      <w:r w:rsidRPr="00CB5050">
        <w:t>Towra SA-SPF proti Sloveniji, št. ARB/22/33</w:t>
      </w:r>
      <w:bookmarkEnd w:id="1135"/>
    </w:p>
    <w:p w14:paraId="1967E292" w14:textId="77777777" w:rsidR="00695AE2" w:rsidRPr="00CB5050" w:rsidRDefault="00695AE2" w:rsidP="00695AE2">
      <w:pPr>
        <w:spacing w:line="240" w:lineRule="auto"/>
        <w:rPr>
          <w:rFonts w:eastAsia="Calibri"/>
          <w:sz w:val="28"/>
          <w:szCs w:val="28"/>
        </w:rPr>
      </w:pPr>
    </w:p>
    <w:p w14:paraId="416BA932" w14:textId="77777777" w:rsidR="00695AE2" w:rsidRPr="00CB5050" w:rsidRDefault="00695AE2" w:rsidP="00695AE2">
      <w:pPr>
        <w:suppressAutoHyphens/>
        <w:spacing w:line="240" w:lineRule="auto"/>
        <w:jc w:val="both"/>
        <w:rPr>
          <w:rFonts w:eastAsia="Times New Roman"/>
          <w:lang w:eastAsia="sl-SI"/>
        </w:rPr>
      </w:pPr>
      <w:bookmarkStart w:id="1136" w:name="_Toc191562109"/>
      <w:r w:rsidRPr="00CB5050">
        <w:rPr>
          <w:rFonts w:eastAsia="Times New Roman"/>
          <w:lang w:eastAsia="sl-SI"/>
        </w:rPr>
        <w:t>ICSID je 5. decembra 2022 registriral zahtevo za arbitražo, ki jo je proti Sloveniji na podlagi 26. člena PEL ter v skladu s Konvencijo o reševanju investicijskih sporov med državami in državljani drugih držav ter Arbitražnimi pravili ICSID vložil luksemburški vlagatelj Towra SA-SPF.</w:t>
      </w:r>
    </w:p>
    <w:p w14:paraId="5A46B8CE" w14:textId="77777777" w:rsidR="00695AE2" w:rsidRPr="00CB5050" w:rsidRDefault="00695AE2" w:rsidP="00695AE2">
      <w:pPr>
        <w:suppressAutoHyphens/>
        <w:spacing w:line="240" w:lineRule="auto"/>
        <w:jc w:val="both"/>
        <w:rPr>
          <w:rFonts w:eastAsia="Times New Roman"/>
          <w:lang w:eastAsia="sl-SI"/>
        </w:rPr>
      </w:pPr>
    </w:p>
    <w:p w14:paraId="662CA846"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V zahtevi za arbitražo vlagatelj Sloveniji očita kršitev prvega odstavka 10. člena (poštena in nepristranska obravnava naložb) ter 13. člena (razlastitev) PEL, zaradi katerih naj bi utrpel škodo v zvezi s svojo naložbo v Premogovnik Velenje, d. d. Do navedenih kršitev naj bi prišlo zaradi določitve neekonomske cene lignita, neustreznega vodenja Premogovnika Velenje, d. d., kar je imelo za posledico nedobičkonosnost podjetja, uradne izjave oblasti, da je manjšinska naložba vlagatelja brez vsakršne vrednosti, protizakonitega zmanjšanja delnic vlagatelja v družbi in njegove iztisnitve iz lastništva Premogovnika Velenje, d. d.</w:t>
      </w:r>
    </w:p>
    <w:p w14:paraId="5A4085C8" w14:textId="77777777" w:rsidR="00695AE2" w:rsidRPr="00CB5050" w:rsidRDefault="00695AE2" w:rsidP="00695AE2">
      <w:pPr>
        <w:suppressAutoHyphens/>
        <w:spacing w:line="240" w:lineRule="auto"/>
        <w:jc w:val="both"/>
        <w:rPr>
          <w:rFonts w:eastAsia="Times New Roman"/>
          <w:lang w:eastAsia="sl-SI"/>
        </w:rPr>
      </w:pPr>
    </w:p>
    <w:p w14:paraId="78592943"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Škoda je v zahtevi za arbitražo ocenjena na 38.275.000,00 milijonov evrov s pripadki, poleg nje pa vlagatelj zahteva tudi plačilo vseh stroškov in izdatkov, povezanih z arbitražnim postopkom pred ICSID.</w:t>
      </w:r>
    </w:p>
    <w:p w14:paraId="0F90E6DB" w14:textId="77777777" w:rsidR="00695AE2" w:rsidRPr="00CB5050" w:rsidRDefault="00695AE2" w:rsidP="00695AE2">
      <w:pPr>
        <w:suppressAutoHyphens/>
        <w:spacing w:line="240" w:lineRule="auto"/>
        <w:jc w:val="both"/>
        <w:rPr>
          <w:rFonts w:eastAsia="Times New Roman"/>
          <w:lang w:eastAsia="sl-SI"/>
        </w:rPr>
      </w:pPr>
    </w:p>
    <w:p w14:paraId="44F5083F" w14:textId="77777777" w:rsidR="00695AE2" w:rsidRPr="00CB5050" w:rsidRDefault="00695AE2" w:rsidP="00695AE2">
      <w:pPr>
        <w:spacing w:line="240" w:lineRule="auto"/>
        <w:jc w:val="both"/>
        <w:rPr>
          <w:rFonts w:eastAsia="Calibri"/>
        </w:rPr>
      </w:pPr>
      <w:r w:rsidRPr="00CB5050">
        <w:rPr>
          <w:rFonts w:eastAsia="Calibri"/>
        </w:rPr>
        <w:t>Po izvedenih ključnih procesnih opravilih v prvi fazi postopka (konstituiranje arbitražnega tribunala, izdaja procesnega sklepa z vsebino in časovnico posameznih procesnih dejanj, oblikovanje medresorske delovne skupine v pomoč zastopniški ekipi Republike Slovenije, pridobitev ključne dokumentacije idr.) so bila v letu 2025 izvedena tudi vsebinska procesna dejanja, in sicer izmenjava pisnih stališč strank v enem krogu pisnega postopka (memorandum tožnika in odgovor Slovenije nanj), vložitev zahtev za predložitev dokumentov, predložitev nespornih dokumentov in/ali vložitev ugovorov na zahteve za predložitev dokumentov s strani nasprotne stranke.</w:t>
      </w:r>
    </w:p>
    <w:bookmarkEnd w:id="1136"/>
    <w:p w14:paraId="074A2491" w14:textId="77777777" w:rsidR="00695AE2" w:rsidRPr="00CB5050" w:rsidRDefault="00695AE2" w:rsidP="00695AE2">
      <w:pPr>
        <w:spacing w:line="240" w:lineRule="auto"/>
        <w:jc w:val="both"/>
        <w:rPr>
          <w:rFonts w:eastAsia="Calibri"/>
          <w:sz w:val="36"/>
          <w:szCs w:val="36"/>
        </w:rPr>
      </w:pPr>
    </w:p>
    <w:p w14:paraId="426993AF" w14:textId="77777777" w:rsidR="00695AE2" w:rsidRPr="00CB5050" w:rsidRDefault="00695AE2" w:rsidP="00695AE2">
      <w:pPr>
        <w:pStyle w:val="Naslov1"/>
        <w:rPr>
          <w:rFonts w:eastAsia="Calibri"/>
        </w:rPr>
      </w:pPr>
      <w:bookmarkStart w:id="1137" w:name="_Toc223094104"/>
      <w:r w:rsidRPr="00CB5050">
        <w:rPr>
          <w:rFonts w:eastAsia="Calibri"/>
        </w:rPr>
        <w:t>PRIKAZ IN OCENA ZAHTEVNEJŠIH PRIMEROV</w:t>
      </w:r>
      <w:bookmarkEnd w:id="1137"/>
    </w:p>
    <w:p w14:paraId="67538593" w14:textId="77777777" w:rsidR="00695AE2" w:rsidRPr="00CB5050" w:rsidRDefault="00695AE2" w:rsidP="00695AE2">
      <w:pPr>
        <w:spacing w:line="240" w:lineRule="auto"/>
        <w:jc w:val="both"/>
        <w:rPr>
          <w:rFonts w:eastAsia="Calibri"/>
          <w:b/>
          <w:bCs/>
          <w:color w:val="007466"/>
          <w:sz w:val="36"/>
          <w:szCs w:val="36"/>
        </w:rPr>
      </w:pPr>
    </w:p>
    <w:p w14:paraId="0A3852EA" w14:textId="77777777" w:rsidR="00695AE2" w:rsidRPr="00CB5050" w:rsidRDefault="00695AE2" w:rsidP="00695AE2">
      <w:pPr>
        <w:tabs>
          <w:tab w:val="left" w:pos="283"/>
        </w:tabs>
        <w:autoSpaceDE w:val="0"/>
        <w:autoSpaceDN w:val="0"/>
        <w:adjustRightInd w:val="0"/>
        <w:spacing w:line="240" w:lineRule="auto"/>
        <w:jc w:val="both"/>
        <w:textAlignment w:val="center"/>
        <w:rPr>
          <w:rFonts w:eastAsia="Calibri"/>
          <w:i/>
          <w:iCs/>
          <w:color w:val="000000"/>
          <w:lang w:val="sk-SK"/>
        </w:rPr>
      </w:pPr>
      <w:r w:rsidRPr="00CB5050">
        <w:rPr>
          <w:rFonts w:eastAsia="Calibri"/>
          <w:color w:val="000000"/>
          <w:lang w:val="sk-SK"/>
        </w:rPr>
        <w:lastRenderedPageBreak/>
        <w:t xml:space="preserve">V tem poglavju Državno odvetništvo RS predstavlja posamezne sodne zadeve s posameznega področja svojega delovanja, ki so se v letu 2025 v okviru opravljanja zastopniške funkcije Državnega odvetništva RS pokazale </w:t>
      </w:r>
      <w:r w:rsidRPr="00CB5050">
        <w:rPr>
          <w:rFonts w:eastAsia="Calibri"/>
          <w:bCs/>
          <w:color w:val="000000"/>
          <w:lang w:val="sk-SK"/>
        </w:rPr>
        <w:t>še za posebej pomembne ali zahtevne</w:t>
      </w:r>
      <w:r w:rsidRPr="00CB5050">
        <w:rPr>
          <w:rFonts w:eastAsia="Calibri"/>
          <w:color w:val="000000"/>
          <w:lang w:val="sk-SK"/>
        </w:rPr>
        <w:t xml:space="preserve">. Ob tem Državno odvetništvo RS opozarja, da je za razumevanje načina, obsega in vsebine njegovega dela treba upoštevati, da učinkovitosti dela Državnega odvetništva RS </w:t>
      </w:r>
      <w:r w:rsidRPr="00CB5050">
        <w:rPr>
          <w:rFonts w:eastAsia="Calibri"/>
          <w:bCs/>
          <w:color w:val="000000"/>
          <w:lang w:val="sk-SK"/>
        </w:rPr>
        <w:t>ni vedno mogoče enačiti z uspehom v postopku</w:t>
      </w:r>
      <w:r w:rsidRPr="00CB5050">
        <w:rPr>
          <w:rFonts w:eastAsia="Calibri"/>
          <w:i/>
          <w:iCs/>
          <w:color w:val="000000"/>
          <w:lang w:val="sk-SK"/>
        </w:rPr>
        <w:t xml:space="preserve">. </w:t>
      </w:r>
    </w:p>
    <w:p w14:paraId="2DD18DD0" w14:textId="77777777" w:rsidR="00695AE2" w:rsidRPr="003774C4" w:rsidRDefault="00695AE2" w:rsidP="00695AE2">
      <w:pPr>
        <w:tabs>
          <w:tab w:val="left" w:pos="283"/>
        </w:tabs>
        <w:autoSpaceDE w:val="0"/>
        <w:autoSpaceDN w:val="0"/>
        <w:adjustRightInd w:val="0"/>
        <w:spacing w:line="240" w:lineRule="auto"/>
        <w:jc w:val="both"/>
        <w:textAlignment w:val="center"/>
        <w:rPr>
          <w:rFonts w:eastAsia="Calibri"/>
          <w:color w:val="000000"/>
          <w:sz w:val="28"/>
          <w:szCs w:val="28"/>
          <w:lang w:val="sk-SK"/>
        </w:rPr>
      </w:pPr>
    </w:p>
    <w:p w14:paraId="5B3A1DE2" w14:textId="77777777" w:rsidR="00695AE2" w:rsidRPr="003774C4" w:rsidRDefault="00695AE2" w:rsidP="00695AE2">
      <w:pPr>
        <w:pStyle w:val="Naslov2"/>
        <w:rPr>
          <w:lang w:val="sk-SK"/>
        </w:rPr>
      </w:pPr>
      <w:bookmarkStart w:id="1138" w:name="_Toc128566418"/>
      <w:bookmarkStart w:id="1139" w:name="_Toc65590066"/>
      <w:bookmarkStart w:id="1140" w:name="_Toc168845111"/>
      <w:bookmarkStart w:id="1141" w:name="_Toc191562114"/>
      <w:bookmarkStart w:id="1142" w:name="_Toc223094105"/>
      <w:r w:rsidRPr="003774C4">
        <w:rPr>
          <w:lang w:val="sk-SK"/>
        </w:rPr>
        <w:t>Civilnopravne in gospodarske</w:t>
      </w:r>
      <w:bookmarkEnd w:id="1138"/>
      <w:r w:rsidRPr="003774C4">
        <w:rPr>
          <w:lang w:val="sk-SK"/>
        </w:rPr>
        <w:t xml:space="preserve"> </w:t>
      </w:r>
      <w:bookmarkEnd w:id="1139"/>
      <w:r w:rsidRPr="003774C4">
        <w:rPr>
          <w:lang w:val="sk-SK"/>
        </w:rPr>
        <w:t>zadeve</w:t>
      </w:r>
      <w:bookmarkEnd w:id="1140"/>
      <w:bookmarkEnd w:id="1141"/>
      <w:bookmarkEnd w:id="1142"/>
    </w:p>
    <w:p w14:paraId="5F993F37" w14:textId="77777777" w:rsidR="00695AE2" w:rsidRPr="003774C4" w:rsidRDefault="00695AE2" w:rsidP="00695AE2">
      <w:pPr>
        <w:tabs>
          <w:tab w:val="left" w:pos="283"/>
        </w:tabs>
        <w:autoSpaceDE w:val="0"/>
        <w:autoSpaceDN w:val="0"/>
        <w:adjustRightInd w:val="0"/>
        <w:spacing w:line="240" w:lineRule="auto"/>
        <w:jc w:val="both"/>
        <w:textAlignment w:val="center"/>
        <w:rPr>
          <w:rFonts w:eastAsia="Calibri"/>
          <w:color w:val="000000"/>
          <w:sz w:val="28"/>
          <w:szCs w:val="28"/>
        </w:rPr>
      </w:pPr>
    </w:p>
    <w:p w14:paraId="151B1233" w14:textId="77777777" w:rsidR="00695AE2" w:rsidRDefault="00695AE2" w:rsidP="00695AE2">
      <w:pPr>
        <w:pStyle w:val="Naslov3"/>
      </w:pPr>
      <w:bookmarkStart w:id="1143" w:name="_Toc223094106"/>
      <w:r w:rsidRPr="00137924">
        <w:t>Zadeve zaradi odškodninske odgovornosti Republike Slovenije</w:t>
      </w:r>
      <w:bookmarkEnd w:id="1143"/>
      <w:r w:rsidRPr="00137924">
        <w:t xml:space="preserve"> </w:t>
      </w:r>
    </w:p>
    <w:p w14:paraId="4A95F39C" w14:textId="77777777" w:rsidR="00695AE2" w:rsidRPr="00C04F32" w:rsidRDefault="00695AE2" w:rsidP="00695AE2">
      <w:pPr>
        <w:pStyle w:val="Jasna"/>
        <w:rPr>
          <w:sz w:val="28"/>
          <w:szCs w:val="28"/>
        </w:rPr>
      </w:pPr>
    </w:p>
    <w:p w14:paraId="75AF93A4" w14:textId="77777777" w:rsidR="00695AE2" w:rsidRPr="006F5DEC" w:rsidRDefault="00695AE2" w:rsidP="00695AE2">
      <w:pPr>
        <w:tabs>
          <w:tab w:val="left" w:pos="1440"/>
        </w:tabs>
        <w:spacing w:line="240" w:lineRule="auto"/>
        <w:jc w:val="both"/>
        <w:rPr>
          <w:rFonts w:cstheme="minorHAnsi"/>
          <w:b/>
          <w:color w:val="007466"/>
        </w:rPr>
      </w:pPr>
      <w:r w:rsidRPr="006F5DEC">
        <w:rPr>
          <w:rFonts w:cstheme="minorHAnsi"/>
          <w:b/>
          <w:color w:val="007466"/>
        </w:rPr>
        <w:t>Sodba in sklep Višjega sodišča v Ljubljani, opr. št. II Cp 1041/2024 z dne 16. 1. 2025</w:t>
      </w:r>
    </w:p>
    <w:p w14:paraId="6BBFF0F6"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p>
    <w:p w14:paraId="3D8C0D45" w14:textId="77777777" w:rsidR="00695AE2" w:rsidRPr="00C04F32" w:rsidRDefault="00695AE2" w:rsidP="00695AE2">
      <w:pPr>
        <w:pStyle w:val="Sprotnaopomba-besedilo"/>
        <w:jc w:val="both"/>
        <w:rPr>
          <w:sz w:val="24"/>
          <w:szCs w:val="24"/>
        </w:rPr>
      </w:pPr>
      <w:r w:rsidRPr="00C04F32">
        <w:rPr>
          <w:bCs/>
          <w:color w:val="303030"/>
          <w:sz w:val="24"/>
          <w:szCs w:val="24"/>
        </w:rPr>
        <w:t>Zadeva je bila kot pomemba označena zaradi velike medijske izpostavljenosti, višine in narave zahtevkov ter kompleksnega in dolgotrajnega dokaznega postopka</w:t>
      </w:r>
      <w:r w:rsidRPr="00C04F32">
        <w:rPr>
          <w:color w:val="303030"/>
          <w:sz w:val="24"/>
          <w:szCs w:val="24"/>
        </w:rPr>
        <w:t>.</w:t>
      </w:r>
    </w:p>
    <w:p w14:paraId="40E5EC4E" w14:textId="77777777" w:rsidR="00695AE2" w:rsidRPr="00C04F32" w:rsidRDefault="00695AE2" w:rsidP="00695AE2">
      <w:pPr>
        <w:pStyle w:val="Navadensplet"/>
        <w:spacing w:line="240" w:lineRule="auto"/>
        <w:jc w:val="both"/>
        <w:textAlignment w:val="baseline"/>
        <w:rPr>
          <w:rFonts w:ascii="Calibri" w:hAnsi="Calibri" w:cs="Calibri"/>
          <w:bCs/>
          <w:color w:val="303030"/>
        </w:rPr>
      </w:pPr>
    </w:p>
    <w:p w14:paraId="4FA736D0" w14:textId="77777777" w:rsidR="00695AE2" w:rsidRPr="00C04F32" w:rsidRDefault="00695AE2" w:rsidP="00695AE2">
      <w:pPr>
        <w:spacing w:line="240" w:lineRule="auto"/>
        <w:ind w:right="19"/>
        <w:jc w:val="both"/>
        <w:rPr>
          <w:bCs/>
        </w:rPr>
      </w:pPr>
      <w:r w:rsidRPr="00C04F32">
        <w:rPr>
          <w:bCs/>
        </w:rPr>
        <w:t xml:space="preserve">Tožeča stranka, kot pravni naslednik izbrisane družbe, je na podlagi 26. člena Ustave RS ter 170. do 172. člena ZOR od Republike Slovenije s tožbo, ki je bila vložena leta 2006, zahteval plačilo odškodnine v višini 12.090.055,61 evrov z zakonskimi zamudnimi obrestmi ter </w:t>
      </w:r>
      <w:bookmarkStart w:id="1144" w:name="_Hlk222401709"/>
      <w:r w:rsidRPr="00C04F32">
        <w:rPr>
          <w:bCs/>
        </w:rPr>
        <w:t xml:space="preserve">mesečno rento v višini 42.563,85 </w:t>
      </w:r>
      <w:bookmarkEnd w:id="1144"/>
      <w:r w:rsidRPr="00C04F32">
        <w:rPr>
          <w:bCs/>
        </w:rPr>
        <w:t>evrov. Tožnik je zahteval plačilo odškodnine zaradi izgubljenega dobička družbe, katere edini družbenik je bil, za obdobje od 1. 4. 2000 do 30. 4. 2006 ter zamudne obresti od posameznega mesečnega obroka za to obdobje; odškodnino za nadaljnjo in bodočo škodo za izgubo dohodka, ki jo je oblikoval kot rentni zahtevek; odškodnino zaradi nezmožnosti koriščenja patenta od 1. 1. 1999 do 31. 12. 2005; povrnitev škode zaradi v izvršilnem postopku prodane opreme pivovarne v letu 2006 ter škodo zaradi izgubljene hiše, ki mu je nastala s prodajo dne 26. 8. 2003.</w:t>
      </w:r>
    </w:p>
    <w:p w14:paraId="5CEEB888" w14:textId="77777777" w:rsidR="00695AE2" w:rsidRPr="00C04F32" w:rsidRDefault="00695AE2" w:rsidP="00695AE2">
      <w:pPr>
        <w:spacing w:line="240" w:lineRule="auto"/>
        <w:ind w:right="19"/>
        <w:jc w:val="both"/>
        <w:rPr>
          <w:rFonts w:eastAsia="Times New Roman"/>
          <w:bCs/>
          <w:lang w:eastAsia="sl-SI"/>
        </w:rPr>
      </w:pPr>
    </w:p>
    <w:p w14:paraId="4D2A139F" w14:textId="77777777" w:rsidR="00695AE2" w:rsidRPr="00C04F32" w:rsidRDefault="00695AE2" w:rsidP="00695AE2">
      <w:pPr>
        <w:spacing w:line="240" w:lineRule="auto"/>
        <w:ind w:right="19"/>
        <w:jc w:val="both"/>
        <w:rPr>
          <w:bCs/>
        </w:rPr>
      </w:pPr>
      <w:r w:rsidRPr="00C04F32">
        <w:rPr>
          <w:bCs/>
        </w:rPr>
        <w:t>Višje sodišče v Ljubljani je s sodbo, opr. št. II Cp 177/2018 z dne 4. 4. 2018 glede temelja tožbenega zahtevka, v zvezi z vmesno sodbo sodišča prve stopnje, pravnomočno odločilo, da je Republika Slovenija na podlagi 26. člena Ustave RS odškodninsko odgovorna za nezakonito delo inšpekcijskih organov – Zdravstvenega inšpektorata RS, zaradi nezakonite pisne inšpekcijske odločbe z dne 26. 11. 1998.</w:t>
      </w:r>
    </w:p>
    <w:p w14:paraId="623F88E9"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p>
    <w:p w14:paraId="3A743DCB"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r w:rsidRPr="00C04F32">
        <w:rPr>
          <w:rFonts w:ascii="Calibri" w:hAnsi="Calibri" w:cs="Calibri"/>
          <w:bCs/>
        </w:rPr>
        <w:t xml:space="preserve">V nadaljevanju je bila predmet odločanja še višina škode. V postopku so bili glede škode izvedeni številni dokazi, izdelano je bilo več izvedenskih mnenj (izvedenci ekonomske, biotehnološke in strojne stroke). Na izvedenska mnenja sta obe pravdni stranki podali številne pripombe in nato še pripombe na dopolnitve izvedenskih mnenj, na zadnji obravnavi pa sta bila zaslišana še izvedenca – profesorja Biotehniške fakultete v Ljubljani, prof. Kuhar in prof. Požrl. </w:t>
      </w:r>
    </w:p>
    <w:p w14:paraId="187364D9"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p>
    <w:p w14:paraId="1DF092FB"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r w:rsidRPr="00C04F32">
        <w:rPr>
          <w:rFonts w:ascii="Calibri" w:hAnsi="Calibri" w:cs="Calibri"/>
          <w:bCs/>
        </w:rPr>
        <w:t xml:space="preserve">Sodišče prve stopnje je  6. 1. 2024: s sklepom postopek delno ustavilo (zaradi umika tožbe glede plačila 442.850,00 evrov na račun škode zaradi izgube pivovarne); spremembe tožbe z dne 6. 12. 2023 ni dopustilo; s sodbo je tožbeni zahtevek tožnika na plačilo odškodnine v višini 11.647.205,61 evrov z zakonskimi zamudnimi obrestmi ter na plačilo rente v mesečnem znesku 42.563,85 evrov z zakonskimi zamudnimi obrestmi od zapadlosti posameznega obroka do plačila zaradi neto izgube na dobičku za čas od 1. 2. 2019 zavrnilo. Odločilo je, da mora </w:t>
      </w:r>
      <w:r w:rsidRPr="00C04F32">
        <w:rPr>
          <w:rFonts w:ascii="Calibri" w:hAnsi="Calibri" w:cs="Calibri"/>
          <w:bCs/>
        </w:rPr>
        <w:lastRenderedPageBreak/>
        <w:t xml:space="preserve">tožnik toženki v 15 dneh povrniti pravdne stroške v višini 36.994,50 evrov, v primeru zamude z zakonskimi zamudnimi obrestmi. </w:t>
      </w:r>
    </w:p>
    <w:p w14:paraId="314358DD"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p>
    <w:p w14:paraId="7FB4DA2B"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r w:rsidRPr="00C04F32">
        <w:rPr>
          <w:rFonts w:ascii="Calibri" w:hAnsi="Calibri" w:cs="Calibri"/>
          <w:bCs/>
        </w:rPr>
        <w:t xml:space="preserve">Sodišče druge stopnje je že v sodbi, opr. št. II Cp 177/2018 opozorilo, da bo glede na enotno postavljen tožbeni zahtevek za vso nastalo materialno škodo sodišče moralo v okviru odločanja o višini tožbenega zahtevka naknadno kritično presojati, kakšen bi bil domet tožnikove proizvodnje in s tem povezan finančni učinek ter kakšno dejansko prikrajšanje mu je na posameznem področju nastalo. Pri tem je opozorilo na sodno prakso Vrhovnega sodišča RS, opr. št. II Ips 166/2014, ki opozarja na namen izdaje vmesne sodbe ter dopušča, da se v kompleksnejših zadevah vprašanje, ali je škoda sploh nastala, prepusti nadaljnjemu postopku odločanja o znesku. Sodišče lahko kljub vmesni sodbi tožbeni zahtevek zavrne, če se izkaže, da škoda ni nastala. Predmet odločanja v obravnavanem postopku je bilo, ali je tožnik z zadostno verjetnostjo izkazal zatrjevano škodo, in ne, ali je ta v vzročni zvezi z ugotovljenim protipravnim ravnanjem, za katerega odgovarja toženka. Sodišče je po obširno izvedenem dokaznem postopku ugotovilo, da tožnik ni dokazal z dovolj visoko stopnjo verjetnosti, da mu je nastala vtoževana škoda, zato je tožbeni zahtevek v celoti zavrnilo. </w:t>
      </w:r>
    </w:p>
    <w:p w14:paraId="58229330"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rPr>
      </w:pPr>
    </w:p>
    <w:p w14:paraId="4175841C" w14:textId="77777777" w:rsidR="00695AE2" w:rsidRPr="00C04F32" w:rsidRDefault="00695AE2" w:rsidP="00695AE2">
      <w:pPr>
        <w:pStyle w:val="Navadensplet"/>
        <w:spacing w:line="240" w:lineRule="auto"/>
        <w:jc w:val="both"/>
        <w:textAlignment w:val="baseline"/>
        <w:rPr>
          <w:rFonts w:ascii="Calibri" w:hAnsi="Calibri" w:cs="Calibri"/>
          <w:bCs/>
        </w:rPr>
      </w:pPr>
      <w:r w:rsidRPr="00C04F32">
        <w:rPr>
          <w:rFonts w:ascii="Calibri" w:hAnsi="Calibri" w:cs="Calibri"/>
          <w:bCs/>
        </w:rPr>
        <w:t>Tožnik je zoper sodbo vložil pritožbo, o kateri je bilo odločeno s sodbo in sklepom Višjega sodišča v Ljubljani, opr. št. II Cp 1041/2024 z dne 16. 1. 2025.</w:t>
      </w:r>
    </w:p>
    <w:p w14:paraId="545A00AF"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p>
    <w:p w14:paraId="1BD9239A"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r w:rsidRPr="00C04F32">
        <w:rPr>
          <w:rFonts w:ascii="Calibri" w:hAnsi="Calibri" w:cs="Calibri"/>
          <w:bCs/>
          <w:color w:val="303030"/>
        </w:rPr>
        <w:t xml:space="preserve">Tožnik je zahteval odškodnino v skupnem znesku 12.090.055,61 evrov </w:t>
      </w:r>
      <w:bookmarkStart w:id="1145" w:name="_Hlk222401756"/>
      <w:r w:rsidRPr="00C04F32">
        <w:rPr>
          <w:rFonts w:ascii="Calibri" w:hAnsi="Calibri" w:cs="Calibri"/>
          <w:bCs/>
          <w:color w:val="303030"/>
        </w:rPr>
        <w:t xml:space="preserve">ter mesečno rento 42.563,85 evrov. </w:t>
      </w:r>
      <w:bookmarkEnd w:id="1145"/>
      <w:r w:rsidRPr="00C04F32">
        <w:rPr>
          <w:rFonts w:ascii="Calibri" w:hAnsi="Calibri" w:cs="Calibri"/>
          <w:bCs/>
          <w:color w:val="303030"/>
        </w:rPr>
        <w:t xml:space="preserve">S svojim zahtevkom je po temelju uspel v celoti, po višini pa manj kot 1 odstotek Sodišče druge stopnje je namreč pritožbi delno ugodilo, in sicer je tožniku prisodilo odškodnino za škodo iz naslova izgube nepremičnine v izvršilnem postopku v znesku 105.745,30 evrov z zakonskimi zamudnimi obrestmi od 2. 8. 2005 do plačila. V preostalem delu je pritožbo tožnika zavrnilo kot neutemeljeno in potrdilo sodbo sodišča prve stopnje. Glede stroškov je bilo odločeno, da vsaka stranka trpi svoje stroške. </w:t>
      </w:r>
    </w:p>
    <w:p w14:paraId="74377F3E"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p>
    <w:p w14:paraId="1019657D"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r w:rsidRPr="00C04F32">
        <w:rPr>
          <w:rFonts w:ascii="Calibri" w:hAnsi="Calibri" w:cs="Calibri"/>
          <w:bCs/>
          <w:color w:val="303030"/>
        </w:rPr>
        <w:t xml:space="preserve">Tožniku je bila torej prisojena zgolj odškodnina za nepremičnino, ki mu je bila prodana v izvršilnem postopku, kar je bilo v vzročni zvezi z nezakonito inšpekcijsko odločbo.  Tožniku je bilo iz tega naslova prisojeno manj, kot je zahteval. Nepremičnino tožnika je v izvršilnem postopku ocenil sodni izvedenec in cenilec po tržni vrednosti na dan 28. 11. 2001 v višini 50.681.611 tolarjev, kar preračunano znaša 211.490,60 evrov in ta znesek je zahteval tožnik.  To ceno sta kot ustrezno vrednost nepremičnine priznavali obe pravdni stranki, ker pa prva in druga javna dražba nista bili uspešni, je bila nepremičnina 26. 8. 2003 prodana na tretji javni dražbi za polovično vrednost 25.340.805 tolarjev oziroma 105.745,30 evrov. Sodišče druge stopnje je ugotovilo, da je bila tožnikova nepremičnina prodana pod realno vrednostjo ter je bil tožnik zaradi prodaje v izvršilnem postopku oškodovan za razliko med ocenjeno in prodano vrednostjo nepremičnine. Da bi se prikrajšanje tožnika zaradi prodaje po nižji vrednosti odpravilo, mu je dolžna toženka to škodo nadomestiti. Vsi ostali zahtevki so bili zavrnjeni zaradi pomanjkanja dokazov, nedokazanega obsega proizvodnje, nepreverljivih mnenj in ne izkazane realne možnosti dobička. </w:t>
      </w:r>
    </w:p>
    <w:p w14:paraId="3957188B"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p>
    <w:p w14:paraId="5D5565CF" w14:textId="77777777" w:rsidR="00695AE2" w:rsidRPr="00C04F32" w:rsidRDefault="00695AE2" w:rsidP="00695AE2">
      <w:pPr>
        <w:pStyle w:val="Navadensplet"/>
        <w:shd w:val="clear" w:color="auto" w:fill="FFFFFF"/>
        <w:spacing w:line="240" w:lineRule="auto"/>
        <w:jc w:val="both"/>
        <w:textAlignment w:val="baseline"/>
        <w:rPr>
          <w:rFonts w:ascii="Calibri" w:hAnsi="Calibri" w:cs="Calibri"/>
          <w:bCs/>
          <w:color w:val="303030"/>
        </w:rPr>
      </w:pPr>
      <w:r w:rsidRPr="00C04F32">
        <w:rPr>
          <w:rFonts w:ascii="Calibri" w:hAnsi="Calibri" w:cs="Calibri"/>
          <w:bCs/>
          <w:color w:val="303030"/>
        </w:rPr>
        <w:t xml:space="preserve">Zoper ugodilni del pravnomočne sodbe je Državno odvetništvo RS vložilo predlog za dopustitev revizije, prav tako je predlog za dopustitev revizije zoper zavrnilni del pravnomočne sodbe vložil tožnik. Oba predloga sta bila zavrnjena in tako se je ta dolgoletni postopek pravnomočno končal z velikim uspehom države. Kot  navedeno zgoraj, je tožnik uspel z manj </w:t>
      </w:r>
      <w:r w:rsidRPr="00C04F32">
        <w:rPr>
          <w:rFonts w:ascii="Calibri" w:hAnsi="Calibri" w:cs="Calibri"/>
          <w:bCs/>
          <w:color w:val="303030"/>
        </w:rPr>
        <w:lastRenderedPageBreak/>
        <w:t>kot 1 odstotkom tožbenega zahtevka po višini, pri čemer je treba izpostaviti, da s strani zastopanega subjekta ni bilo nobene strokovne podpore pri delu na zadevi in je ta uspeh izključno plod angažmaja Državnega odvetništva RS.</w:t>
      </w:r>
    </w:p>
    <w:p w14:paraId="302FA3D2" w14:textId="77777777" w:rsidR="00695AE2" w:rsidRDefault="00695AE2" w:rsidP="00695AE2">
      <w:pPr>
        <w:pStyle w:val="Navadensplet"/>
        <w:shd w:val="clear" w:color="auto" w:fill="FFFFFF"/>
        <w:textAlignment w:val="baseline"/>
        <w:rPr>
          <w:rFonts w:cstheme="minorHAnsi"/>
          <w:bCs/>
          <w:color w:val="303030"/>
        </w:rPr>
      </w:pPr>
    </w:p>
    <w:p w14:paraId="2EAC7F2A" w14:textId="77777777" w:rsidR="00695AE2" w:rsidRPr="006F5DEC" w:rsidRDefault="00695AE2" w:rsidP="00695AE2">
      <w:pPr>
        <w:spacing w:line="240" w:lineRule="auto"/>
        <w:ind w:left="-5"/>
        <w:rPr>
          <w:rFonts w:cstheme="minorHAnsi"/>
          <w:b/>
          <w:color w:val="007466"/>
        </w:rPr>
      </w:pPr>
      <w:r w:rsidRPr="006F5DEC">
        <w:rPr>
          <w:rFonts w:cstheme="minorHAnsi"/>
          <w:b/>
          <w:color w:val="007466"/>
        </w:rPr>
        <w:t xml:space="preserve">Sodba Višjega sodišča v Mariboru, opr. št. I Cp 7/2025 z dne 8. 4. 2025 </w:t>
      </w:r>
    </w:p>
    <w:p w14:paraId="2A9739DD" w14:textId="77777777" w:rsidR="00695AE2" w:rsidRDefault="00695AE2" w:rsidP="00695AE2">
      <w:pPr>
        <w:spacing w:line="240" w:lineRule="auto"/>
        <w:jc w:val="both"/>
        <w:rPr>
          <w:rFonts w:cstheme="minorHAnsi"/>
          <w:bCs/>
        </w:rPr>
      </w:pPr>
    </w:p>
    <w:p w14:paraId="06939154" w14:textId="77777777" w:rsidR="00695AE2" w:rsidRPr="00E314A2" w:rsidRDefault="00695AE2" w:rsidP="00695AE2">
      <w:pPr>
        <w:spacing w:line="240" w:lineRule="auto"/>
        <w:jc w:val="both"/>
        <w:rPr>
          <w:rFonts w:cstheme="minorHAnsi"/>
          <w:bCs/>
        </w:rPr>
      </w:pPr>
      <w:r w:rsidRPr="00E314A2">
        <w:rPr>
          <w:rFonts w:cstheme="minorHAnsi"/>
          <w:bCs/>
        </w:rPr>
        <w:t>Tožnik je vtoževal škodo na podlagi Zakona o ohranjanju narave (</w:t>
      </w:r>
      <w:r>
        <w:rPr>
          <w:rFonts w:cstheme="minorHAnsi"/>
          <w:bCs/>
        </w:rPr>
        <w:t xml:space="preserve">v nadaljevanju: </w:t>
      </w:r>
      <w:r w:rsidRPr="00E314A2">
        <w:rPr>
          <w:rFonts w:cstheme="minorHAnsi"/>
          <w:bCs/>
        </w:rPr>
        <w:t>ZON), ki so mu jo na njegovih poljščinah povzročile vrane.</w:t>
      </w:r>
    </w:p>
    <w:p w14:paraId="663B0646" w14:textId="77777777" w:rsidR="00695AE2" w:rsidRDefault="00695AE2" w:rsidP="00695AE2">
      <w:pPr>
        <w:spacing w:line="240" w:lineRule="auto"/>
        <w:jc w:val="both"/>
        <w:rPr>
          <w:rFonts w:cstheme="minorHAnsi"/>
          <w:bCs/>
        </w:rPr>
      </w:pPr>
    </w:p>
    <w:p w14:paraId="016CA591" w14:textId="77777777" w:rsidR="00695AE2" w:rsidRPr="00E314A2" w:rsidRDefault="00695AE2" w:rsidP="00695AE2">
      <w:pPr>
        <w:spacing w:line="240" w:lineRule="auto"/>
        <w:jc w:val="both"/>
        <w:rPr>
          <w:rFonts w:cstheme="minorHAnsi"/>
          <w:bCs/>
        </w:rPr>
      </w:pPr>
      <w:r w:rsidRPr="00E314A2">
        <w:rPr>
          <w:rFonts w:cstheme="minorHAnsi"/>
          <w:bCs/>
        </w:rPr>
        <w:t>92. člen ZON določa odgovornost R</w:t>
      </w:r>
      <w:r>
        <w:rPr>
          <w:rFonts w:cstheme="minorHAnsi"/>
          <w:bCs/>
        </w:rPr>
        <w:t>epublike Slovenije</w:t>
      </w:r>
      <w:r w:rsidRPr="00E314A2">
        <w:rPr>
          <w:rFonts w:cstheme="minorHAnsi"/>
          <w:bCs/>
        </w:rPr>
        <w:t xml:space="preserve"> za škodo, ki jo povzročijo zaščitene vrste živali, vendar pri tem ne gre za klasično odškodninsko odgovornost, ki bi se ravnala po pravilih Obligacijskega zakonika in izvirala iz protipravnega ravnanja oblasti. Gre namreč za primere normiranja, v katerem si je država sama s predpisi naložila obveznost, da bo posameznikom povrnila določene izgube (»škode«), čeprav teh izgub ni povzročila sama oziroma ji glede tega ni mogoče očitati protipravnega ravnanja. Njen temelj ni niti krivdna in protipravna povzročitev škode niti objektivna odgovornost za nevarne stvari oziroma dejavnosti, ampak gre za drugačno povrnitveno shemo: država se odloči, da bo riziko nastopa določene izgube, ki ga sicer sama po sebi ne bi nosila, odvzela oškodovancem in ga porazdelila med vse davkoplačevalce. Pri tem pa morajo biti izpolnjeni pogoji tudi na strani oškodovancev.</w:t>
      </w:r>
      <w:r>
        <w:rPr>
          <w:rFonts w:cstheme="minorHAnsi"/>
          <w:bCs/>
        </w:rPr>
        <w:t xml:space="preserve"> </w:t>
      </w:r>
      <w:r w:rsidRPr="00E314A2">
        <w:rPr>
          <w:rFonts w:cstheme="minorHAnsi"/>
          <w:bCs/>
        </w:rPr>
        <w:t>ZON določa, da je država odgovorna za škodo, ki jo povzročijo živali zavarovanih prostoživečih vrst, pri čemer pa nalaga tudi lastniku t</w:t>
      </w:r>
      <w:r>
        <w:rPr>
          <w:rFonts w:cstheme="minorHAnsi"/>
          <w:bCs/>
        </w:rPr>
        <w:t>. i.</w:t>
      </w:r>
      <w:r w:rsidRPr="00E314A2">
        <w:rPr>
          <w:rFonts w:cstheme="minorHAnsi"/>
          <w:bCs/>
        </w:rPr>
        <w:t xml:space="preserve"> »sodelovalno dolžnost«, to je obveznost, da poskrbi za ustrezne zaščitne ukrepe, da ne pride do škode. Taki ukrepi so n</w:t>
      </w:r>
      <w:r>
        <w:rPr>
          <w:rFonts w:cstheme="minorHAnsi"/>
          <w:bCs/>
        </w:rPr>
        <w:t>a primer</w:t>
      </w:r>
      <w:r w:rsidRPr="00E314A2">
        <w:rPr>
          <w:rFonts w:cstheme="minorHAnsi"/>
          <w:bCs/>
        </w:rPr>
        <w:t xml:space="preserve"> odvračanje, postavitev ustreznih ograj, zaščitnih mrež idr. </w:t>
      </w:r>
    </w:p>
    <w:p w14:paraId="40186200" w14:textId="77777777" w:rsidR="00695AE2" w:rsidRPr="00E314A2" w:rsidRDefault="00695AE2" w:rsidP="00695AE2">
      <w:pPr>
        <w:spacing w:line="240" w:lineRule="auto"/>
        <w:jc w:val="both"/>
        <w:rPr>
          <w:rFonts w:cstheme="minorHAnsi"/>
          <w:bCs/>
        </w:rPr>
      </w:pPr>
    </w:p>
    <w:p w14:paraId="027467EE" w14:textId="77777777" w:rsidR="00695AE2" w:rsidRPr="00E314A2" w:rsidRDefault="00695AE2" w:rsidP="00695AE2">
      <w:pPr>
        <w:spacing w:line="240" w:lineRule="auto"/>
        <w:jc w:val="both"/>
        <w:rPr>
          <w:rFonts w:cstheme="minorHAnsi"/>
          <w:bCs/>
        </w:rPr>
      </w:pPr>
      <w:r>
        <w:rPr>
          <w:rFonts w:cstheme="minorHAnsi"/>
          <w:bCs/>
        </w:rPr>
        <w:t>Tožena stranka Republika Slovenija je d</w:t>
      </w:r>
      <w:r w:rsidRPr="00E314A2">
        <w:rPr>
          <w:rFonts w:cstheme="minorHAnsi"/>
          <w:bCs/>
        </w:rPr>
        <w:t>okazoval</w:t>
      </w:r>
      <w:r>
        <w:rPr>
          <w:rFonts w:cstheme="minorHAnsi"/>
          <w:bCs/>
        </w:rPr>
        <w:t>a</w:t>
      </w:r>
      <w:r w:rsidRPr="00E314A2">
        <w:rPr>
          <w:rFonts w:cstheme="minorHAnsi"/>
          <w:bCs/>
        </w:rPr>
        <w:t>, da je bil glede na povzročitelja nastanek škode objektivno pričakovan, ker je v neposredni okolici premoženja, ki je enaka življenjskemu prostoru zavarovane živali, v obdobju zadnjih treh let že najmanj dvakrat prišlo do nastopa škodnega dogodka, kar je ministrstvo ob reševanju škodnega primera ugotovilo na podlagi vzpostavljene evidence.</w:t>
      </w:r>
      <w:r>
        <w:rPr>
          <w:rFonts w:cstheme="minorHAnsi"/>
          <w:bCs/>
        </w:rPr>
        <w:t xml:space="preserve"> </w:t>
      </w:r>
      <w:r w:rsidRPr="00E314A2">
        <w:rPr>
          <w:rFonts w:cstheme="minorHAnsi"/>
          <w:bCs/>
        </w:rPr>
        <w:t>Poljske vrane (Corvus frugilegus)  naseljujejo ravninsko kmetijsko krajino s prevladujočimi polji in travniki. Gnezditvene kolonije so bile zabeležene na Ljubljanskem, Krško - Brežiškem in Dravskem polju ter Pomurski ravnini. Kolonije oblikuje</w:t>
      </w:r>
      <w:r>
        <w:rPr>
          <w:rFonts w:cstheme="minorHAnsi"/>
          <w:bCs/>
        </w:rPr>
        <w:t>jo</w:t>
      </w:r>
      <w:r w:rsidRPr="00E314A2">
        <w:rPr>
          <w:rFonts w:cstheme="minorHAnsi"/>
          <w:bCs/>
        </w:rPr>
        <w:t xml:space="preserve"> v bližini človekovih bivališč, za gnezdenje pa potrebuje</w:t>
      </w:r>
      <w:r>
        <w:rPr>
          <w:rFonts w:cstheme="minorHAnsi"/>
          <w:bCs/>
        </w:rPr>
        <w:t>jo</w:t>
      </w:r>
      <w:r w:rsidRPr="00E314A2">
        <w:rPr>
          <w:rFonts w:cstheme="minorHAnsi"/>
          <w:bCs/>
        </w:rPr>
        <w:t xml:space="preserve"> visoka drevesa. Zaradi hrupa, ki ga povzročajo z oglašanjem v gnezditvenih kolonijah, so za mnoge ljudi zelo moteče in nepriljubljene. Vrsta se hrani predvsem na kmetijskih površinah, n</w:t>
      </w:r>
      <w:r>
        <w:rPr>
          <w:rFonts w:cstheme="minorHAnsi"/>
          <w:bCs/>
        </w:rPr>
        <w:t>a primer na</w:t>
      </w:r>
      <w:r w:rsidRPr="00E314A2">
        <w:rPr>
          <w:rFonts w:cstheme="minorHAnsi"/>
          <w:bCs/>
        </w:rPr>
        <w:t xml:space="preserve"> žitnih poljih, travnikih</w:t>
      </w:r>
      <w:r>
        <w:rPr>
          <w:rFonts w:cstheme="minorHAnsi"/>
          <w:bCs/>
        </w:rPr>
        <w:t>,</w:t>
      </w:r>
      <w:r w:rsidRPr="00E314A2">
        <w:rPr>
          <w:rFonts w:cstheme="minorHAnsi"/>
          <w:bCs/>
        </w:rPr>
        <w:t xml:space="preserve"> pašnikih, v povprečju 500 do 1000 m stran od gnezdišča. V nj</w:t>
      </w:r>
      <w:r>
        <w:rPr>
          <w:rFonts w:cstheme="minorHAnsi"/>
          <w:bCs/>
        </w:rPr>
        <w:t xml:space="preserve">ihovi </w:t>
      </w:r>
      <w:r w:rsidRPr="00E314A2">
        <w:rPr>
          <w:rFonts w:cstheme="minorHAnsi"/>
          <w:bCs/>
        </w:rPr>
        <w:t xml:space="preserve">prehrani prevladuje raznolika hrana rastlinskega izvora (žitna zrna in kalčki, semena drugih rastlin ter hrana, ki jo zavrže človek), v času gnezdenja in vzreje mladičev pa se močno poveča delež hrane živalskega izvora, predvsem deževnikov in žuželk. </w:t>
      </w:r>
    </w:p>
    <w:p w14:paraId="46C3D0CE" w14:textId="77777777" w:rsidR="00695AE2" w:rsidRDefault="00695AE2" w:rsidP="00695AE2">
      <w:pPr>
        <w:spacing w:line="240" w:lineRule="auto"/>
        <w:jc w:val="both"/>
        <w:rPr>
          <w:rFonts w:cstheme="minorHAnsi"/>
          <w:bCs/>
        </w:rPr>
      </w:pPr>
    </w:p>
    <w:p w14:paraId="612E4348" w14:textId="77777777" w:rsidR="00695AE2" w:rsidRDefault="00695AE2" w:rsidP="00695AE2">
      <w:pPr>
        <w:spacing w:line="240" w:lineRule="auto"/>
        <w:jc w:val="both"/>
        <w:rPr>
          <w:rFonts w:cstheme="minorHAnsi"/>
          <w:bCs/>
        </w:rPr>
      </w:pPr>
      <w:r w:rsidRPr="00E314A2">
        <w:rPr>
          <w:rFonts w:cstheme="minorHAnsi"/>
          <w:bCs/>
        </w:rPr>
        <w:t xml:space="preserve">Sodišče prve stopnje je odločilo, da je tožena stranka dolžna plačati tožeči stranki znesek 6.909,00 </w:t>
      </w:r>
      <w:r>
        <w:rPr>
          <w:rFonts w:cstheme="minorHAnsi"/>
          <w:bCs/>
        </w:rPr>
        <w:t>evrov</w:t>
      </w:r>
      <w:r w:rsidRPr="00E314A2">
        <w:rPr>
          <w:rFonts w:cstheme="minorHAnsi"/>
          <w:bCs/>
        </w:rPr>
        <w:t xml:space="preserve"> z zakonskimi zamudnimi obrestmi ter ji povrniti pravdne stroške</w:t>
      </w:r>
      <w:r>
        <w:rPr>
          <w:rFonts w:cstheme="minorHAnsi"/>
          <w:bCs/>
        </w:rPr>
        <w:t xml:space="preserve">. </w:t>
      </w:r>
      <w:r w:rsidRPr="00E314A2">
        <w:rPr>
          <w:rFonts w:cstheme="minorHAnsi"/>
          <w:bCs/>
        </w:rPr>
        <w:t xml:space="preserve"> Sodišče je sledilo navedbi tožnika, da za dogodke glede povzročitve škode poljskih vran na poljščinah ni vedel in ni mogel predvideti nastanka škodnega dogodka.</w:t>
      </w:r>
      <w:r>
        <w:rPr>
          <w:rFonts w:cstheme="minorHAnsi"/>
          <w:bCs/>
        </w:rPr>
        <w:t xml:space="preserve"> </w:t>
      </w:r>
      <w:r w:rsidRPr="00E314A2">
        <w:rPr>
          <w:rFonts w:cstheme="minorHAnsi"/>
          <w:bCs/>
        </w:rPr>
        <w:t xml:space="preserve">Postavilo se je na stališče, da je bil škodni dogodek za tožnika nepričakovan in nepredvidljiv, da ni bil seznanjen s predhodnimi primeri škode po poljskih vranah in da mu ni mogoče očitati ravnanja v nasprotju s skrbnostjo dobrega gospodarja. Po mnenju sodišča je tožnik naredil vse potrebno, kar se po 92. členu ZON od njega pričakuje, zato je podana odškodninska odgovornost države. </w:t>
      </w:r>
    </w:p>
    <w:p w14:paraId="46D806D5" w14:textId="77777777" w:rsidR="00695AE2" w:rsidRDefault="00695AE2" w:rsidP="00695AE2">
      <w:pPr>
        <w:spacing w:line="240" w:lineRule="auto"/>
        <w:jc w:val="both"/>
        <w:rPr>
          <w:rFonts w:cstheme="minorHAnsi"/>
          <w:bCs/>
        </w:rPr>
      </w:pPr>
    </w:p>
    <w:p w14:paraId="688B05DF" w14:textId="77777777" w:rsidR="00695AE2" w:rsidRPr="00E314A2" w:rsidRDefault="00695AE2" w:rsidP="00695AE2">
      <w:pPr>
        <w:spacing w:line="240" w:lineRule="auto"/>
        <w:jc w:val="both"/>
        <w:rPr>
          <w:rFonts w:cstheme="minorHAnsi"/>
          <w:bCs/>
        </w:rPr>
      </w:pPr>
      <w:r w:rsidRPr="00E314A2">
        <w:rPr>
          <w:rFonts w:cstheme="minorHAnsi"/>
          <w:bCs/>
        </w:rPr>
        <w:t>S pritožbo</w:t>
      </w:r>
      <w:r>
        <w:rPr>
          <w:rFonts w:cstheme="minorHAnsi"/>
          <w:bCs/>
        </w:rPr>
        <w:t xml:space="preserve">, v kateri je tožena stranka Republika Slovenija </w:t>
      </w:r>
      <w:r w:rsidRPr="00E314A2">
        <w:rPr>
          <w:rFonts w:cstheme="minorHAnsi"/>
          <w:bCs/>
        </w:rPr>
        <w:t>poskušal</w:t>
      </w:r>
      <w:r>
        <w:rPr>
          <w:rFonts w:cstheme="minorHAnsi"/>
          <w:bCs/>
        </w:rPr>
        <w:t>a</w:t>
      </w:r>
      <w:r w:rsidRPr="00E314A2">
        <w:rPr>
          <w:rFonts w:cstheme="minorHAnsi"/>
          <w:bCs/>
        </w:rPr>
        <w:t xml:space="preserve"> dokazati, da oškodovanec ni postopal v skladu s prvim odstavkom 92. člena ZON , ki navaja, da mora fizična ali pravna oseba, ki ji živali zavarovanih vrst lahko povzročijo škodo na premoženju, na primeren način kot dober gospodar in na svoje stroške narediti vse potrebno, da obvaruje svoje premoženje pred nastankom škode, kar je podrobneje določeno v Pravilniku o primernih načinih varovanja premoženja in vrstah ukrepov za preprečitev nadaljnje škode na premoženju (Uradni list RS, 74/05), ki v prvi točki 2. člena določa, da je dober gospodar tisti, ki svoje premoženje zaščiti na primeren način, glede na objektivno možnost nastanka škode na njem ter ravna v skladu s predpisi s področja ohranjanja narave, kmetijstva, gozdov, divjadi in lovstva, zaščite živali ter obligacijskih razmerij</w:t>
      </w:r>
      <w:r>
        <w:rPr>
          <w:rFonts w:cstheme="minorHAnsi"/>
          <w:bCs/>
        </w:rPr>
        <w:t xml:space="preserve">, tožena stranka </w:t>
      </w:r>
      <w:r w:rsidRPr="00E314A2">
        <w:rPr>
          <w:rFonts w:cstheme="minorHAnsi"/>
          <w:bCs/>
        </w:rPr>
        <w:t>ni</w:t>
      </w:r>
      <w:r>
        <w:rPr>
          <w:rFonts w:cstheme="minorHAnsi"/>
          <w:bCs/>
        </w:rPr>
        <w:t xml:space="preserve"> </w:t>
      </w:r>
      <w:r w:rsidRPr="00E314A2">
        <w:rPr>
          <w:rFonts w:cstheme="minorHAnsi"/>
          <w:bCs/>
        </w:rPr>
        <w:t>uspel</w:t>
      </w:r>
      <w:r>
        <w:rPr>
          <w:rFonts w:cstheme="minorHAnsi"/>
          <w:bCs/>
        </w:rPr>
        <w:t>a</w:t>
      </w:r>
      <w:r w:rsidRPr="00E314A2">
        <w:rPr>
          <w:rFonts w:cstheme="minorHAnsi"/>
          <w:bCs/>
        </w:rPr>
        <w:t xml:space="preserve">. </w:t>
      </w:r>
    </w:p>
    <w:p w14:paraId="386D3CD0" w14:textId="77777777" w:rsidR="00695AE2" w:rsidRPr="00E314A2" w:rsidRDefault="00695AE2" w:rsidP="00695AE2">
      <w:pPr>
        <w:spacing w:line="240" w:lineRule="auto"/>
        <w:jc w:val="both"/>
        <w:rPr>
          <w:rFonts w:cstheme="minorHAnsi"/>
          <w:bCs/>
          <w:color w:val="FF0000"/>
        </w:rPr>
      </w:pPr>
    </w:p>
    <w:p w14:paraId="51C2DA9E" w14:textId="77777777" w:rsidR="00695AE2" w:rsidRPr="006F5DEC" w:rsidRDefault="00695AE2" w:rsidP="00695AE2">
      <w:pPr>
        <w:spacing w:line="240" w:lineRule="auto"/>
        <w:jc w:val="both"/>
        <w:rPr>
          <w:rFonts w:eastAsia="Times New Roman" w:cstheme="minorHAnsi"/>
          <w:b/>
          <w:color w:val="007466"/>
          <w:w w:val="105"/>
        </w:rPr>
      </w:pPr>
      <w:r w:rsidRPr="006F5DEC">
        <w:rPr>
          <w:rFonts w:eastAsia="Times New Roman" w:cstheme="minorHAnsi"/>
          <w:b/>
          <w:color w:val="007466"/>
          <w:lang w:eastAsia="sl-SI"/>
        </w:rPr>
        <w:t>Sodba Višjega sodišča v Ljubljani, opr. št. II Cp 800/2024 z dne 23. 4. 2025</w:t>
      </w:r>
    </w:p>
    <w:p w14:paraId="3B49BE2F" w14:textId="77777777" w:rsidR="00695AE2" w:rsidRPr="00E314A2" w:rsidRDefault="00695AE2" w:rsidP="00695AE2">
      <w:pPr>
        <w:spacing w:line="240" w:lineRule="auto"/>
        <w:jc w:val="both"/>
        <w:rPr>
          <w:rFonts w:eastAsia="Times New Roman" w:cstheme="minorHAnsi"/>
          <w:bCs/>
          <w:w w:val="105"/>
        </w:rPr>
      </w:pPr>
    </w:p>
    <w:p w14:paraId="1711E24D" w14:textId="77777777" w:rsidR="00695AE2" w:rsidRPr="00E314A2" w:rsidRDefault="00695AE2" w:rsidP="00695AE2">
      <w:pPr>
        <w:spacing w:line="240" w:lineRule="auto"/>
        <w:jc w:val="both"/>
        <w:rPr>
          <w:rFonts w:eastAsia="Times New Roman" w:cstheme="minorHAnsi"/>
          <w:bCs/>
          <w:lang w:eastAsia="sl-SI"/>
        </w:rPr>
      </w:pPr>
      <w:r w:rsidRPr="00E314A2">
        <w:rPr>
          <w:rFonts w:eastAsia="Times New Roman" w:cstheme="minorHAnsi"/>
          <w:bCs/>
          <w:lang w:eastAsia="sl-SI"/>
        </w:rPr>
        <w:t xml:space="preserve">Tožnik, ki prestaja kazen zapora v Zavodu za prestajanje kazi zapora Dob pri Mirni, </w:t>
      </w:r>
      <w:r>
        <w:rPr>
          <w:rFonts w:eastAsia="Times New Roman" w:cstheme="minorHAnsi"/>
          <w:bCs/>
          <w:lang w:eastAsia="sl-SI"/>
        </w:rPr>
        <w:t xml:space="preserve">je </w:t>
      </w:r>
      <w:r w:rsidRPr="00E314A2">
        <w:rPr>
          <w:rFonts w:eastAsia="Times New Roman" w:cstheme="minorHAnsi"/>
          <w:bCs/>
          <w:lang w:eastAsia="sl-SI"/>
        </w:rPr>
        <w:t>od R</w:t>
      </w:r>
      <w:r>
        <w:rPr>
          <w:rFonts w:eastAsia="Times New Roman" w:cstheme="minorHAnsi"/>
          <w:bCs/>
          <w:lang w:eastAsia="sl-SI"/>
        </w:rPr>
        <w:t>epublike Slovenije</w:t>
      </w:r>
      <w:r w:rsidRPr="00E314A2">
        <w:rPr>
          <w:rFonts w:eastAsia="Times New Roman" w:cstheme="minorHAnsi"/>
          <w:bCs/>
          <w:lang w:eastAsia="sl-SI"/>
        </w:rPr>
        <w:t xml:space="preserve"> zahteva</w:t>
      </w:r>
      <w:r>
        <w:rPr>
          <w:rFonts w:eastAsia="Times New Roman" w:cstheme="minorHAnsi"/>
          <w:bCs/>
          <w:lang w:eastAsia="sl-SI"/>
        </w:rPr>
        <w:t>l</w:t>
      </w:r>
      <w:r w:rsidRPr="00E314A2">
        <w:rPr>
          <w:rFonts w:eastAsia="Times New Roman" w:cstheme="minorHAnsi"/>
          <w:bCs/>
          <w:lang w:eastAsia="sl-SI"/>
        </w:rPr>
        <w:t xml:space="preserve"> plačilo odškodnine za nematerialno škodo zaradi okužbe z virusom SARS COV-2. Navaja</w:t>
      </w:r>
      <w:r>
        <w:rPr>
          <w:rFonts w:eastAsia="Times New Roman" w:cstheme="minorHAnsi"/>
          <w:bCs/>
          <w:lang w:eastAsia="sl-SI"/>
        </w:rPr>
        <w:t>l je</w:t>
      </w:r>
      <w:r w:rsidRPr="00E314A2">
        <w:rPr>
          <w:rFonts w:eastAsia="Times New Roman" w:cstheme="minorHAnsi"/>
          <w:bCs/>
          <w:lang w:eastAsia="sl-SI"/>
        </w:rPr>
        <w:t>, da je bil okužen znotraj zavoda in je krivda za okužbo na strani zavoda</w:t>
      </w:r>
      <w:r>
        <w:rPr>
          <w:rFonts w:eastAsia="Times New Roman" w:cstheme="minorHAnsi"/>
          <w:bCs/>
          <w:lang w:eastAsia="sl-SI"/>
        </w:rPr>
        <w:t xml:space="preserve"> ter</w:t>
      </w:r>
      <w:r w:rsidRPr="00E314A2">
        <w:rPr>
          <w:rFonts w:eastAsia="Times New Roman" w:cstheme="minorHAnsi"/>
          <w:bCs/>
          <w:lang w:eastAsia="sl-SI"/>
        </w:rPr>
        <w:t xml:space="preserve"> da ga je bilo zelo strah za življenje, ker spada v rizično skupino. </w:t>
      </w:r>
    </w:p>
    <w:p w14:paraId="2423538E" w14:textId="77777777" w:rsidR="00695AE2" w:rsidRPr="00E314A2" w:rsidRDefault="00695AE2" w:rsidP="00695AE2">
      <w:pPr>
        <w:spacing w:line="240" w:lineRule="auto"/>
        <w:jc w:val="both"/>
        <w:rPr>
          <w:rFonts w:eastAsia="Times New Roman" w:cstheme="minorHAnsi"/>
          <w:bCs/>
          <w:lang w:eastAsia="sl-SI"/>
        </w:rPr>
      </w:pPr>
    </w:p>
    <w:p w14:paraId="7A492F2C" w14:textId="77777777" w:rsidR="00695AE2" w:rsidRPr="00E314A2" w:rsidRDefault="00695AE2" w:rsidP="00695AE2">
      <w:pPr>
        <w:spacing w:line="240" w:lineRule="auto"/>
        <w:jc w:val="both"/>
        <w:rPr>
          <w:rFonts w:cstheme="minorHAnsi"/>
          <w:bCs/>
        </w:rPr>
      </w:pPr>
      <w:r>
        <w:rPr>
          <w:rFonts w:eastAsia="Times New Roman" w:cstheme="minorHAnsi"/>
          <w:bCs/>
          <w:lang w:eastAsia="sl-SI"/>
        </w:rPr>
        <w:t xml:space="preserve">Sodišče prve stopnje </w:t>
      </w:r>
      <w:r w:rsidRPr="00E314A2">
        <w:rPr>
          <w:rFonts w:eastAsia="Times New Roman" w:cstheme="minorHAnsi"/>
          <w:bCs/>
          <w:lang w:eastAsia="sl-SI"/>
        </w:rPr>
        <w:t>je s sodbo tožbeni zahtevek v celoti zavrnilo.</w:t>
      </w:r>
      <w:r w:rsidRPr="00E314A2">
        <w:rPr>
          <w:rFonts w:cstheme="minorHAnsi"/>
          <w:bCs/>
        </w:rPr>
        <w:t xml:space="preserve"> </w:t>
      </w:r>
      <w:r>
        <w:rPr>
          <w:rFonts w:cstheme="minorHAnsi"/>
          <w:bCs/>
        </w:rPr>
        <w:t>Ugotovilo je, da je n</w:t>
      </w:r>
      <w:r w:rsidRPr="00E314A2">
        <w:rPr>
          <w:rFonts w:cstheme="minorHAnsi"/>
          <w:bCs/>
        </w:rPr>
        <w:t xml:space="preserve">esporno, da se je tožnik med prestajanjem zaporne kazni okužil z virusom </w:t>
      </w:r>
      <w:r w:rsidRPr="00E314A2">
        <w:rPr>
          <w:rFonts w:eastAsia="Times New Roman" w:cstheme="minorHAnsi"/>
          <w:bCs/>
          <w:lang w:eastAsia="sl-SI"/>
        </w:rPr>
        <w:t>SARS COV-2</w:t>
      </w:r>
      <w:r w:rsidRPr="00E314A2">
        <w:rPr>
          <w:rFonts w:cstheme="minorHAnsi"/>
          <w:bCs/>
        </w:rPr>
        <w:t xml:space="preserve">, vendar sodišče ugotavlja, da zavodu ni mogoče pripisati protipravnega ravnanja ali opustitve. Zavod je skladno z navodili NIJZ sprejel in izvajal vse potrebne ukrepe za preprečevanje širjenja okužbe ter opozarjal obsojence na samozaščitno ravnanje. Ukrepi so bili postopni, sorazmerni in v skladu s priporočili pristojnih institucij. Čeprav je bil tožnik posebej ranljiv zaradi kroničnega zdravstvenega stanja, posebnih navodil za njegovo namestitev ni bilo; zavod je spremljal zdravstveno stanje in po okužbi zagotovil izolacijo ter ustrezno zdravstveno oskrbo. Bolezen je </w:t>
      </w:r>
      <w:r>
        <w:rPr>
          <w:rFonts w:cstheme="minorHAnsi"/>
          <w:bCs/>
        </w:rPr>
        <w:t xml:space="preserve">tožnik </w:t>
      </w:r>
      <w:r w:rsidRPr="00E314A2">
        <w:rPr>
          <w:rFonts w:cstheme="minorHAnsi"/>
          <w:bCs/>
        </w:rPr>
        <w:t>prebolel brez večjih težav. Protipravnost ni izkazana, zato se sodišče ni opredeljevalo do drugih elementov odškodninske odgovornosti.</w:t>
      </w:r>
    </w:p>
    <w:p w14:paraId="64A39ADA" w14:textId="77777777" w:rsidR="00695AE2" w:rsidRDefault="00695AE2" w:rsidP="00695AE2">
      <w:pPr>
        <w:pStyle w:val="Bodytext10"/>
        <w:tabs>
          <w:tab w:val="left" w:pos="384"/>
        </w:tabs>
        <w:spacing w:after="0" w:line="240" w:lineRule="auto"/>
        <w:jc w:val="both"/>
        <w:rPr>
          <w:rFonts w:eastAsia="Times New Roman" w:cstheme="minorHAnsi"/>
          <w:bCs/>
          <w:lang w:eastAsia="sl-SI"/>
        </w:rPr>
      </w:pPr>
    </w:p>
    <w:p w14:paraId="73787E60" w14:textId="77777777" w:rsidR="00695AE2" w:rsidRPr="00E314A2" w:rsidRDefault="00695AE2" w:rsidP="00695AE2">
      <w:pPr>
        <w:pStyle w:val="Bodytext10"/>
        <w:tabs>
          <w:tab w:val="left" w:pos="384"/>
        </w:tabs>
        <w:spacing w:after="0" w:line="240" w:lineRule="auto"/>
        <w:jc w:val="both"/>
        <w:rPr>
          <w:rFonts w:cstheme="minorHAnsi"/>
          <w:bCs/>
        </w:rPr>
      </w:pPr>
      <w:r w:rsidRPr="00E314A2">
        <w:rPr>
          <w:rFonts w:eastAsia="Times New Roman" w:cstheme="minorHAnsi"/>
          <w:bCs/>
          <w:lang w:eastAsia="sl-SI"/>
        </w:rPr>
        <w:t xml:space="preserve">Tožnik je zoper sodbo vložil pritožbo, ki jo je </w:t>
      </w:r>
      <w:r>
        <w:rPr>
          <w:rFonts w:eastAsia="Times New Roman" w:cstheme="minorHAnsi"/>
          <w:bCs/>
          <w:lang w:eastAsia="sl-SI"/>
        </w:rPr>
        <w:t xml:space="preserve">sodišče druge stopnje </w:t>
      </w:r>
      <w:r w:rsidRPr="00E314A2">
        <w:rPr>
          <w:rFonts w:eastAsia="Times New Roman" w:cstheme="minorHAnsi"/>
          <w:bCs/>
          <w:lang w:eastAsia="sl-SI"/>
        </w:rPr>
        <w:t>zavrnilo. Iz obrazložitve izhaja, da je d</w:t>
      </w:r>
      <w:r w:rsidRPr="00E314A2">
        <w:rPr>
          <w:rStyle w:val="Bodytext1"/>
          <w:rFonts w:cstheme="minorHAnsi"/>
          <w:bCs/>
        </w:rPr>
        <w:t xml:space="preserve">okazni postopek pokazal, da so se v zavodu takoj, ko se je začel COVID-19, povezali z Zdravstvenim domom Trebnje in NIJZ ter uvajali ukrepe in prenašali prejeta navodila zaprtim osebam in zaposlenim. Navodila so podajali ustno in pisno, opozarjali na higieno, medsebojno razdaljo, zagotovili so zaščitna sredstva, omejili gibanje, izhode v zunanje delavnice, obveščali o okuženih in podobno. </w:t>
      </w:r>
      <w:r w:rsidRPr="00E314A2">
        <w:rPr>
          <w:rFonts w:eastAsia="Times New Roman" w:cstheme="minorHAnsi"/>
          <w:bCs/>
          <w:lang w:eastAsia="sl-SI"/>
        </w:rPr>
        <w:t>T</w:t>
      </w:r>
      <w:r w:rsidRPr="00E314A2">
        <w:rPr>
          <w:rStyle w:val="Bodytext1"/>
          <w:rFonts w:cstheme="minorHAnsi"/>
          <w:bCs/>
        </w:rPr>
        <w:t>udi po prepričanju sodišča</w:t>
      </w:r>
      <w:r>
        <w:rPr>
          <w:rStyle w:val="Bodytext1"/>
          <w:rFonts w:cstheme="minorHAnsi"/>
          <w:bCs/>
        </w:rPr>
        <w:t xml:space="preserve"> druge stopnje</w:t>
      </w:r>
      <w:r w:rsidRPr="00E314A2">
        <w:rPr>
          <w:rStyle w:val="Bodytext1"/>
          <w:rFonts w:cstheme="minorHAnsi"/>
          <w:bCs/>
        </w:rPr>
        <w:t xml:space="preserve"> navedeno zadostuje za ugotovitev, da zavodu ni moč očitati protipravnega ravnanja ali opustitve, saj je, enako kot vse javne in zasebne ustanove v državi, sproti prilagajal svoje delovanje v skladu s sveže prejetimi informacijami. Splošno znano je, da je epidemija leta 2020 zajela cel svet in da so se njene razsežnosti (kot tudi učinkovite metode preprečevanja okužb) razkrile postopoma. Življenjsko logično pa je, da niti konkretni niti katerikoli primerljivi zavod ne more imeti na razpolago dovolj osebja, da bi to neprestano, štiriindvajset ur na dan fizično nadziralo izvajanje zaščitnih ukrepov pri vsaki posamezni zaprti osebi.</w:t>
      </w:r>
    </w:p>
    <w:p w14:paraId="70951944" w14:textId="77777777" w:rsidR="00695AE2" w:rsidRDefault="00695AE2" w:rsidP="00695AE2">
      <w:pPr>
        <w:pStyle w:val="Navadensplet"/>
        <w:shd w:val="clear" w:color="auto" w:fill="FFFFFF"/>
        <w:textAlignment w:val="baseline"/>
        <w:rPr>
          <w:rFonts w:cstheme="minorHAnsi"/>
          <w:bCs/>
          <w:color w:val="303030"/>
        </w:rPr>
      </w:pPr>
    </w:p>
    <w:p w14:paraId="22F7313A" w14:textId="77777777" w:rsidR="00695AE2" w:rsidRPr="006F5DEC" w:rsidRDefault="00695AE2" w:rsidP="00695AE2">
      <w:pPr>
        <w:spacing w:line="240" w:lineRule="auto"/>
        <w:jc w:val="both"/>
        <w:rPr>
          <w:rFonts w:cstheme="minorHAnsi"/>
          <w:b/>
          <w:color w:val="007466"/>
        </w:rPr>
      </w:pPr>
      <w:r w:rsidRPr="006F5DEC">
        <w:rPr>
          <w:rFonts w:cstheme="minorHAnsi"/>
          <w:b/>
          <w:color w:val="007466"/>
        </w:rPr>
        <w:t xml:space="preserve">Sodba Višjega sodišča v Mariboru, opr. št. I Cp 181/2025 z dne 19. 6. 2025 </w:t>
      </w:r>
    </w:p>
    <w:p w14:paraId="00284ABA" w14:textId="77777777" w:rsidR="00695AE2" w:rsidRPr="00E314A2" w:rsidRDefault="00695AE2" w:rsidP="00695AE2">
      <w:pPr>
        <w:spacing w:line="240" w:lineRule="auto"/>
        <w:jc w:val="both"/>
        <w:rPr>
          <w:rFonts w:cstheme="minorHAnsi"/>
          <w:bCs/>
        </w:rPr>
      </w:pPr>
    </w:p>
    <w:p w14:paraId="24C76E14" w14:textId="77777777" w:rsidR="00695AE2" w:rsidRDefault="00695AE2" w:rsidP="00695AE2">
      <w:pPr>
        <w:spacing w:line="240" w:lineRule="auto"/>
        <w:jc w:val="both"/>
        <w:rPr>
          <w:rFonts w:cstheme="minorHAnsi"/>
          <w:bCs/>
        </w:rPr>
      </w:pPr>
      <w:r w:rsidRPr="00E314A2">
        <w:rPr>
          <w:rFonts w:cstheme="minorHAnsi"/>
          <w:bCs/>
        </w:rPr>
        <w:lastRenderedPageBreak/>
        <w:t xml:space="preserve">Tožnik je vtoževal plačilo odškodnine za škodo, ki naj bi bila posledica ravnanja </w:t>
      </w:r>
      <w:r>
        <w:rPr>
          <w:rFonts w:cstheme="minorHAnsi"/>
          <w:bCs/>
        </w:rPr>
        <w:t>o</w:t>
      </w:r>
      <w:r w:rsidRPr="00E314A2">
        <w:rPr>
          <w:rFonts w:cstheme="minorHAnsi"/>
          <w:bCs/>
        </w:rPr>
        <w:t>krajnega sodišča v izvršilni zadevi</w:t>
      </w:r>
      <w:r>
        <w:rPr>
          <w:rFonts w:cstheme="minorHAnsi"/>
          <w:bCs/>
        </w:rPr>
        <w:t xml:space="preserve">, </w:t>
      </w:r>
      <w:r w:rsidRPr="00E314A2">
        <w:rPr>
          <w:rFonts w:cstheme="minorHAnsi"/>
          <w:bCs/>
        </w:rPr>
        <w:t xml:space="preserve">ker je namesto </w:t>
      </w:r>
      <w:r>
        <w:rPr>
          <w:rFonts w:cstheme="minorHAnsi"/>
          <w:bCs/>
        </w:rPr>
        <w:t xml:space="preserve">dveh </w:t>
      </w:r>
      <w:r w:rsidRPr="00E314A2">
        <w:rPr>
          <w:rFonts w:cstheme="minorHAnsi"/>
          <w:bCs/>
        </w:rPr>
        <w:t xml:space="preserve">ocenjevanih nepremičnin, za katere je plačal kupnino, prejel v last le </w:t>
      </w:r>
      <w:r>
        <w:rPr>
          <w:rFonts w:cstheme="minorHAnsi"/>
          <w:bCs/>
        </w:rPr>
        <w:t>eno nepremičnino</w:t>
      </w:r>
      <w:r w:rsidRPr="00E314A2">
        <w:rPr>
          <w:rFonts w:cstheme="minorHAnsi"/>
          <w:bCs/>
        </w:rPr>
        <w:t xml:space="preserve">. Predmet izvršbe je bila sicer </w:t>
      </w:r>
      <w:r>
        <w:rPr>
          <w:rFonts w:cstheme="minorHAnsi"/>
          <w:bCs/>
        </w:rPr>
        <w:t xml:space="preserve">le ena </w:t>
      </w:r>
      <w:r w:rsidRPr="00E314A2">
        <w:rPr>
          <w:rFonts w:cstheme="minorHAnsi"/>
          <w:bCs/>
        </w:rPr>
        <w:t>nepremičnina</w:t>
      </w:r>
      <w:r>
        <w:rPr>
          <w:rFonts w:cstheme="minorHAnsi"/>
          <w:bCs/>
        </w:rPr>
        <w:t>,</w:t>
      </w:r>
      <w:r w:rsidRPr="00E314A2">
        <w:rPr>
          <w:rFonts w:cstheme="minorHAnsi"/>
          <w:bCs/>
        </w:rPr>
        <w:t xml:space="preserve"> vendar</w:t>
      </w:r>
      <w:r>
        <w:rPr>
          <w:rFonts w:cstheme="minorHAnsi"/>
          <w:bCs/>
        </w:rPr>
        <w:t xml:space="preserve"> </w:t>
      </w:r>
      <w:r w:rsidRPr="00E314A2">
        <w:rPr>
          <w:rFonts w:cstheme="minorHAnsi"/>
          <w:bCs/>
        </w:rPr>
        <w:t xml:space="preserve">se je zaradi neusklajenosti zemljiške knjige in katastra cenitev nanašala na obe nepremičnini. V katastru je bila zaradi združitve navedenih nepremičnin vpisana le ena nepremičnina, medtem ko sta bili v zemljiški knjigi še vpisani dve nepremičnini (ker je v trenutku vložitve zemljiškoknjižnega predloga na podlagi odločbe GURS bilo sicer lastništvo enako, medtem, ko je bila obremenitev različna, zato se v zemljiški knjigi združitev ni izvedla). V obravnavani zadevi je tožnik zatrjeval, da je sodišče v izvršilnem postopku pri prodaji nepremičnine ravnalo protipravno, ker naj ne bi vpogledalo v zemljiški kataster, ter je zato sodnemu izvedencu napačno podalo v cenitev površino </w:t>
      </w:r>
      <w:r>
        <w:rPr>
          <w:rFonts w:cstheme="minorHAnsi"/>
          <w:bCs/>
        </w:rPr>
        <w:t xml:space="preserve">obeh </w:t>
      </w:r>
      <w:r w:rsidRPr="00E314A2">
        <w:rPr>
          <w:rFonts w:cstheme="minorHAnsi"/>
          <w:bCs/>
        </w:rPr>
        <w:t>nepremičnin</w:t>
      </w:r>
      <w:r>
        <w:rPr>
          <w:rFonts w:cstheme="minorHAnsi"/>
          <w:bCs/>
        </w:rPr>
        <w:t>.</w:t>
      </w:r>
      <w:r w:rsidRPr="00E314A2">
        <w:rPr>
          <w:rFonts w:cstheme="minorHAnsi"/>
          <w:bCs/>
        </w:rPr>
        <w:t xml:space="preserve"> S tem je tožnik v izvršilnem postopku plačal tudi za nepremičnino, ki ni bila predmet izvršbe in tudi ni bila predmet sklepa o izročitvi nepremičnine. </w:t>
      </w:r>
    </w:p>
    <w:p w14:paraId="11D6CB10" w14:textId="77777777" w:rsidR="00695AE2" w:rsidRDefault="00695AE2" w:rsidP="00695AE2">
      <w:pPr>
        <w:spacing w:line="240" w:lineRule="auto"/>
        <w:jc w:val="both"/>
        <w:rPr>
          <w:rFonts w:cstheme="minorHAnsi"/>
          <w:bCs/>
        </w:rPr>
      </w:pPr>
    </w:p>
    <w:p w14:paraId="7838E5D9" w14:textId="77777777" w:rsidR="00695AE2" w:rsidRDefault="00695AE2" w:rsidP="00695AE2">
      <w:pPr>
        <w:spacing w:line="240" w:lineRule="auto"/>
        <w:jc w:val="both"/>
        <w:rPr>
          <w:rFonts w:cstheme="minorHAnsi"/>
          <w:bCs/>
        </w:rPr>
      </w:pPr>
      <w:r w:rsidRPr="00E314A2">
        <w:rPr>
          <w:rFonts w:cstheme="minorHAnsi"/>
          <w:bCs/>
        </w:rPr>
        <w:t xml:space="preserve">Sodišče prve stopnje je tožbenemu zahtevku ugodilo in obrazložilo, da bi bilo izvršilno sodišče dolžno pregledati temeljne nepremičninske evidence, tako zemljiško knjigo kot tudi kataster in ugotoviti neusklajenost med njima, prav tako bi bilo dolžno pregledati izvedenski mnenji in šele potem izdati ustrezni sklep o tržni vrednosti nepremičnine, ki je bila predmet izvršbe. Nadalje je sodišče prve stopnje tudi zaključilo, da tožniku kot samostojnemu pravnemu subjektu, ki ni sodeloval v nobenih aktivnostih niti v sodnih niti v upravnih postopkih, kjer bi bil lahko seznanjen z neusklajenostjo zemljiškoknjižnega stanja s katastrskim, ni mogoče ničesar očitati in je tako tožnik kot oškodovanec upravičeno pričakoval, da kot kupec v postopku javne dražbe prejme zemljišče, ki je bilo ocenjevano in za katerega je plačal kupnino. </w:t>
      </w:r>
    </w:p>
    <w:p w14:paraId="39D6A926" w14:textId="77777777" w:rsidR="00695AE2" w:rsidRDefault="00695AE2" w:rsidP="00695AE2">
      <w:pPr>
        <w:spacing w:line="240" w:lineRule="auto"/>
        <w:jc w:val="both"/>
        <w:rPr>
          <w:rFonts w:cstheme="minorHAnsi"/>
          <w:bCs/>
        </w:rPr>
      </w:pPr>
    </w:p>
    <w:p w14:paraId="7B23DF42" w14:textId="77777777" w:rsidR="00695AE2" w:rsidRPr="00E314A2" w:rsidRDefault="00695AE2" w:rsidP="00695AE2">
      <w:pPr>
        <w:spacing w:line="240" w:lineRule="auto"/>
        <w:jc w:val="both"/>
        <w:rPr>
          <w:rFonts w:cstheme="minorHAnsi"/>
          <w:bCs/>
        </w:rPr>
      </w:pPr>
      <w:r w:rsidRPr="00E314A2">
        <w:rPr>
          <w:rFonts w:cstheme="minorHAnsi"/>
          <w:bCs/>
        </w:rPr>
        <w:t>Zoper sodbo sodišča prve stopnje je bila vložena pritožba, kateri je sodišče</w:t>
      </w:r>
      <w:r>
        <w:rPr>
          <w:rFonts w:cstheme="minorHAnsi"/>
          <w:bCs/>
        </w:rPr>
        <w:t xml:space="preserve"> druge stopnje</w:t>
      </w:r>
      <w:r w:rsidRPr="00E314A2">
        <w:rPr>
          <w:rFonts w:cstheme="minorHAnsi"/>
          <w:bCs/>
        </w:rPr>
        <w:t xml:space="preserve"> ugodilo in tožbeni zahtevek tožnika zavrnilo. </w:t>
      </w:r>
      <w:r>
        <w:rPr>
          <w:rFonts w:cstheme="minorHAnsi"/>
          <w:bCs/>
        </w:rPr>
        <w:t>S</w:t>
      </w:r>
      <w:r w:rsidRPr="00E314A2">
        <w:rPr>
          <w:rFonts w:cstheme="minorHAnsi"/>
          <w:bCs/>
        </w:rPr>
        <w:t>odišče</w:t>
      </w:r>
      <w:r>
        <w:rPr>
          <w:rFonts w:cstheme="minorHAnsi"/>
          <w:bCs/>
        </w:rPr>
        <w:t xml:space="preserve"> druge stopnje</w:t>
      </w:r>
      <w:r w:rsidRPr="00E314A2">
        <w:rPr>
          <w:rFonts w:cstheme="minorHAnsi"/>
          <w:bCs/>
        </w:rPr>
        <w:t xml:space="preserve"> je ugotovilo, da izvršilno sodišče ob vodenju izvršbe v letih 2015 in 2016, predvsem ob izdaji sklepa o izvršbi, ko se preverja lastništvo nepremičnine, ki je predmet izvršbe, ob tem ko je upnik predlagal izvršbo le na </w:t>
      </w:r>
      <w:r>
        <w:rPr>
          <w:rFonts w:cstheme="minorHAnsi"/>
          <w:bCs/>
        </w:rPr>
        <w:t xml:space="preserve">eno </w:t>
      </w:r>
      <w:r w:rsidRPr="00E314A2">
        <w:rPr>
          <w:rFonts w:cstheme="minorHAnsi"/>
          <w:bCs/>
        </w:rPr>
        <w:t xml:space="preserve">nepremičnino, ni imelo nobenega razumnega razloga, da bi podvomilo v zemljiškoknjižne podatke in stanje nepremičnine preverjalo tudi v zemljiškem katastru ter da bi preverjalo tudi lastninsko stanje v zemljiški knjigi za </w:t>
      </w:r>
      <w:r>
        <w:rPr>
          <w:rFonts w:cstheme="minorHAnsi"/>
          <w:bCs/>
        </w:rPr>
        <w:t xml:space="preserve">drugo </w:t>
      </w:r>
      <w:r w:rsidRPr="00E314A2">
        <w:rPr>
          <w:rFonts w:cstheme="minorHAnsi"/>
          <w:bCs/>
        </w:rPr>
        <w:t>nepremičnino. Kar zadeva ravnanje sodnih izvedencev med sodnimi postopki, kamor spadajo tudi cenilci nepremičnin, je sodišče</w:t>
      </w:r>
      <w:r>
        <w:rPr>
          <w:rFonts w:cstheme="minorHAnsi"/>
          <w:bCs/>
        </w:rPr>
        <w:t xml:space="preserve"> druge stopnje</w:t>
      </w:r>
      <w:r w:rsidRPr="00E314A2">
        <w:rPr>
          <w:rFonts w:cstheme="minorHAnsi"/>
          <w:bCs/>
        </w:rPr>
        <w:t xml:space="preserve"> zaključilo, da v odškodninsko odgovornost države za delo sodišča ni mogoče šteti tudi delovanja sodnih izvedencev in cenilcev. Ko je govora o škodi, ki jo povzroči država, jo dejansko povzročijo državni organi, zato sodišče kot državni organ predstavlja sodnik, ki ima v državi funkcijo sojenja. </w:t>
      </w:r>
    </w:p>
    <w:p w14:paraId="2A38D99E" w14:textId="77777777" w:rsidR="00695AE2" w:rsidRPr="00E314A2" w:rsidRDefault="00695AE2" w:rsidP="00695AE2">
      <w:pPr>
        <w:spacing w:line="240" w:lineRule="auto"/>
        <w:jc w:val="both"/>
        <w:rPr>
          <w:rFonts w:cstheme="minorHAnsi"/>
          <w:bCs/>
        </w:rPr>
      </w:pPr>
    </w:p>
    <w:p w14:paraId="620158F0" w14:textId="77777777" w:rsidR="00695AE2" w:rsidRPr="009E1A7F" w:rsidRDefault="00695AE2" w:rsidP="00695AE2">
      <w:pPr>
        <w:spacing w:line="240" w:lineRule="auto"/>
        <w:jc w:val="both"/>
        <w:rPr>
          <w:rFonts w:cstheme="minorHAnsi"/>
          <w:bCs/>
          <w:i/>
          <w:iCs/>
        </w:rPr>
      </w:pPr>
      <w:r w:rsidRPr="00E314A2">
        <w:rPr>
          <w:rFonts w:cstheme="minorHAnsi"/>
          <w:bCs/>
        </w:rPr>
        <w:t>Sodišče druge stopnje je še zapisalo, da ravnanje sodišča prve stopnje v izvršilni zadevi, ki ni imelo nobenih informacij o tem, da morda zemljiškoknjižno stanje ni usklajeno s katastrskim, tako ni v ničemer odstopalo od običajne metode dela, zato ni mogoče govoriti niti o kršitvi profesionalne skrbnosti sodišča oziroma o protipravnosti, kaj šele, da bi šlo za kvalificirano protipravnost, torej za očitno kršitev procesnih pravil, kar neutemeljeno očita tožnik. Prav tako je sodišče</w:t>
      </w:r>
      <w:r>
        <w:rPr>
          <w:rFonts w:cstheme="minorHAnsi"/>
          <w:bCs/>
        </w:rPr>
        <w:t xml:space="preserve"> druge stopnje</w:t>
      </w:r>
      <w:r w:rsidRPr="00E314A2">
        <w:rPr>
          <w:rFonts w:cstheme="minorHAnsi"/>
          <w:bCs/>
        </w:rPr>
        <w:t xml:space="preserve"> sledilo pritožbenim zatrjevanjem, da bi tožnik moral reagirati že v izvršilnem postopku, saj bi nepravilnosti pri dražbi lahko uveljavljal v pritožbi zoper sklep o izročitvi nepremičnine kupcu. V tej zvezi, kot je zapisalo tudi višje sodišče, je toženka zatrjevala in dokazala, da se je v korist tožnika dva meseca pred drugo dražbo, na kateri mu je bila domaknjena sporna nepremičnina, pri </w:t>
      </w:r>
      <w:r>
        <w:rPr>
          <w:rFonts w:cstheme="minorHAnsi"/>
          <w:bCs/>
        </w:rPr>
        <w:t xml:space="preserve">obeh </w:t>
      </w:r>
      <w:r w:rsidRPr="00E314A2">
        <w:rPr>
          <w:rFonts w:cstheme="minorHAnsi"/>
          <w:bCs/>
        </w:rPr>
        <w:t>nepremičnin</w:t>
      </w:r>
      <w:r>
        <w:rPr>
          <w:rFonts w:cstheme="minorHAnsi"/>
          <w:bCs/>
        </w:rPr>
        <w:t>ah</w:t>
      </w:r>
      <w:r w:rsidRPr="00E314A2">
        <w:rPr>
          <w:rFonts w:cstheme="minorHAnsi"/>
          <w:bCs/>
        </w:rPr>
        <w:t xml:space="preserve"> vknjižil dosmrtni užitek uporabe </w:t>
      </w:r>
      <w:r w:rsidRPr="00E314A2">
        <w:rPr>
          <w:rFonts w:cstheme="minorHAnsi"/>
          <w:bCs/>
        </w:rPr>
        <w:lastRenderedPageBreak/>
        <w:t xml:space="preserve">in se je torej tožnik že v času prve javne dražbe lahko zavedal, da nepremičnini nista bili združeni, sploh glede na dejstvo, da sta ti dve nepremičnini sosednji nepremičnini in da ena predstavlja vinograd, druga pa vinsko klet, ter ob upoštevanju okoliščine, da je tožnik sin dolžnikov iz izvršilnega postopka. </w:t>
      </w:r>
      <w:r>
        <w:rPr>
          <w:rFonts w:cstheme="minorHAnsi"/>
          <w:bCs/>
        </w:rPr>
        <w:t>S</w:t>
      </w:r>
      <w:r w:rsidRPr="00E314A2">
        <w:rPr>
          <w:rFonts w:cstheme="minorHAnsi"/>
          <w:bCs/>
        </w:rPr>
        <w:t>odišče</w:t>
      </w:r>
      <w:r>
        <w:rPr>
          <w:rFonts w:cstheme="minorHAnsi"/>
          <w:bCs/>
        </w:rPr>
        <w:t xml:space="preserve"> druge stopnje</w:t>
      </w:r>
      <w:r w:rsidRPr="00E314A2">
        <w:rPr>
          <w:rFonts w:cstheme="minorHAnsi"/>
          <w:bCs/>
        </w:rPr>
        <w:t xml:space="preserve"> je v sodbi zapisalo: </w:t>
      </w:r>
      <w:r w:rsidRPr="009E1A7F">
        <w:rPr>
          <w:rFonts w:cstheme="minorHAnsi"/>
          <w:bCs/>
          <w:i/>
          <w:iCs/>
        </w:rPr>
        <w:t>»Pravica do povračila škode od države namreč nastopa kot „ultima ratio” za uveljavljanje zakonitosti in ustavnosti. V prvi vrsti se zakonitost in ustavnost delovanja nosilca oblasti uveljavlja v postopkih s pravnimi sredstvi. Zato je namen ustavno zagotovljene pravice do povračila škode sekundarno varstvo pravne države, če odpove običajni sistem zagotavljanja zakonitosti in ustavnosti (tako sodba Vrhovnega sodišča RS, opr. št. II Ips 111/2009 z dne 10. 9. 2012).« Sodna praksa je šla tudi tako daleč, da odškodninska tožba ni pravno sredstvo zoper odločbo, s katero naj bi bila storjena sodniška napaka niti tedaj, ko je stranka izčrpala vsa redna in izredna pravna sredstva, temveč mora izkazati, da je poskusila doseči razveljavitev ali spremembo sporne pravnomočne sodne odločbe z ustavno pritožbo (tako sklep Vrhovnega sodišča RS, opr. št. II Ips 171/2018 z dne 14. 11. 2019).</w:t>
      </w:r>
      <w:r w:rsidRPr="009E1A7F">
        <w:rPr>
          <w:rFonts w:cstheme="minorHAnsi"/>
          <w:bCs/>
          <w:i/>
          <w:iCs/>
          <w:vertAlign w:val="superscript"/>
        </w:rPr>
        <w:t xml:space="preserve"> </w:t>
      </w:r>
      <w:r w:rsidRPr="009E1A7F">
        <w:rPr>
          <w:rFonts w:cstheme="minorHAnsi"/>
          <w:bCs/>
          <w:i/>
          <w:iCs/>
        </w:rPr>
        <w:t>Zaradi ne vloženega pravnega sredstva zoper sklep o izročitvi nepremičnine s strani tožnika v izvršilnem postopku je tako bila pretrgana tudi vzročna zveza med nastalo škodo in očitanim škodnim ravnanjem sodišča. Zaradi pomanjkanja protipravnosti ravnanja sodišča in vzročne zveze, kot temeljnih elementov civilnega odškodninskega delikta, je sodišče druge stopnje tožbeni zahtevek kot neutemeljen zavrnilo.«</w:t>
      </w:r>
    </w:p>
    <w:p w14:paraId="68BDE785" w14:textId="77777777" w:rsidR="00695AE2" w:rsidRDefault="00695AE2" w:rsidP="00695AE2">
      <w:pPr>
        <w:spacing w:line="240" w:lineRule="auto"/>
        <w:jc w:val="both"/>
        <w:rPr>
          <w:rFonts w:cstheme="minorHAnsi"/>
          <w:b/>
          <w:color w:val="007466"/>
        </w:rPr>
      </w:pPr>
    </w:p>
    <w:p w14:paraId="5867CE94" w14:textId="77777777" w:rsidR="00695AE2" w:rsidRPr="006F5DEC" w:rsidRDefault="00695AE2" w:rsidP="00695AE2">
      <w:pPr>
        <w:spacing w:line="240" w:lineRule="auto"/>
        <w:jc w:val="both"/>
        <w:rPr>
          <w:rFonts w:cstheme="minorHAnsi"/>
          <w:b/>
          <w:color w:val="007466"/>
        </w:rPr>
      </w:pPr>
      <w:r w:rsidRPr="006F5DEC">
        <w:rPr>
          <w:rFonts w:cstheme="minorHAnsi"/>
          <w:b/>
          <w:color w:val="007466"/>
        </w:rPr>
        <w:t xml:space="preserve">Sodba Višjega sodišča v Ljubljani, opr. št. I Cpg 470/2024 z dne 3. 7. 2025 </w:t>
      </w:r>
    </w:p>
    <w:p w14:paraId="6A082343" w14:textId="77777777" w:rsidR="00695AE2" w:rsidRPr="00E314A2" w:rsidRDefault="00695AE2" w:rsidP="00695AE2">
      <w:pPr>
        <w:spacing w:line="240" w:lineRule="auto"/>
        <w:jc w:val="both"/>
        <w:rPr>
          <w:rFonts w:cstheme="minorHAnsi"/>
          <w:bCs/>
        </w:rPr>
      </w:pPr>
      <w:r>
        <w:rPr>
          <w:rFonts w:cstheme="minorHAnsi"/>
          <w:bCs/>
        </w:rPr>
        <w:t>S</w:t>
      </w:r>
      <w:r w:rsidRPr="00E314A2">
        <w:rPr>
          <w:rFonts w:cstheme="minorHAnsi"/>
          <w:bCs/>
        </w:rPr>
        <w:t xml:space="preserve">odišče </w:t>
      </w:r>
      <w:r>
        <w:rPr>
          <w:rFonts w:cstheme="minorHAnsi"/>
          <w:bCs/>
        </w:rPr>
        <w:t xml:space="preserve">druge stopnje </w:t>
      </w:r>
      <w:r w:rsidRPr="00E314A2">
        <w:rPr>
          <w:rFonts w:cstheme="minorHAnsi"/>
          <w:bCs/>
        </w:rPr>
        <w:t xml:space="preserve">je ugodilo pritožbi Republike Slovenije (tožene stranke) in spremenilo vmesno sodbo in sklep sodišča prve stopnje tako, da je zavrnilo celotni tožbeni zahtevek tožeče stranke zoper Republiko Slovenijo. </w:t>
      </w:r>
    </w:p>
    <w:p w14:paraId="553DA598" w14:textId="77777777" w:rsidR="00695AE2" w:rsidRPr="00E314A2" w:rsidRDefault="00695AE2" w:rsidP="00695AE2">
      <w:pPr>
        <w:spacing w:line="240" w:lineRule="auto"/>
        <w:ind w:firstLine="360"/>
        <w:jc w:val="both"/>
        <w:rPr>
          <w:rFonts w:cstheme="minorHAnsi"/>
          <w:bCs/>
        </w:rPr>
      </w:pPr>
    </w:p>
    <w:p w14:paraId="39069368" w14:textId="77777777" w:rsidR="00695AE2" w:rsidRPr="001F2E93" w:rsidRDefault="00695AE2" w:rsidP="00695AE2">
      <w:pPr>
        <w:spacing w:line="240" w:lineRule="auto"/>
        <w:jc w:val="both"/>
        <w:rPr>
          <w:rFonts w:cstheme="minorHAnsi"/>
          <w:bCs/>
        </w:rPr>
      </w:pPr>
      <w:r>
        <w:rPr>
          <w:rFonts w:cstheme="minorHAnsi"/>
          <w:bCs/>
        </w:rPr>
        <w:t>Sodišče druge stopnje je navedlo, da p</w:t>
      </w:r>
      <w:r w:rsidRPr="001F2E93">
        <w:rPr>
          <w:rFonts w:cstheme="minorHAnsi"/>
          <w:bCs/>
        </w:rPr>
        <w:t xml:space="preserve">ravna podlaga ni del tožbenega zahtevka in zato ne sodi v izrek vmesne sodbe. Izrek vmesne sodbe mora vsebovati ugotovitev, da je konkretni tožbeni zahtevek po podlagi utemeljen. Presoja, vsebovana v vmesni sodbi, ni ugotovitev pravice ali pravnega razmerja, od katerega bi bila odvisna odločitev o tožbenem zahtevku, ampak ugotovitev obstoja oziroma utemeljenosti (konkretnega) tožbenega zahtevka. Po izdaji vmesne sodbe se lahko upoštevajo samo še ugovori in vprašanja, ki se nanašajo na višino tožbenega zahtevka (prekluzivni učinek vmesne sodbe). </w:t>
      </w:r>
    </w:p>
    <w:p w14:paraId="4C51D8CB" w14:textId="77777777" w:rsidR="00695AE2" w:rsidRPr="00E314A2" w:rsidRDefault="00695AE2" w:rsidP="00695AE2">
      <w:pPr>
        <w:spacing w:line="240" w:lineRule="auto"/>
        <w:jc w:val="both"/>
        <w:rPr>
          <w:rFonts w:cstheme="minorHAnsi"/>
          <w:bCs/>
        </w:rPr>
      </w:pPr>
    </w:p>
    <w:p w14:paraId="7AF6BFAE" w14:textId="77777777" w:rsidR="00695AE2" w:rsidRDefault="00695AE2" w:rsidP="00695AE2">
      <w:pPr>
        <w:spacing w:line="240" w:lineRule="auto"/>
        <w:jc w:val="both"/>
        <w:rPr>
          <w:rFonts w:cstheme="minorHAnsi"/>
          <w:bCs/>
        </w:rPr>
      </w:pPr>
      <w:r>
        <w:rPr>
          <w:rFonts w:cstheme="minorHAnsi"/>
          <w:bCs/>
        </w:rPr>
        <w:t>V svoji meritorni odločitvi je sodišče druge stopnje</w:t>
      </w:r>
      <w:r w:rsidRPr="001F2E93">
        <w:rPr>
          <w:rFonts w:cstheme="minorHAnsi"/>
          <w:bCs/>
        </w:rPr>
        <w:t xml:space="preserve"> </w:t>
      </w:r>
      <w:r>
        <w:rPr>
          <w:rFonts w:cstheme="minorHAnsi"/>
          <w:bCs/>
        </w:rPr>
        <w:t>glede verzije navedlo, da so</w:t>
      </w:r>
      <w:r w:rsidRPr="00E314A2">
        <w:rPr>
          <w:rFonts w:cstheme="minorHAnsi"/>
          <w:bCs/>
        </w:rPr>
        <w:t xml:space="preserve"> verzijski zahtevki obogatitveni zahtevki, pri katerih do obogatitve ne pride z izpolnitvenim ravnanjem, temveč na drug način. Do obogatitve v tem primeru pride zaradi ravnanja prikrajšanega, ki na račun svojega premoženja napravi korist za obogatenega (oprava dela v tujo korist), pri čemer ravnanje prikrajšanega ni namenjeno izpolnitvi določene obveznosti, zato ne gre za kondikcijo</w:t>
      </w:r>
      <w:r>
        <w:rPr>
          <w:rFonts w:cstheme="minorHAnsi"/>
          <w:bCs/>
        </w:rPr>
        <w:t>,</w:t>
      </w:r>
      <w:r w:rsidRPr="00E314A2">
        <w:rPr>
          <w:rFonts w:cstheme="minorHAnsi"/>
          <w:bCs/>
        </w:rPr>
        <w:t xml:space="preserve"> ampak za verzijo. Ta tip verzijskega zahtevka se je razvil iz poslovodstva brez naročila (nezavedne gestije). Pri verzijah gre za primere premika premoženja »</w:t>
      </w:r>
      <w:r>
        <w:rPr>
          <w:rFonts w:cstheme="minorHAnsi"/>
          <w:bCs/>
        </w:rPr>
        <w:t>v</w:t>
      </w:r>
      <w:r w:rsidRPr="00E314A2">
        <w:rPr>
          <w:rFonts w:cstheme="minorHAnsi"/>
          <w:bCs/>
        </w:rPr>
        <w:t>ključno z delom v korist drugega«</w:t>
      </w:r>
      <w:r>
        <w:rPr>
          <w:rFonts w:cstheme="minorHAnsi"/>
          <w:bCs/>
        </w:rPr>
        <w:t>,</w:t>
      </w:r>
      <w:r w:rsidRPr="00E314A2">
        <w:rPr>
          <w:rFonts w:cstheme="minorHAnsi"/>
          <w:bCs/>
        </w:rPr>
        <w:t xml:space="preserve"> za razliko od kondikcije</w:t>
      </w:r>
      <w:r>
        <w:rPr>
          <w:rFonts w:cstheme="minorHAnsi"/>
          <w:bCs/>
        </w:rPr>
        <w:t>,</w:t>
      </w:r>
      <w:r w:rsidRPr="00E314A2">
        <w:rPr>
          <w:rFonts w:cstheme="minorHAnsi"/>
          <w:bCs/>
        </w:rPr>
        <w:t xml:space="preserve"> kjer gre </w:t>
      </w:r>
      <w:r>
        <w:rPr>
          <w:rFonts w:cstheme="minorHAnsi"/>
          <w:bCs/>
        </w:rPr>
        <w:t>za</w:t>
      </w:r>
      <w:r w:rsidRPr="00E314A2">
        <w:rPr>
          <w:rFonts w:cstheme="minorHAnsi"/>
          <w:bCs/>
        </w:rPr>
        <w:t xml:space="preserve"> izpolnit</w:t>
      </w:r>
      <w:r>
        <w:rPr>
          <w:rFonts w:cstheme="minorHAnsi"/>
          <w:bCs/>
        </w:rPr>
        <w:t>e</w:t>
      </w:r>
      <w:r w:rsidRPr="00E314A2">
        <w:rPr>
          <w:rFonts w:cstheme="minorHAnsi"/>
          <w:bCs/>
        </w:rPr>
        <w:t xml:space="preserve">v nedolga (ker podlage za izpolnitev sploh ni bilo ali pa je kasneje odpadla). Verzija in gestija sta ugotovitvena zahtevka, za katera velja splošno obogatitveno načelo. Izpolnjene morajo biti splošne predpostavke obogatitvenega zahtevka: obogatitev, prikrajšanje, vzročna zveza in odsotnost veljavnega pravnega temelja. </w:t>
      </w:r>
    </w:p>
    <w:p w14:paraId="6724718A" w14:textId="77777777" w:rsidR="00695AE2" w:rsidRDefault="00695AE2" w:rsidP="00695AE2">
      <w:pPr>
        <w:spacing w:line="240" w:lineRule="auto"/>
        <w:jc w:val="both"/>
        <w:rPr>
          <w:rFonts w:cstheme="minorHAnsi"/>
          <w:bCs/>
        </w:rPr>
      </w:pPr>
    </w:p>
    <w:p w14:paraId="7C24BABB" w14:textId="77777777" w:rsidR="00695AE2" w:rsidRPr="00E314A2" w:rsidRDefault="00695AE2" w:rsidP="00695AE2">
      <w:pPr>
        <w:spacing w:line="240" w:lineRule="auto"/>
        <w:jc w:val="both"/>
        <w:rPr>
          <w:rFonts w:cstheme="minorHAnsi"/>
          <w:bCs/>
        </w:rPr>
      </w:pPr>
      <w:r w:rsidRPr="00E314A2">
        <w:rPr>
          <w:rFonts w:cstheme="minorHAnsi"/>
          <w:bCs/>
        </w:rPr>
        <w:t xml:space="preserve">Sodišče </w:t>
      </w:r>
      <w:r>
        <w:rPr>
          <w:rFonts w:cstheme="minorHAnsi"/>
          <w:bCs/>
        </w:rPr>
        <w:t xml:space="preserve">druge stopnje </w:t>
      </w:r>
      <w:r w:rsidRPr="00E314A2">
        <w:rPr>
          <w:rFonts w:cstheme="minorHAnsi"/>
          <w:bCs/>
        </w:rPr>
        <w:t xml:space="preserve">je zavrnilo tožbeni zahtevek na podlagi neupravičene obogatitve, ker je ugotovilo, da ni podana obogatitev na strani tožene stranke. Naše pravo sprejema </w:t>
      </w:r>
      <w:r w:rsidRPr="00E314A2">
        <w:rPr>
          <w:rFonts w:cstheme="minorHAnsi"/>
          <w:bCs/>
        </w:rPr>
        <w:lastRenderedPageBreak/>
        <w:t xml:space="preserve">obogatitveni princip in je obogatitev tožencev (na račun tožničinega prikrajšanja) splošna predpostavka obogatitvenega zahtevka. Kdor je bil brez pravnega temelja obogaten na škodo drugega, je prejeto dolžan vrniti, če je to mogoče, sicer pa nadomestiti vrednost dosežene koristi. Z obogatitvijo je torej mišljena tudi pridobitev s storitvijo (190. člen Obligacijskega zakonika OZ). </w:t>
      </w:r>
    </w:p>
    <w:p w14:paraId="281CA4F3" w14:textId="77777777" w:rsidR="00695AE2" w:rsidRDefault="00695AE2" w:rsidP="00695AE2">
      <w:pPr>
        <w:spacing w:line="240" w:lineRule="auto"/>
        <w:jc w:val="both"/>
        <w:rPr>
          <w:rFonts w:cstheme="minorHAnsi"/>
          <w:bCs/>
        </w:rPr>
      </w:pPr>
    </w:p>
    <w:p w14:paraId="6DF0D26B" w14:textId="77777777" w:rsidR="00695AE2" w:rsidRDefault="00695AE2" w:rsidP="00695AE2">
      <w:pPr>
        <w:spacing w:line="240" w:lineRule="auto"/>
        <w:jc w:val="both"/>
        <w:rPr>
          <w:rFonts w:cstheme="minorHAnsi"/>
          <w:bCs/>
        </w:rPr>
      </w:pPr>
      <w:r w:rsidRPr="00E314A2">
        <w:rPr>
          <w:rFonts w:cstheme="minorHAnsi"/>
          <w:bCs/>
        </w:rPr>
        <w:t xml:space="preserve">V zvezi s predpostavko obogatitve na strani toženke je sodišče prve stopnje pravilno ugotovilo, da </w:t>
      </w:r>
      <w:r w:rsidRPr="001F2E93">
        <w:rPr>
          <w:rFonts w:cstheme="minorHAnsi"/>
          <w:bCs/>
        </w:rPr>
        <w:t xml:space="preserve">Zakon o varstvu okolja </w:t>
      </w:r>
      <w:r>
        <w:rPr>
          <w:rFonts w:cstheme="minorHAnsi"/>
          <w:bCs/>
        </w:rPr>
        <w:t xml:space="preserve">(v nadaljevanju: </w:t>
      </w:r>
      <w:r w:rsidRPr="001F2E93">
        <w:rPr>
          <w:rFonts w:cstheme="minorHAnsi"/>
          <w:bCs/>
        </w:rPr>
        <w:t>ZVO-1</w:t>
      </w:r>
      <w:r>
        <w:rPr>
          <w:rFonts w:cstheme="minorHAnsi"/>
          <w:bCs/>
        </w:rPr>
        <w:t>)</w:t>
      </w:r>
      <w:r w:rsidRPr="00E314A2">
        <w:rPr>
          <w:rFonts w:cstheme="minorHAnsi"/>
          <w:bCs/>
        </w:rPr>
        <w:t xml:space="preserve"> določa sistem proizvajalčeve razširjen</w:t>
      </w:r>
      <w:r>
        <w:rPr>
          <w:rFonts w:cstheme="minorHAnsi"/>
          <w:bCs/>
        </w:rPr>
        <w:t>e</w:t>
      </w:r>
      <w:r w:rsidRPr="00E314A2">
        <w:rPr>
          <w:rFonts w:cstheme="minorHAnsi"/>
          <w:bCs/>
        </w:rPr>
        <w:t xml:space="preserve"> odgovornosti za odpadke (sistem PRO) oziroma načelo »proizvajalec plača« (10. in 20. člen ZVO-1). Dolžnost Republike Slovenije (toženke) je bila normativna ureditev in vzpostavitev ustreznega sistema, zato ZVO-1 ne določa, da bi morala stroške prevzema odpadne embalaže (vključno z morebitno presežno količino odpadne embalaže v primerjavi s količino odpadne embalaže, ki je nastala kot embalaža proizvajalcev, vključenih v shemo DROE) nositi država. Skladno z načelom trajnostnega razvoja (4. člen ZVO-1) je morala država pri sprejemanju politik, strategij, programov, planov, načrtov in splošnih pravnih aktov ter pri izvajanju drugih zadev iz svoje pristojnosti spodbujati takšen gospodarski in socialen razvoj družbe, ki pri zadovoljevanju potreb sedanje generacije upošteva enake možnosti zadovoljevanja potreb prihodnjih in omogoča dolgoročno ohranjanje okolja. </w:t>
      </w:r>
    </w:p>
    <w:p w14:paraId="4AC55266" w14:textId="77777777" w:rsidR="00695AE2" w:rsidRDefault="00695AE2" w:rsidP="00695AE2">
      <w:pPr>
        <w:spacing w:line="240" w:lineRule="auto"/>
        <w:jc w:val="both"/>
        <w:rPr>
          <w:rFonts w:cstheme="minorHAnsi"/>
          <w:bCs/>
        </w:rPr>
      </w:pPr>
    </w:p>
    <w:p w14:paraId="0EF6F2E4" w14:textId="77777777" w:rsidR="00695AE2" w:rsidRPr="00E314A2" w:rsidRDefault="00695AE2" w:rsidP="00695AE2">
      <w:pPr>
        <w:spacing w:line="240" w:lineRule="auto"/>
        <w:jc w:val="both"/>
        <w:rPr>
          <w:rFonts w:cstheme="minorHAnsi"/>
          <w:bCs/>
        </w:rPr>
      </w:pPr>
      <w:r w:rsidRPr="00E314A2">
        <w:rPr>
          <w:rFonts w:cstheme="minorHAnsi"/>
          <w:bCs/>
        </w:rPr>
        <w:t xml:space="preserve">Sodišče </w:t>
      </w:r>
      <w:r>
        <w:rPr>
          <w:rFonts w:cstheme="minorHAnsi"/>
          <w:bCs/>
        </w:rPr>
        <w:t xml:space="preserve">druge stopnje </w:t>
      </w:r>
      <w:r w:rsidRPr="00E314A2">
        <w:rPr>
          <w:rFonts w:cstheme="minorHAnsi"/>
          <w:bCs/>
        </w:rPr>
        <w:t xml:space="preserve">je zavrnilo tudi tožbeni zahtevek po podlagi o poslovodstvu brez naročila. Splošno pravilo 199. člena OZ določa, da se sme tujega posla kdo nepoklicani lotiti le, če ga ni mogoče odložiti, ker bi sicer nastala škoda ali bi bila zamujena očitna korist. O gestiji – poslovodstvu brez naročila govorimo samo, kadar nekdo hote in vede opravi tuj posel, ne da bi bil za to pooblaščen; posel mora biti tuj in gestorjev namen mora biti, da dela za drugega. Če gestor misli, da opravlja svoj posel, pa je ta tuj, gre za verzijo. Namen gestije je doseg tuje koristi, smisel verzije pa je v njeni izključitvi. Tožbeni zahtevek je bil neutemeljen že iz razloga, ker tožeča stranka ni zatrjevala, da dela za toženko. Skladno z ZVO-1 je dolžnost ravnanja z odpadno embalažno na proizvajalcih ne pa na državi. </w:t>
      </w:r>
    </w:p>
    <w:p w14:paraId="32D0D485" w14:textId="77777777" w:rsidR="00695AE2" w:rsidRDefault="00695AE2" w:rsidP="00695AE2">
      <w:pPr>
        <w:spacing w:line="240" w:lineRule="auto"/>
        <w:jc w:val="both"/>
        <w:rPr>
          <w:rFonts w:cstheme="minorHAnsi"/>
          <w:bCs/>
        </w:rPr>
      </w:pPr>
    </w:p>
    <w:p w14:paraId="1075B4EE" w14:textId="77777777" w:rsidR="00695AE2" w:rsidRPr="00E314A2" w:rsidRDefault="00695AE2" w:rsidP="00695AE2">
      <w:pPr>
        <w:spacing w:line="240" w:lineRule="auto"/>
        <w:jc w:val="both"/>
        <w:rPr>
          <w:rFonts w:cstheme="minorHAnsi"/>
          <w:bCs/>
        </w:rPr>
      </w:pPr>
      <w:r>
        <w:rPr>
          <w:rFonts w:cstheme="minorHAnsi"/>
          <w:bCs/>
        </w:rPr>
        <w:t>Glede o</w:t>
      </w:r>
      <w:r w:rsidRPr="00E314A2">
        <w:rPr>
          <w:rFonts w:cstheme="minorHAnsi"/>
          <w:bCs/>
        </w:rPr>
        <w:t>dškodninsk</w:t>
      </w:r>
      <w:r>
        <w:rPr>
          <w:rFonts w:cstheme="minorHAnsi"/>
          <w:bCs/>
        </w:rPr>
        <w:t>e</w:t>
      </w:r>
      <w:r w:rsidRPr="00E314A2">
        <w:rPr>
          <w:rFonts w:cstheme="minorHAnsi"/>
          <w:bCs/>
        </w:rPr>
        <w:t xml:space="preserve"> obveznost</w:t>
      </w:r>
      <w:r>
        <w:rPr>
          <w:rFonts w:cstheme="minorHAnsi"/>
          <w:bCs/>
        </w:rPr>
        <w:t xml:space="preserve">i je sodišče druge stopnje navedlo, da je glede </w:t>
      </w:r>
      <w:r w:rsidRPr="00E314A2">
        <w:rPr>
          <w:rFonts w:cstheme="minorHAnsi"/>
          <w:bCs/>
        </w:rPr>
        <w:t>protipravnost</w:t>
      </w:r>
      <w:r>
        <w:rPr>
          <w:rFonts w:cstheme="minorHAnsi"/>
          <w:bCs/>
        </w:rPr>
        <w:t>i</w:t>
      </w:r>
      <w:r w:rsidRPr="00E314A2">
        <w:rPr>
          <w:rFonts w:cstheme="minorHAnsi"/>
          <w:bCs/>
        </w:rPr>
        <w:t xml:space="preserve"> </w:t>
      </w:r>
      <w:r>
        <w:rPr>
          <w:rFonts w:cstheme="minorHAnsi"/>
          <w:bCs/>
        </w:rPr>
        <w:t>ugotovitev n</w:t>
      </w:r>
      <w:r w:rsidRPr="00E314A2">
        <w:rPr>
          <w:rFonts w:cstheme="minorHAnsi"/>
          <w:bCs/>
        </w:rPr>
        <w:t>ezakonitosti upravne odločbe nujni, ne pa še zadostni pogoj za odškodninsko odgovornost. Tudi v postopkih odločanja upravnih organov so njihova ravnanja protipravna le v primerih kvalificirane stopnje napačnosti oziroma v primeru kršitev, ki so zavestne, namerne in očitne. 281. člen ZUP določa, da če se odločba odpravi ali izreče za nično, se odpravi tudi pravne posledice, ki so že nastale. Konkretne inšpekcijske odločbe so bile odpravljene in vrnjene v ponovno odločanje, nove odločbe pa niso bile izdane. Vendar pa to ne pomeni, da je toženka dolžna tožnici povrniti stroške izvršitve inšpekcijskih odločb, ki so bile pozneje odpravljene. Tudi v tem primeru lahko tožnica zahteva povračilo stroškov le, če so izpolnjeni pogoji odškodninske odgovornosti države po 26. členu Ustave RS. V tem okviru pa ugotovljena nezakonitost upravne odločbe, ki je bila kasneje odpravljena s pravnimi sredstvi, še ne pomeni protipravnosti ravnanja nosilca oblasti. Iz odločb Upravnega sodišča, s katerimi so bile inšpekcijske odločbe pozneje odpravljene, ne izhajajo hujše nepravilnosti (napačnost, zlonamernost, nespoštovanje ustaljene prakse ipd). V času izdaje inšpekcijskih odločb, ki se nanaša</w:t>
      </w:r>
      <w:r>
        <w:rPr>
          <w:rFonts w:cstheme="minorHAnsi"/>
          <w:bCs/>
        </w:rPr>
        <w:t>jo</w:t>
      </w:r>
      <w:r w:rsidRPr="00E314A2">
        <w:rPr>
          <w:rFonts w:cstheme="minorHAnsi"/>
          <w:bCs/>
        </w:rPr>
        <w:t xml:space="preserve"> na vtoževano obdobje</w:t>
      </w:r>
      <w:r>
        <w:rPr>
          <w:rFonts w:cstheme="minorHAnsi"/>
          <w:bCs/>
        </w:rPr>
        <w:t>,</w:t>
      </w:r>
      <w:r w:rsidRPr="00E314A2">
        <w:rPr>
          <w:rFonts w:cstheme="minorHAnsi"/>
          <w:bCs/>
        </w:rPr>
        <w:t xml:space="preserve"> ustaljene sodne prakse ni bilo. Odločbe so bile pozneje odpravljene zaradi drugačnega tolmačenja vsebine Uredbe v povezavi s hierarhično višjimi pravnimi akti, ki ga je sprejelo Upravno sodišče od leta 2018 dalje. Uredba je bila nejasna in </w:t>
      </w:r>
      <w:r w:rsidRPr="00E314A2">
        <w:rPr>
          <w:rFonts w:cstheme="minorHAnsi"/>
          <w:bCs/>
        </w:rPr>
        <w:lastRenderedPageBreak/>
        <w:t xml:space="preserve">zato predmet različnih tolmačenj, ki jih je obravnavala tudi pravna teorija, vendar šele po izteku vtoževanega obdobja. </w:t>
      </w:r>
    </w:p>
    <w:p w14:paraId="0EAAD44C" w14:textId="77777777" w:rsidR="00695AE2" w:rsidRPr="00E314A2" w:rsidRDefault="00695AE2" w:rsidP="00695AE2">
      <w:pPr>
        <w:spacing w:line="240" w:lineRule="auto"/>
        <w:jc w:val="both"/>
        <w:rPr>
          <w:rFonts w:cstheme="minorHAnsi"/>
          <w:bCs/>
        </w:rPr>
      </w:pPr>
    </w:p>
    <w:p w14:paraId="4A9F262D" w14:textId="77777777" w:rsidR="00695AE2" w:rsidRDefault="00695AE2" w:rsidP="00695AE2">
      <w:pPr>
        <w:spacing w:line="240" w:lineRule="auto"/>
        <w:jc w:val="both"/>
        <w:rPr>
          <w:rFonts w:cstheme="minorHAnsi"/>
          <w:bCs/>
        </w:rPr>
      </w:pPr>
      <w:r>
        <w:rPr>
          <w:rFonts w:cstheme="minorHAnsi"/>
          <w:bCs/>
        </w:rPr>
        <w:t xml:space="preserve">Glede </w:t>
      </w:r>
      <w:r w:rsidRPr="00E314A2">
        <w:rPr>
          <w:rFonts w:cstheme="minorHAnsi"/>
          <w:bCs/>
        </w:rPr>
        <w:t>odškodninsk</w:t>
      </w:r>
      <w:r>
        <w:rPr>
          <w:rFonts w:cstheme="minorHAnsi"/>
          <w:bCs/>
        </w:rPr>
        <w:t>e</w:t>
      </w:r>
      <w:r w:rsidRPr="00E314A2">
        <w:rPr>
          <w:rFonts w:cstheme="minorHAnsi"/>
          <w:bCs/>
        </w:rPr>
        <w:t xml:space="preserve"> odgovornosti države zaradi zakonodajne protipravnosti</w:t>
      </w:r>
      <w:r>
        <w:rPr>
          <w:rFonts w:cstheme="minorHAnsi"/>
          <w:bCs/>
        </w:rPr>
        <w:t xml:space="preserve"> je sodišče druge stopnje navedlo, da p</w:t>
      </w:r>
      <w:r w:rsidRPr="00E314A2">
        <w:rPr>
          <w:rFonts w:cstheme="minorHAnsi"/>
          <w:bCs/>
        </w:rPr>
        <w:t>ojem zakonodajne</w:t>
      </w:r>
      <w:r>
        <w:rPr>
          <w:rFonts w:cstheme="minorHAnsi"/>
          <w:bCs/>
        </w:rPr>
        <w:t xml:space="preserve"> </w:t>
      </w:r>
      <w:r w:rsidRPr="00E314A2">
        <w:rPr>
          <w:rFonts w:cstheme="minorHAnsi"/>
          <w:bCs/>
        </w:rPr>
        <w:t xml:space="preserve">(normativne) protipravnosti zajema zakone, ki so neskladni z Ustavo </w:t>
      </w:r>
      <w:r>
        <w:rPr>
          <w:rFonts w:cstheme="minorHAnsi"/>
          <w:bCs/>
        </w:rPr>
        <w:t xml:space="preserve">RS </w:t>
      </w:r>
      <w:r w:rsidRPr="00E314A2">
        <w:rPr>
          <w:rFonts w:cstheme="minorHAnsi"/>
          <w:bCs/>
        </w:rPr>
        <w:t>ter tudi podzakonske predpise, ki niso skladni z zakoni ali z Ustavo</w:t>
      </w:r>
      <w:r>
        <w:rPr>
          <w:rFonts w:cstheme="minorHAnsi"/>
          <w:bCs/>
        </w:rPr>
        <w:t xml:space="preserve"> RS</w:t>
      </w:r>
      <w:r w:rsidRPr="00E314A2">
        <w:rPr>
          <w:rFonts w:cstheme="minorHAnsi"/>
          <w:bCs/>
        </w:rPr>
        <w:t>. Pri tem ne gre za presojo skladnosti Uredbe z ZVO-1 in Direktivami EU, pač pa za presojo o tem, ali so izpolnjene obvezne predpostavke za toženkino odškodninsko odgovornosti, in sicer v prvi vrsti, ali je toženka s sprejetjem Uredbe ravnala protipravno v smislu 26. člena Ustave</w:t>
      </w:r>
      <w:r>
        <w:rPr>
          <w:rFonts w:cstheme="minorHAnsi"/>
          <w:bCs/>
        </w:rPr>
        <w:t xml:space="preserve"> RS</w:t>
      </w:r>
      <w:r w:rsidRPr="00E314A2">
        <w:rPr>
          <w:rFonts w:cstheme="minorHAnsi"/>
          <w:bCs/>
        </w:rPr>
        <w:t xml:space="preserve"> oziroma hudo kršila ustavne določbe ali temeljne civilizacijske standarde. Protipravnost ravnanja v smislu predpostavke odškodninske odgovornosti države po 26. členu Ustave </w:t>
      </w:r>
      <w:r>
        <w:rPr>
          <w:rFonts w:cstheme="minorHAnsi"/>
          <w:bCs/>
        </w:rPr>
        <w:t xml:space="preserve">RS </w:t>
      </w:r>
      <w:r w:rsidRPr="00E314A2">
        <w:rPr>
          <w:rFonts w:cstheme="minorHAnsi"/>
          <w:bCs/>
        </w:rPr>
        <w:t>je pravni standard, ki ga je potrebno v vsakem posameznem primeru napolniti na podlagi konkretnih okoliščin. Za kvalificirano protipravnost, ki je splošna predpostavka odškodninske odgovornosti države</w:t>
      </w:r>
      <w:r>
        <w:rPr>
          <w:rFonts w:cstheme="minorHAnsi"/>
          <w:bCs/>
        </w:rPr>
        <w:t>,</w:t>
      </w:r>
      <w:r w:rsidRPr="00E314A2">
        <w:rPr>
          <w:rFonts w:cstheme="minorHAnsi"/>
          <w:bCs/>
        </w:rPr>
        <w:t xml:space="preserve"> mora biti podana kvalificirana napačnost v smislu odstopa od ustaljene upravne (ali sodne) prakse, očitn</w:t>
      </w:r>
      <w:r>
        <w:rPr>
          <w:rFonts w:cstheme="minorHAnsi"/>
          <w:bCs/>
        </w:rPr>
        <w:t>a</w:t>
      </w:r>
      <w:r w:rsidRPr="00E314A2">
        <w:rPr>
          <w:rFonts w:cstheme="minorHAnsi"/>
          <w:bCs/>
        </w:rPr>
        <w:t xml:space="preserve"> napačnost ravnanja ali zlorab</w:t>
      </w:r>
      <w:r>
        <w:rPr>
          <w:rFonts w:cstheme="minorHAnsi"/>
          <w:bCs/>
        </w:rPr>
        <w:t>a</w:t>
      </w:r>
      <w:r w:rsidRPr="00E314A2">
        <w:rPr>
          <w:rFonts w:cstheme="minorHAnsi"/>
          <w:bCs/>
        </w:rPr>
        <w:t xml:space="preserve"> položaja. Standard protipravnosti v tem primeru tudi po stališčih pravne teorije ni izenačen z vsemi razlogi nezakonitosti splošnih in posamičnih aktov, temveč se zahteva kvalificirana stopnja napačnosti: z zakonodajno protipravnostjo, kamor se uvrščajo oprostitve pri izdaji predpisov in neskladnost s hierarhično višjimi prepisi, te opustitve in neskladnost same po sebi ne zadoščajo</w:t>
      </w:r>
      <w:r>
        <w:rPr>
          <w:rFonts w:cstheme="minorHAnsi"/>
          <w:bCs/>
        </w:rPr>
        <w:t>,</w:t>
      </w:r>
      <w:r w:rsidRPr="00E314A2">
        <w:rPr>
          <w:rFonts w:cstheme="minorHAnsi"/>
          <w:bCs/>
        </w:rPr>
        <w:t xml:space="preserve"> temveč lahko odškodninsko odgovornost utemeljujejo le najhujše kršitve ustavnih določb oziroma kršitve temeljnih civilizacijskih standardov. </w:t>
      </w:r>
    </w:p>
    <w:p w14:paraId="56885986" w14:textId="77777777" w:rsidR="00695AE2" w:rsidRDefault="00695AE2" w:rsidP="00695AE2">
      <w:pPr>
        <w:spacing w:line="240" w:lineRule="auto"/>
        <w:jc w:val="both"/>
        <w:rPr>
          <w:rFonts w:cstheme="minorHAnsi"/>
          <w:bCs/>
        </w:rPr>
      </w:pPr>
    </w:p>
    <w:p w14:paraId="47DF46F7" w14:textId="77777777" w:rsidR="00695AE2" w:rsidRPr="006F5DEC" w:rsidRDefault="00695AE2" w:rsidP="00695AE2">
      <w:pPr>
        <w:spacing w:line="240" w:lineRule="auto"/>
        <w:jc w:val="both"/>
        <w:rPr>
          <w:rFonts w:cstheme="minorHAnsi"/>
          <w:b/>
          <w:color w:val="007466"/>
        </w:rPr>
      </w:pPr>
      <w:r w:rsidRPr="006F5DEC">
        <w:rPr>
          <w:rFonts w:cstheme="minorHAnsi"/>
          <w:b/>
          <w:color w:val="007466"/>
        </w:rPr>
        <w:t>Sodba Višjega sodišča v Mariboru, opr. št. I Cpg 166/2025 z dne 13. 11. 2025</w:t>
      </w:r>
    </w:p>
    <w:p w14:paraId="5BB2510A" w14:textId="77777777" w:rsidR="00695AE2" w:rsidRDefault="00695AE2" w:rsidP="00695AE2">
      <w:pPr>
        <w:spacing w:line="240" w:lineRule="auto"/>
        <w:jc w:val="both"/>
        <w:rPr>
          <w:rFonts w:cstheme="minorHAnsi"/>
          <w:bCs/>
        </w:rPr>
      </w:pPr>
    </w:p>
    <w:p w14:paraId="62DBC845" w14:textId="77777777" w:rsidR="00695AE2" w:rsidRPr="00C04F32" w:rsidRDefault="00695AE2" w:rsidP="00695AE2">
      <w:pPr>
        <w:spacing w:line="240" w:lineRule="auto"/>
        <w:jc w:val="both"/>
        <w:rPr>
          <w:bCs/>
        </w:rPr>
      </w:pPr>
      <w:r w:rsidRPr="00C04F32">
        <w:rPr>
          <w:bCs/>
        </w:rPr>
        <w:t xml:space="preserve">Tožnik je s tožbo zahteval plačilo odškodnine zaradi škode, ki naj bi mu nastala v posledici  sprejetja </w:t>
      </w:r>
      <w:r w:rsidRPr="00C04F32">
        <w:rPr>
          <w:rStyle w:val="Bodytext1"/>
          <w:bCs/>
        </w:rPr>
        <w:t>Odloka o začasni prepovedi ponujanja blaga in storitev potrošnikom v Republiki Sloveniji s spremembami in Odloka o začasnih omejitvah pri izvajanju športnih programov</w:t>
      </w:r>
      <w:r w:rsidRPr="00C04F32">
        <w:rPr>
          <w:bCs/>
        </w:rPr>
        <w:t xml:space="preserve">, ki so bili izdani na podlagi Zakona o nalezljivih boleznih (v nadaljevanju: ZNB) in ki jih je Vlada RS sprejela z namenom preprečevanja širjenja epidemije COVID-19 ter so prepovedovali opravljanje njegove gospodarske dejavnosti (storitve šole smučanja, deskanja na snegu, teka na smučeh ter smučanja prostega sloga) v obdobju od 15. 3. 2020 do 15. 2. 2021. </w:t>
      </w:r>
    </w:p>
    <w:p w14:paraId="249EDE87" w14:textId="77777777" w:rsidR="00695AE2" w:rsidRPr="00C04F32" w:rsidRDefault="00695AE2" w:rsidP="00695AE2">
      <w:pPr>
        <w:pStyle w:val="Brezrazmikov"/>
        <w:ind w:left="0" w:firstLine="0"/>
        <w:rPr>
          <w:rFonts w:ascii="Calibri" w:hAnsi="Calibri" w:cs="Calibri"/>
          <w:bCs/>
        </w:rPr>
      </w:pPr>
    </w:p>
    <w:p w14:paraId="7DCBA440" w14:textId="77777777" w:rsidR="00695AE2" w:rsidRPr="00C04F32" w:rsidRDefault="00695AE2" w:rsidP="00695AE2">
      <w:pPr>
        <w:pStyle w:val="Brezrazmikov"/>
        <w:ind w:left="0" w:firstLine="0"/>
        <w:rPr>
          <w:rFonts w:ascii="Calibri" w:hAnsi="Calibri" w:cs="Calibri"/>
          <w:bCs/>
        </w:rPr>
      </w:pPr>
      <w:r w:rsidRPr="00C04F32">
        <w:rPr>
          <w:rFonts w:ascii="Calibri" w:hAnsi="Calibri" w:cs="Calibri"/>
          <w:bCs/>
        </w:rPr>
        <w:t xml:space="preserve">Tožnik je zatrjeval, da vlada ni imela ustrezne pravne podlage za izdajo odlokov, s katerimi je prepovedala gospodarsko dejavnost tožeče stranke, saj so le-ti temeljili na določilih 39. člena ZNB, ki ga je Ustavno sodišče razglasilo za neustavnega z odločbo, št. U-I-79/20 z dne 13. 5. 2021. Ker so bili odloki sprejeti na podlagi neustavnega predpisa, naj bi bila podana protipravnost. Tožnik je prav tako zatrjeval, da tudi, če ne bi bila ugotovljena neustavnost, vlada naj ne bi imela zakonske podlage za izdajo odlokov, saj prvi odstavek 39. člena ZNB ni dajal podlage za omejitev ali prepoved ponujanja storitev, temveč se je nanašal zgolj na prodajo blaga. </w:t>
      </w:r>
    </w:p>
    <w:p w14:paraId="086928D5" w14:textId="77777777" w:rsidR="00695AE2" w:rsidRPr="00C04F32" w:rsidRDefault="00695AE2" w:rsidP="00695AE2">
      <w:pPr>
        <w:pStyle w:val="Brezrazmikov"/>
        <w:ind w:left="0" w:firstLine="0"/>
        <w:rPr>
          <w:rFonts w:ascii="Calibri" w:hAnsi="Calibri" w:cs="Calibri"/>
          <w:bCs/>
        </w:rPr>
      </w:pPr>
    </w:p>
    <w:p w14:paraId="45503757" w14:textId="77777777" w:rsidR="00695AE2" w:rsidRPr="00C04F32" w:rsidRDefault="00695AE2" w:rsidP="00695AE2">
      <w:pPr>
        <w:pStyle w:val="Brezrazmikov"/>
        <w:ind w:left="0" w:firstLine="0"/>
        <w:rPr>
          <w:rFonts w:ascii="Calibri" w:hAnsi="Calibri" w:cs="Calibri"/>
          <w:bCs/>
        </w:rPr>
      </w:pPr>
      <w:r w:rsidRPr="00C04F32">
        <w:rPr>
          <w:rFonts w:ascii="Calibri" w:hAnsi="Calibri" w:cs="Calibri"/>
          <w:bCs/>
        </w:rPr>
        <w:t xml:space="preserve">Sodišče prve stopnje je s sodbo, ki jo je nato potrdilo tudi sodišče druge stopnje, je potrdilo stališče tožene stranke Republike Slovenije, da ni bila podana protipravnost ravnanja toženke, saj se za obstoj odgovornosti države po 26. členu Ustave RS zahteva kvalificirana stopnja protipravnosti. Ustavno sodišče sporen člen zakona ni razveljavilo, temveč je zgolj ugotovilo neskladnost z Ustavo in določilo, da se še naprej uporablja do odprave neskladnosti, in sicer zato, ker bi razveljavitev izpodbijane zakonske ureditve lahko privedla do še hujšega </w:t>
      </w:r>
      <w:r w:rsidRPr="00C04F32">
        <w:rPr>
          <w:rFonts w:ascii="Calibri" w:hAnsi="Calibri" w:cs="Calibri"/>
          <w:bCs/>
        </w:rPr>
        <w:lastRenderedPageBreak/>
        <w:t>protiustavnega stanja kot v primeru, če bi se protiustavna ureditev za določen čas ohranila v veljavi. Ogroženi bi namreč bili pravica do zdravja in življenja, ki sta temeljni ustavni vrednoti. Ustavno sodišče je prav tako pojasnilo, da se člen lahko uporablja tudi za storitvene dejavnosti. Sodišče prve stopnje je zavrnilo očitek tožnika, da vladni ukrepi ne prestanejo testa sorazmernosti, pri čem je pojasnilo, da primernost ukrepov ni mogoče presojati s stališča današnjih spoznanj, temveč v luči tistega, kar se je vedelo o COVID-19 v obravnavanem obdobju. Državna oblast ima v primeru pojava epidemije nalezljive bolezni, ki lahko resno ogrozi življenje in zdravje ljudi, dolžnost, da ustrezno zavaruje zdravje in življenje. Prepočasen ali nezadosten odziv države bi bil v neskladju s pozitivnimi obveznostmi države, da varuje pravico do življenja in pravico do telesne in duševne celovitosti ter pravico do zdravstvenega varstva. Vlada je po oceni sodišča ravnala v skladu s takratnimi dognanji strokovne skupine zdravstvene stroke, zato toženi stranki ni moč očitati, da je pri sprejemanju ukrepov ravnala samovoljno oziroma ne upoštevaje priporočila stroke ter da je njeno ravnanje odstopalo od običajne metode dela in službene dolžnosti ter potrebne skrbnosti. Z ukrepi, ki so začasno prepovedali ponujanje in prodajanje blaga in storitev, se je zmanjšala možnost stika in s tem prenosa virusa in se je preprečilo kolaps zdravstvenega sistema, saj je v drugem valu število okuženih in hospitaliziranih bolnikov prehitro naraščalo.  Glede na navedeno po oceni sodišča vlada pri sprejemu spornih ukrepov ni ravnala samovoljno, ravnala je namreč v skladu z dognanji zdravstvene stroke ter ob tem zasledovala ustavno dopusten cilj (zajezitev in obvladovanje širjenja nalezljive bolezni), zato odškodninska odgovornost države po 26. členu Ustave RS ni podana in je tožbeni zahtevek neutemeljen.</w:t>
      </w:r>
    </w:p>
    <w:p w14:paraId="3167D4C8" w14:textId="77777777" w:rsidR="00695AE2" w:rsidRPr="00E314A2" w:rsidRDefault="00695AE2" w:rsidP="00695AE2">
      <w:pPr>
        <w:spacing w:line="240" w:lineRule="auto"/>
        <w:jc w:val="both"/>
        <w:rPr>
          <w:rFonts w:cstheme="minorHAnsi"/>
          <w:bCs/>
        </w:rPr>
      </w:pPr>
    </w:p>
    <w:p w14:paraId="775ABDC4" w14:textId="77777777" w:rsidR="00695AE2" w:rsidRPr="006F5DEC" w:rsidRDefault="00695AE2" w:rsidP="00695AE2">
      <w:pPr>
        <w:spacing w:line="240" w:lineRule="auto"/>
        <w:jc w:val="both"/>
        <w:rPr>
          <w:rFonts w:cstheme="minorHAnsi"/>
          <w:b/>
          <w:color w:val="007466"/>
        </w:rPr>
      </w:pPr>
      <w:r w:rsidRPr="006F5DEC">
        <w:rPr>
          <w:rFonts w:cstheme="minorHAnsi"/>
          <w:b/>
          <w:color w:val="007466"/>
        </w:rPr>
        <w:t>Sodba Vrhovnega sodišča RS, opr. št. II Ips 1/2025  dne  24. 9. 2025</w:t>
      </w:r>
    </w:p>
    <w:p w14:paraId="6F2F027C" w14:textId="77777777" w:rsidR="00695AE2" w:rsidRPr="00E314A2" w:rsidRDefault="00695AE2" w:rsidP="00695AE2">
      <w:pPr>
        <w:spacing w:line="240" w:lineRule="auto"/>
        <w:jc w:val="both"/>
        <w:rPr>
          <w:rFonts w:cstheme="minorHAnsi"/>
          <w:bCs/>
        </w:rPr>
      </w:pPr>
    </w:p>
    <w:p w14:paraId="797F39AB" w14:textId="77777777" w:rsidR="00695AE2" w:rsidRPr="00E314A2" w:rsidRDefault="00695AE2" w:rsidP="00695AE2">
      <w:pPr>
        <w:spacing w:line="240" w:lineRule="auto"/>
        <w:jc w:val="both"/>
        <w:rPr>
          <w:rFonts w:cstheme="minorHAnsi"/>
          <w:bCs/>
        </w:rPr>
      </w:pPr>
      <w:r w:rsidRPr="00E314A2">
        <w:rPr>
          <w:rFonts w:cstheme="minorHAnsi"/>
          <w:bCs/>
        </w:rPr>
        <w:t xml:space="preserve">Tožeča stranka je od Republike Slovenije zahtevala plačilo odškodnine zaradi povračila škode, ki naj bi ji nastala v posledici nestrokovno opravljene policijske preiskave kaznivega dejanja tatvine toplotne črpalke, kar naj bi posledično pripeljalo do oprostitve obdolženca, s tem pa naj bi tožeča stranka posledično izgubila možnosti, da bi od njega izterjala nastalo ji škodo. </w:t>
      </w:r>
    </w:p>
    <w:p w14:paraId="20D4413F" w14:textId="77777777" w:rsidR="00695AE2" w:rsidRPr="00E314A2" w:rsidRDefault="00695AE2" w:rsidP="00695AE2">
      <w:pPr>
        <w:pStyle w:val="Odstavekseznama"/>
        <w:spacing w:line="240" w:lineRule="auto"/>
        <w:jc w:val="both"/>
        <w:rPr>
          <w:rFonts w:cstheme="minorHAnsi"/>
          <w:bCs/>
        </w:rPr>
      </w:pPr>
    </w:p>
    <w:p w14:paraId="09D7C590" w14:textId="77777777" w:rsidR="00695AE2" w:rsidRPr="00E314A2" w:rsidRDefault="00695AE2" w:rsidP="00695AE2">
      <w:pPr>
        <w:spacing w:line="240" w:lineRule="auto"/>
        <w:jc w:val="both"/>
        <w:rPr>
          <w:rFonts w:cstheme="minorHAnsi"/>
          <w:bCs/>
        </w:rPr>
      </w:pPr>
      <w:r>
        <w:rPr>
          <w:rFonts w:cstheme="minorHAnsi"/>
          <w:bCs/>
        </w:rPr>
        <w:t xml:space="preserve">Sodišče prve stopnje </w:t>
      </w:r>
      <w:r w:rsidRPr="00E314A2">
        <w:rPr>
          <w:rFonts w:cstheme="minorHAnsi"/>
          <w:bCs/>
        </w:rPr>
        <w:t>je tožbeni zahtevek v celoti zavrnilo, v obrazložitvi odločitve pa zapisalo, da ni dvoma, da je tožeči stranki nastala škoda v zatrjevani višini, da je podana tudi protipravnost ravnanja tožene stranke (opustitev dolžnega ravnanja, ki ga je opredelilo kot nepravilno in neučinkovito vodenje predkazenskega postopka s strani policije ter da so bile zato tožeči stranki odvzete možnosti pri uveljavljanju škode v civilnem postopku), vendar pa zaključilo, da v konkretnem primeru ni podana vzročna zveza med ravnanjem (natančneje opustitvijo ) policije in nastalo škodo</w:t>
      </w:r>
      <w:r>
        <w:rPr>
          <w:rFonts w:cstheme="minorHAnsi"/>
          <w:bCs/>
        </w:rPr>
        <w:t>.</w:t>
      </w:r>
    </w:p>
    <w:p w14:paraId="35C2D737" w14:textId="77777777" w:rsidR="00695AE2" w:rsidRPr="00E314A2" w:rsidRDefault="00695AE2" w:rsidP="00695AE2">
      <w:pPr>
        <w:pStyle w:val="Odstavekseznama"/>
        <w:spacing w:line="240" w:lineRule="auto"/>
        <w:jc w:val="both"/>
        <w:rPr>
          <w:rFonts w:cstheme="minorHAnsi"/>
          <w:bCs/>
        </w:rPr>
      </w:pPr>
    </w:p>
    <w:p w14:paraId="0EC731C6" w14:textId="77777777" w:rsidR="00695AE2" w:rsidRPr="00E314A2" w:rsidRDefault="00695AE2" w:rsidP="00695AE2">
      <w:pPr>
        <w:spacing w:line="240" w:lineRule="auto"/>
        <w:jc w:val="both"/>
        <w:rPr>
          <w:rFonts w:cstheme="minorHAnsi"/>
          <w:bCs/>
        </w:rPr>
      </w:pPr>
      <w:r w:rsidRPr="00E314A2">
        <w:rPr>
          <w:rFonts w:cstheme="minorHAnsi"/>
          <w:bCs/>
        </w:rPr>
        <w:t xml:space="preserve">Po pritožbi tožeče stranke je </w:t>
      </w:r>
      <w:r>
        <w:rPr>
          <w:rFonts w:cstheme="minorHAnsi"/>
          <w:bCs/>
        </w:rPr>
        <w:t xml:space="preserve">sodišče druge stopnje </w:t>
      </w:r>
      <w:r w:rsidRPr="00E314A2">
        <w:rPr>
          <w:rFonts w:cstheme="minorHAnsi"/>
          <w:bCs/>
        </w:rPr>
        <w:t>izpodbijano odločitev prvostopenjskega sodišča spremenilo in tožbenemu zahtevku v pretežnem delu ugodilo, v obrazložitvi odločitve pa pojasnilo, da je v konkretnem primeru podana tudi vzročna zveza, pri čemer je za odločilno štelo, da naj bi postopek pokazal, da bi strokovno pravilna izvedba preiskovalnih ukrepov bistveno povečala možnosti odkritja, oziroma obravnave resničnega storilca in da bi bil oškodovanec s tem, po normalnem teku stvari, postavljen v boljši položaj  glede uveljavljan</w:t>
      </w:r>
      <w:r>
        <w:rPr>
          <w:rFonts w:cstheme="minorHAnsi"/>
          <w:bCs/>
        </w:rPr>
        <w:t>j</w:t>
      </w:r>
      <w:r w:rsidRPr="00E314A2">
        <w:rPr>
          <w:rFonts w:cstheme="minorHAnsi"/>
          <w:bCs/>
        </w:rPr>
        <w:t xml:space="preserve">a nastale mu škode. </w:t>
      </w:r>
    </w:p>
    <w:p w14:paraId="0ACD35C6" w14:textId="77777777" w:rsidR="00695AE2" w:rsidRPr="00E314A2" w:rsidRDefault="00695AE2" w:rsidP="00695AE2">
      <w:pPr>
        <w:pStyle w:val="Odstavekseznama"/>
        <w:spacing w:line="240" w:lineRule="auto"/>
        <w:jc w:val="both"/>
        <w:rPr>
          <w:rFonts w:cstheme="minorHAnsi"/>
          <w:bCs/>
        </w:rPr>
      </w:pPr>
    </w:p>
    <w:p w14:paraId="7D94B349" w14:textId="77777777" w:rsidR="00695AE2" w:rsidRPr="00E314A2" w:rsidRDefault="00695AE2" w:rsidP="00695AE2">
      <w:pPr>
        <w:spacing w:line="240" w:lineRule="auto"/>
        <w:jc w:val="both"/>
        <w:rPr>
          <w:rFonts w:cstheme="minorHAnsi"/>
          <w:bCs/>
        </w:rPr>
      </w:pPr>
      <w:r w:rsidRPr="00E314A2">
        <w:rPr>
          <w:rFonts w:cstheme="minorHAnsi"/>
          <w:bCs/>
        </w:rPr>
        <w:t>Tožena stranka in stranski interv</w:t>
      </w:r>
      <w:r>
        <w:rPr>
          <w:rFonts w:cstheme="minorHAnsi"/>
          <w:bCs/>
        </w:rPr>
        <w:t>enient</w:t>
      </w:r>
      <w:r w:rsidRPr="00E314A2">
        <w:rPr>
          <w:rFonts w:cstheme="minorHAnsi"/>
          <w:bCs/>
        </w:rPr>
        <w:t xml:space="preserve"> sta se postavil</w:t>
      </w:r>
      <w:r>
        <w:rPr>
          <w:rFonts w:cstheme="minorHAnsi"/>
          <w:bCs/>
        </w:rPr>
        <w:t>a</w:t>
      </w:r>
      <w:r w:rsidRPr="00E314A2">
        <w:rPr>
          <w:rFonts w:cstheme="minorHAnsi"/>
          <w:bCs/>
        </w:rPr>
        <w:t xml:space="preserve"> na stališče, da je sodišče</w:t>
      </w:r>
      <w:r>
        <w:rPr>
          <w:rFonts w:cstheme="minorHAnsi"/>
          <w:bCs/>
        </w:rPr>
        <w:t xml:space="preserve"> druge stopnje</w:t>
      </w:r>
      <w:r w:rsidRPr="00E314A2">
        <w:rPr>
          <w:rFonts w:cstheme="minorHAnsi"/>
          <w:bCs/>
        </w:rPr>
        <w:t xml:space="preserve"> napačno uporabilo materialno pravo in ne</w:t>
      </w:r>
      <w:r>
        <w:rPr>
          <w:rFonts w:cstheme="minorHAnsi"/>
          <w:bCs/>
        </w:rPr>
        <w:t xml:space="preserve"> </w:t>
      </w:r>
      <w:r w:rsidRPr="00E314A2">
        <w:rPr>
          <w:rFonts w:cstheme="minorHAnsi"/>
          <w:bCs/>
        </w:rPr>
        <w:t xml:space="preserve">obrazloženo odstopilo od dosedanje sodne prakse, </w:t>
      </w:r>
      <w:r w:rsidRPr="00E314A2">
        <w:rPr>
          <w:rFonts w:cstheme="minorHAnsi"/>
          <w:bCs/>
        </w:rPr>
        <w:lastRenderedPageBreak/>
        <w:t>zato sta vložili predloga za dopustitev revizije, kateremu je bilo ugodeno</w:t>
      </w:r>
      <w:r>
        <w:rPr>
          <w:rFonts w:cstheme="minorHAnsi"/>
          <w:bCs/>
        </w:rPr>
        <w:t>,</w:t>
      </w:r>
      <w:r w:rsidRPr="00E314A2">
        <w:rPr>
          <w:rFonts w:cstheme="minorHAnsi"/>
          <w:bCs/>
        </w:rPr>
        <w:t xml:space="preserve"> in sicer glede vprašanj:</w:t>
      </w:r>
    </w:p>
    <w:p w14:paraId="4CAEE6DD" w14:textId="77777777" w:rsidR="00695AE2" w:rsidRPr="00E314A2" w:rsidRDefault="00695AE2" w:rsidP="00695AE2">
      <w:pPr>
        <w:pStyle w:val="Odstavekseznama"/>
        <w:spacing w:line="240" w:lineRule="auto"/>
        <w:rPr>
          <w:rFonts w:cstheme="minorHAnsi"/>
          <w:bCs/>
        </w:rPr>
      </w:pPr>
    </w:p>
    <w:p w14:paraId="6CDB8320" w14:textId="77777777" w:rsidR="00695AE2" w:rsidRPr="00A41B51" w:rsidRDefault="00695AE2" w:rsidP="006D16C0">
      <w:pPr>
        <w:pStyle w:val="Odstavekseznama"/>
        <w:widowControl w:val="0"/>
        <w:numPr>
          <w:ilvl w:val="0"/>
          <w:numId w:val="155"/>
        </w:numPr>
        <w:spacing w:line="240" w:lineRule="auto"/>
        <w:contextualSpacing w:val="0"/>
        <w:jc w:val="both"/>
        <w:rPr>
          <w:rFonts w:cstheme="minorHAnsi"/>
          <w:bCs/>
          <w:i/>
          <w:iCs/>
        </w:rPr>
      </w:pPr>
      <w:r w:rsidRPr="00A41B51">
        <w:rPr>
          <w:rFonts w:cstheme="minorHAnsi"/>
          <w:bCs/>
          <w:i/>
          <w:iCs/>
        </w:rPr>
        <w:t xml:space="preserve">Ali je sodišče druge stopnje v konkretnem primeru pravilno uporabilo materialno pravo in pravilno uporabilo doktrino adekvatne vzročnosti, ko je presodilo, da je vzročna zveza podana (brez da bi pravilnost in strokovnost preiskovalnih dejanj presodilo z uporabo določil 7. člena Zakona o nalogah in pooblastilih policije – ZNPPol? </w:t>
      </w:r>
    </w:p>
    <w:p w14:paraId="3C425078" w14:textId="77777777" w:rsidR="00695AE2" w:rsidRPr="00A41B51" w:rsidRDefault="00695AE2" w:rsidP="00695AE2">
      <w:pPr>
        <w:pStyle w:val="Odstavekseznama"/>
        <w:spacing w:line="240" w:lineRule="auto"/>
        <w:rPr>
          <w:rFonts w:cstheme="minorHAnsi"/>
          <w:bCs/>
          <w:i/>
          <w:iCs/>
        </w:rPr>
      </w:pPr>
    </w:p>
    <w:p w14:paraId="5715F085" w14:textId="77777777" w:rsidR="00695AE2" w:rsidRPr="00A41B51" w:rsidRDefault="00695AE2" w:rsidP="006D16C0">
      <w:pPr>
        <w:pStyle w:val="Odstavekseznama"/>
        <w:widowControl w:val="0"/>
        <w:numPr>
          <w:ilvl w:val="0"/>
          <w:numId w:val="155"/>
        </w:numPr>
        <w:spacing w:line="240" w:lineRule="auto"/>
        <w:contextualSpacing w:val="0"/>
        <w:jc w:val="both"/>
        <w:rPr>
          <w:rFonts w:cstheme="minorHAnsi"/>
          <w:bCs/>
          <w:i/>
          <w:iCs/>
        </w:rPr>
      </w:pPr>
      <w:r w:rsidRPr="00A41B51">
        <w:rPr>
          <w:rFonts w:cstheme="minorHAnsi"/>
          <w:bCs/>
          <w:i/>
          <w:iCs/>
        </w:rPr>
        <w:t>Ali ocena sodišča druge stopnje, da bi bil tožnik glede odprave premoženjske škode  po normalnem teku stvari postavljen v boljši položaj, če bi bila izvedba preiskovalnih ukrepov strokovno pravilna, zadošča za obstoj pravno relevantne vzročne zveze in obsodbo države na plačilo odškodnine zaradi odprave škode?</w:t>
      </w:r>
    </w:p>
    <w:p w14:paraId="7FB911DA" w14:textId="77777777" w:rsidR="00695AE2" w:rsidRPr="00E314A2" w:rsidRDefault="00695AE2" w:rsidP="00695AE2">
      <w:pPr>
        <w:pStyle w:val="Odstavekseznama"/>
        <w:spacing w:line="240" w:lineRule="auto"/>
        <w:rPr>
          <w:rFonts w:cstheme="minorHAnsi"/>
          <w:bCs/>
        </w:rPr>
      </w:pPr>
    </w:p>
    <w:p w14:paraId="79EEDBD7" w14:textId="77777777" w:rsidR="00695AE2" w:rsidRPr="00E314A2" w:rsidRDefault="00695AE2" w:rsidP="00695AE2">
      <w:pPr>
        <w:spacing w:line="240" w:lineRule="auto"/>
        <w:jc w:val="both"/>
        <w:rPr>
          <w:rFonts w:cstheme="minorHAnsi"/>
          <w:bCs/>
        </w:rPr>
      </w:pPr>
      <w:r w:rsidRPr="00E314A2">
        <w:rPr>
          <w:rFonts w:cstheme="minorHAnsi"/>
          <w:bCs/>
        </w:rPr>
        <w:t xml:space="preserve">Dne 24. 9. 2025 je Vrhovno sodišče </w:t>
      </w:r>
      <w:r>
        <w:rPr>
          <w:rFonts w:cstheme="minorHAnsi"/>
          <w:bCs/>
        </w:rPr>
        <w:t xml:space="preserve">RS </w:t>
      </w:r>
      <w:r w:rsidRPr="00E314A2">
        <w:rPr>
          <w:rFonts w:cstheme="minorHAnsi"/>
          <w:bCs/>
        </w:rPr>
        <w:t>sprejelo odločitev s sodbo</w:t>
      </w:r>
      <w:r>
        <w:rPr>
          <w:rFonts w:cstheme="minorHAnsi"/>
          <w:bCs/>
        </w:rPr>
        <w:t>, opr. št.</w:t>
      </w:r>
      <w:r w:rsidRPr="00E314A2">
        <w:rPr>
          <w:rFonts w:cstheme="minorHAnsi"/>
          <w:bCs/>
        </w:rPr>
        <w:t xml:space="preserve"> II Ips 1/2025, obema revizijama je ugodilo ter spremenilo sodbo sodišča druge stopnje tako, da je tožbeni zahtevek zavrnilo </w:t>
      </w:r>
      <w:r>
        <w:rPr>
          <w:rFonts w:cstheme="minorHAnsi"/>
          <w:bCs/>
        </w:rPr>
        <w:t>v</w:t>
      </w:r>
      <w:r w:rsidRPr="00E314A2">
        <w:rPr>
          <w:rFonts w:cstheme="minorHAnsi"/>
          <w:bCs/>
        </w:rPr>
        <w:t xml:space="preserve"> celoti,  tožeči stranki pa v plačilo naložilo vse stroške postopka.</w:t>
      </w:r>
    </w:p>
    <w:p w14:paraId="5B74CCDA" w14:textId="77777777" w:rsidR="00695AE2" w:rsidRPr="00E314A2" w:rsidRDefault="00695AE2" w:rsidP="00695AE2">
      <w:pPr>
        <w:pStyle w:val="Odstavekseznama"/>
        <w:spacing w:line="240" w:lineRule="auto"/>
        <w:rPr>
          <w:rFonts w:cstheme="minorHAnsi"/>
          <w:bCs/>
        </w:rPr>
      </w:pPr>
    </w:p>
    <w:p w14:paraId="2AE3A9E1" w14:textId="77777777" w:rsidR="00695AE2" w:rsidRPr="00E314A2" w:rsidRDefault="00695AE2" w:rsidP="00695AE2">
      <w:pPr>
        <w:spacing w:line="240" w:lineRule="auto"/>
        <w:jc w:val="both"/>
        <w:rPr>
          <w:rFonts w:cstheme="minorHAnsi"/>
          <w:bCs/>
        </w:rPr>
      </w:pPr>
      <w:r w:rsidRPr="00E314A2">
        <w:rPr>
          <w:rFonts w:cstheme="minorHAnsi"/>
          <w:bCs/>
        </w:rPr>
        <w:t>V sodbi je potrdilo, da gre za javno odškodninsko obveznost, za katero veljajo pravila o adekvatni vzročnosti (škodo je mogoče pripisati protipravnemu ravnanju države, če je do nje prišlo po normalnem teku stvari, ne pa zaradi posebnih, povsem neverjetnih, nepričakovanih okoliščin). Izpostavilo je, da je treba ugotoviti, kakšen bi bil normalen tek stvari, če bi državni organ ravnal tako</w:t>
      </w:r>
      <w:r>
        <w:rPr>
          <w:rFonts w:cstheme="minorHAnsi"/>
          <w:bCs/>
        </w:rPr>
        <w:t>,</w:t>
      </w:r>
      <w:r w:rsidRPr="00E314A2">
        <w:rPr>
          <w:rFonts w:cstheme="minorHAnsi"/>
          <w:bCs/>
        </w:rPr>
        <w:t xml:space="preserve"> kot bi bilo treba in kako bi se to poznalo na premoženjskem (ali nepremoženjskem) položaju oškodovanca ter pojasnilo, da </w:t>
      </w:r>
      <w:r>
        <w:rPr>
          <w:rFonts w:cstheme="minorHAnsi"/>
          <w:bCs/>
        </w:rPr>
        <w:t xml:space="preserve">je </w:t>
      </w:r>
      <w:r w:rsidRPr="00E314A2">
        <w:rPr>
          <w:rFonts w:cstheme="minorHAnsi"/>
          <w:bCs/>
        </w:rPr>
        <w:t>samo</w:t>
      </w:r>
      <w:r>
        <w:rPr>
          <w:rFonts w:cstheme="minorHAnsi"/>
          <w:bCs/>
        </w:rPr>
        <w:t>,</w:t>
      </w:r>
      <w:r w:rsidRPr="00E314A2">
        <w:rPr>
          <w:rFonts w:cstheme="minorHAnsi"/>
          <w:bCs/>
        </w:rPr>
        <w:t xml:space="preserve"> če bi bil v tem primeru oškodovančev položaj boljši, škodo mogoče pripisati protipravnemu ravnanju organa. Tak pristop, ki je prilagojen konceptu razosebljene odgovornosti države, je uporaben zlasti kadar je škoda posledica različnih ravnanj, med katerimi so tudi opustitve ali ko med posameznimi ravnanji (lahko tudi nosilcev različnih oblasti, n</w:t>
      </w:r>
      <w:r>
        <w:rPr>
          <w:rFonts w:cstheme="minorHAnsi"/>
          <w:bCs/>
        </w:rPr>
        <w:t>a primer</w:t>
      </w:r>
      <w:r w:rsidRPr="00E314A2">
        <w:rPr>
          <w:rFonts w:cstheme="minorHAnsi"/>
          <w:bCs/>
        </w:rPr>
        <w:t xml:space="preserve"> policije, tožilstva, sodstva) nobeno zase ni tako, da bi bilo sposobno privesti do končnega prikrajšanja, temveč le vsa skupaj, v seštevku in kot celota. Opozorilo je, da je potrebno biti pri tem previden, da se hipotetični normalni tek stvari ne bi preveč oddaljil od dejanskega poteka dogodkov in bi umetno vzpostavil vzročno zvezo. V konkretnem primeru se je tožnik omejil na ravnanje policije, ki ji pripisuje ekskluziven vzrok za nastalo škodo in sodišče prve stopnje je</w:t>
      </w:r>
      <w:r>
        <w:rPr>
          <w:rFonts w:cstheme="minorHAnsi"/>
          <w:bCs/>
        </w:rPr>
        <w:t>,</w:t>
      </w:r>
      <w:r w:rsidRPr="00E314A2">
        <w:rPr>
          <w:rFonts w:cstheme="minorHAnsi"/>
          <w:bCs/>
        </w:rPr>
        <w:t xml:space="preserve"> drugače kot sodišče druge stopnje</w:t>
      </w:r>
      <w:r>
        <w:rPr>
          <w:rFonts w:cstheme="minorHAnsi"/>
          <w:bCs/>
        </w:rPr>
        <w:t>,</w:t>
      </w:r>
      <w:r w:rsidRPr="00E314A2">
        <w:rPr>
          <w:rFonts w:cstheme="minorHAnsi"/>
          <w:bCs/>
        </w:rPr>
        <w:t xml:space="preserve"> odreklo pravno relevantno vzročnost ravnanju policije in ga je umestilo v širši kontekst nadaljnjega normalnega teka dogodkov (ravnanje državnega tožilstva, sodstva, pa tudi samega tožnikovega ravnanja). Takšnemu pristopu je pritrdilo tudi Vrhovno sodišče </w:t>
      </w:r>
      <w:r>
        <w:rPr>
          <w:rFonts w:cstheme="minorHAnsi"/>
          <w:bCs/>
        </w:rPr>
        <w:t xml:space="preserve">RS.  </w:t>
      </w:r>
    </w:p>
    <w:p w14:paraId="7AF8D8AD" w14:textId="77777777" w:rsidR="00695AE2" w:rsidRPr="00E314A2" w:rsidRDefault="00695AE2" w:rsidP="00695AE2">
      <w:pPr>
        <w:spacing w:line="240" w:lineRule="auto"/>
        <w:jc w:val="both"/>
        <w:rPr>
          <w:rFonts w:cstheme="minorHAnsi"/>
          <w:bCs/>
        </w:rPr>
      </w:pPr>
    </w:p>
    <w:p w14:paraId="379D710A" w14:textId="77777777" w:rsidR="00695AE2" w:rsidRPr="00E737D7" w:rsidRDefault="00695AE2" w:rsidP="00695AE2">
      <w:pPr>
        <w:spacing w:line="240" w:lineRule="auto"/>
        <w:jc w:val="both"/>
      </w:pPr>
      <w:r w:rsidRPr="00E314A2">
        <w:rPr>
          <w:rFonts w:cstheme="minorHAnsi"/>
          <w:bCs/>
        </w:rPr>
        <w:t xml:space="preserve">Vrhovno sodišče </w:t>
      </w:r>
      <w:r>
        <w:rPr>
          <w:rFonts w:cstheme="minorHAnsi"/>
          <w:bCs/>
        </w:rPr>
        <w:t xml:space="preserve">RS </w:t>
      </w:r>
      <w:r w:rsidRPr="00E314A2">
        <w:rPr>
          <w:rFonts w:cstheme="minorHAnsi"/>
          <w:bCs/>
        </w:rPr>
        <w:t>je zaključilo, da opustitev določenih preiskovalnih ukrepov oziroma njihova pomanjkljiva izvedba (pred sodiščema prve in druge stopnje ugotovljeno protipravno ravnanje policije) ne omogoča presoje o obstoju pravno relevantne vzročne zveze. Sodišče druge stopnje v konkretnem primeru ni pravilno uporabilo materialnega prava in ni pravilno uporabilo doktrine adekvatne vzročnosti, ko je presodilo, da je vzročna zveza podana. Posledično je nepravilno ocenilo, da zadošča za obstoj pravno relevantne vzročne zveze in obsodbo države na plačilo odškodnine zaradi odprave škode že zgolj to, da bi bil tožnik glede odprave premoženjske škode po normalnem teku stvari postavljen v boljši položaj, če bi bila izvedba preiskovalnih ukrepov strokovno pravilna.</w:t>
      </w:r>
    </w:p>
    <w:p w14:paraId="2E0660C7" w14:textId="77777777" w:rsidR="00695AE2" w:rsidRPr="003C3F4B" w:rsidRDefault="00695AE2" w:rsidP="00695AE2">
      <w:pPr>
        <w:pStyle w:val="Jasna"/>
        <w:rPr>
          <w:sz w:val="28"/>
          <w:szCs w:val="28"/>
        </w:rPr>
      </w:pPr>
    </w:p>
    <w:p w14:paraId="45BB8B75" w14:textId="77777777" w:rsidR="00695AE2" w:rsidRPr="003C3F4B" w:rsidRDefault="00695AE2" w:rsidP="00695AE2">
      <w:pPr>
        <w:pStyle w:val="Naslov3"/>
        <w:rPr>
          <w:rFonts w:eastAsia="Calibri"/>
        </w:rPr>
      </w:pPr>
      <w:bookmarkStart w:id="1146" w:name="_Toc223094107"/>
      <w:r w:rsidRPr="003C3F4B">
        <w:rPr>
          <w:rFonts w:eastAsia="Calibri"/>
        </w:rPr>
        <w:lastRenderedPageBreak/>
        <w:t>Zadeva zaradi hipotekarne tožbe</w:t>
      </w:r>
      <w:bookmarkEnd w:id="1146"/>
      <w:r w:rsidRPr="003C3F4B">
        <w:rPr>
          <w:rFonts w:eastAsia="Calibri"/>
        </w:rPr>
        <w:t xml:space="preserve"> </w:t>
      </w:r>
    </w:p>
    <w:p w14:paraId="46E1E730" w14:textId="77777777" w:rsidR="00695AE2" w:rsidRPr="003C3F4B" w:rsidRDefault="00695AE2" w:rsidP="00695AE2">
      <w:pPr>
        <w:pStyle w:val="Jasna"/>
        <w:rPr>
          <w:sz w:val="28"/>
          <w:szCs w:val="28"/>
        </w:rPr>
      </w:pPr>
    </w:p>
    <w:p w14:paraId="636EF48D" w14:textId="77777777" w:rsidR="00695AE2" w:rsidRPr="00C04F32" w:rsidRDefault="00695AE2" w:rsidP="00695AE2">
      <w:pPr>
        <w:spacing w:line="240" w:lineRule="auto"/>
        <w:jc w:val="both"/>
        <w:rPr>
          <w:rFonts w:eastAsia="Calibri"/>
          <w:b/>
          <w:color w:val="007466"/>
        </w:rPr>
      </w:pPr>
      <w:r w:rsidRPr="00C04F32">
        <w:rPr>
          <w:rFonts w:eastAsia="Times New Roman"/>
          <w:b/>
          <w:color w:val="007466"/>
          <w:lang w:eastAsia="sl-SI"/>
        </w:rPr>
        <w:t xml:space="preserve">Sklep </w:t>
      </w:r>
      <w:r w:rsidRPr="00C04F32">
        <w:rPr>
          <w:rFonts w:eastAsia="Calibri"/>
          <w:b/>
          <w:color w:val="007466"/>
        </w:rPr>
        <w:t xml:space="preserve">Vrhovnega sodišča, opr. št. III Ips 9/2024 z dne 18. 11. 2025 v zvezi s sklepom  </w:t>
      </w:r>
      <w:r w:rsidRPr="00C04F32">
        <w:rPr>
          <w:rFonts w:eastAsia="Times New Roman"/>
          <w:b/>
          <w:color w:val="007466"/>
          <w:lang w:eastAsia="sl-SI"/>
        </w:rPr>
        <w:t>Višjega sodišča v Ljubljani, opr. št. I Cpg 213/2023 z dne 27. 9. 2023 v zvezi s sklepom Okrožnega sodišča v Krškem, opr. št.  I Pg 20/2022 z dne 13. 2. 2023</w:t>
      </w:r>
    </w:p>
    <w:p w14:paraId="32A8B671" w14:textId="77777777" w:rsidR="00695AE2" w:rsidRPr="00C04F32" w:rsidRDefault="00695AE2" w:rsidP="00695AE2">
      <w:pPr>
        <w:spacing w:line="240" w:lineRule="auto"/>
        <w:jc w:val="both"/>
        <w:rPr>
          <w:rFonts w:eastAsia="Times New Roman"/>
          <w:bCs/>
          <w:lang w:eastAsia="sl-SI"/>
        </w:rPr>
      </w:pPr>
    </w:p>
    <w:p w14:paraId="0D6BD223" w14:textId="77777777" w:rsidR="00695AE2" w:rsidRPr="00C04F32" w:rsidRDefault="00695AE2" w:rsidP="00695AE2">
      <w:pPr>
        <w:widowControl w:val="0"/>
        <w:spacing w:line="240" w:lineRule="auto"/>
        <w:jc w:val="both"/>
        <w:rPr>
          <w:rFonts w:eastAsia="Calibri"/>
          <w:bCs/>
          <w:color w:val="000000"/>
        </w:rPr>
      </w:pPr>
      <w:r w:rsidRPr="00C04F32">
        <w:rPr>
          <w:rFonts w:eastAsia="Times New Roman"/>
          <w:bCs/>
          <w:lang w:eastAsia="sl-SI"/>
        </w:rPr>
        <w:t>Tožeča stranka je s tožbo zahtevala, da ji Republika Slovenija prizna poplačilno pravico do zneska terjatve iz zastavljenih nepremičnin ter dopusti poplačilo te terjatve z izvršbo na predmetne nepremičnine. Nepremičnine, ki so predmet postopka in pri katerih ima tožeča stranka vknjiženo hipoteko, so v razlastitvenem postopku, ki se je vodil pred okrajnim sodiščem, prešle v last Republike Slovenije in so bile predhodno v solasti dveh fizičnih oseb, hipoteka pa ni bila izbrisana. Hipoteka je bila v korist tožeče stranke vknjižena na podlagi notarskega zapisa, ki je bil sklenjen med pravnima prednikoma navedenih nepremičnin ter tožečo stranko. Tožeča stranka je kot upnik že v letu  2011  na podlagi neposredno izvršljivega notarskega zapisa  vložila predlog za izvršbo zoper oba dolžnika (zastavna upnika) in Republiko Slovenijo.  Izvršilno sodišče je s sklepom izvršbo v delu, ki se nanaša na Republiko Slovenijo, najprej dovolilo, a je Državno odvetništvo RS zoper sklep vložilo ugovor iz razloga »</w:t>
      </w:r>
      <w:r w:rsidRPr="00C04F32">
        <w:rPr>
          <w:rFonts w:eastAsia="Times New Roman"/>
          <w:bCs/>
          <w:i/>
          <w:iCs/>
          <w:lang w:eastAsia="sl-SI"/>
        </w:rPr>
        <w:t>res extra commericum«</w:t>
      </w:r>
      <w:r w:rsidRPr="00C04F32">
        <w:rPr>
          <w:rFonts w:eastAsia="Times New Roman"/>
          <w:bCs/>
          <w:lang w:eastAsia="sl-SI"/>
        </w:rPr>
        <w:t xml:space="preserve"> in z njim uspelo, saj  je nato sodišče s sklepom predlog za izvršbo zavrnilo. </w:t>
      </w:r>
      <w:r w:rsidRPr="00C04F32">
        <w:rPr>
          <w:rFonts w:eastAsia="Calibri"/>
          <w:bCs/>
          <w:color w:val="000000"/>
        </w:rPr>
        <w:t xml:space="preserve">Sodišče prve stopnje v obrazložitvi sklepa navedlo, da je smisel hipotekarne tožbe ugotoviti obstoj zavarovane terjatve. Ker je o usodi poplačilne pravice tožeče stranke iz zastavljenih nepremičnin že pravnomočno odločeno v izvršilnem postopku, na podlagi izvršilnega naslova – neposredno izvršljivega notarskega zapisa, tožeča stranka nima pravnega interesa za vložitev hipotekarne tožbe, zato je tožbo zavrglo. </w:t>
      </w:r>
    </w:p>
    <w:p w14:paraId="7C694E52" w14:textId="77777777" w:rsidR="00695AE2" w:rsidRPr="00C04F32" w:rsidRDefault="00695AE2" w:rsidP="00695AE2">
      <w:pPr>
        <w:widowControl w:val="0"/>
        <w:spacing w:line="240" w:lineRule="auto"/>
        <w:jc w:val="both"/>
        <w:rPr>
          <w:rFonts w:eastAsia="Calibri"/>
          <w:bCs/>
          <w:color w:val="000000"/>
        </w:rPr>
      </w:pPr>
    </w:p>
    <w:p w14:paraId="6EEE962C" w14:textId="77777777" w:rsidR="00695AE2" w:rsidRPr="00C04F32" w:rsidRDefault="00695AE2" w:rsidP="00695AE2">
      <w:pPr>
        <w:widowControl w:val="0"/>
        <w:spacing w:line="240" w:lineRule="auto"/>
        <w:jc w:val="both"/>
        <w:rPr>
          <w:rFonts w:eastAsia="Calibri"/>
          <w:bCs/>
          <w:color w:val="000000"/>
        </w:rPr>
      </w:pPr>
      <w:r w:rsidRPr="00C04F32">
        <w:rPr>
          <w:rFonts w:eastAsia="Calibri"/>
          <w:bCs/>
          <w:color w:val="000000"/>
        </w:rPr>
        <w:t xml:space="preserve">Sodišče druge stopnje je pritrdilo prvostopenjski odločitvi in še navedlo, da izvršilno sodišče predloga za izvršbo ni zavrnilo zaradi morebitne neizvršljivosti notarskega zapisa, temveč zaradi neizvršljivosti same hipoteke, ker je ugotovilo, da so sporne nepremičnine izvzete iz izvršbe. </w:t>
      </w:r>
    </w:p>
    <w:p w14:paraId="520415E3" w14:textId="77777777" w:rsidR="00695AE2" w:rsidRPr="00C04F32" w:rsidRDefault="00695AE2" w:rsidP="00695AE2">
      <w:pPr>
        <w:widowControl w:val="0"/>
        <w:spacing w:line="240" w:lineRule="auto"/>
        <w:jc w:val="both"/>
        <w:rPr>
          <w:rFonts w:eastAsia="Calibri"/>
          <w:bCs/>
          <w:color w:val="000000"/>
        </w:rPr>
      </w:pPr>
    </w:p>
    <w:p w14:paraId="01C881B5" w14:textId="77777777" w:rsidR="00695AE2" w:rsidRPr="00C04F32" w:rsidRDefault="00695AE2" w:rsidP="00695AE2">
      <w:pPr>
        <w:widowControl w:val="0"/>
        <w:spacing w:line="240" w:lineRule="auto"/>
        <w:jc w:val="both"/>
        <w:rPr>
          <w:rFonts w:eastAsia="Calibri"/>
          <w:bCs/>
          <w:i/>
          <w:iCs/>
          <w:color w:val="000000"/>
        </w:rPr>
      </w:pPr>
      <w:r w:rsidRPr="00C04F32">
        <w:rPr>
          <w:rFonts w:eastAsia="Calibri"/>
          <w:bCs/>
          <w:color w:val="000000"/>
        </w:rPr>
        <w:t xml:space="preserve">Tožena stranka je zoper sklep vložila predlog za dopustitev revizije, Vrhovno sodišče RS pa je s sklepom o dopustitvi revizije III DoR 139/2023 z dne 6. 2. 2024 revizijo dopustilo glede vprašanja </w:t>
      </w:r>
      <w:r w:rsidRPr="00C04F32">
        <w:rPr>
          <w:rFonts w:eastAsia="Calibri"/>
          <w:bCs/>
          <w:i/>
          <w:iCs/>
          <w:color w:val="000000"/>
        </w:rPr>
        <w:t>»Ali je dopustno odreči pravni interes imetniku hipoteke za vložitev hipotekarne tožbe, z argumentom, da izvršilni naslov že obstaja,</w:t>
      </w:r>
      <w:r w:rsidRPr="00C04F32">
        <w:rPr>
          <w:rFonts w:eastAsia="Calibri"/>
          <w:bCs/>
          <w:color w:val="000000"/>
        </w:rPr>
        <w:t xml:space="preserve"> v </w:t>
      </w:r>
      <w:r w:rsidRPr="00C04F32">
        <w:rPr>
          <w:rFonts w:eastAsia="Calibri"/>
          <w:bCs/>
          <w:i/>
          <w:iCs/>
          <w:color w:val="000000"/>
        </w:rPr>
        <w:t xml:space="preserve">primeru, da imetnik pravice slednje ne more uveljaviti preko izvršilnega naslova?«. </w:t>
      </w:r>
    </w:p>
    <w:p w14:paraId="0424A0E0" w14:textId="77777777" w:rsidR="00695AE2" w:rsidRPr="00C04F32" w:rsidRDefault="00695AE2" w:rsidP="00695AE2">
      <w:pPr>
        <w:widowControl w:val="0"/>
        <w:spacing w:line="240" w:lineRule="auto"/>
        <w:jc w:val="both"/>
        <w:rPr>
          <w:rFonts w:eastAsia="Calibri"/>
          <w:bCs/>
          <w:i/>
          <w:iCs/>
          <w:color w:val="000000"/>
        </w:rPr>
      </w:pPr>
    </w:p>
    <w:p w14:paraId="0C3C53A0" w14:textId="77777777" w:rsidR="00695AE2" w:rsidRPr="00C04F32" w:rsidRDefault="00695AE2" w:rsidP="00695AE2">
      <w:pPr>
        <w:widowControl w:val="0"/>
        <w:spacing w:line="240" w:lineRule="auto"/>
        <w:jc w:val="both"/>
        <w:rPr>
          <w:rFonts w:eastAsia="Times New Roman"/>
          <w:bCs/>
          <w:i/>
          <w:iCs/>
          <w:lang w:eastAsia="sl-SI"/>
        </w:rPr>
      </w:pPr>
      <w:r w:rsidRPr="00C04F32">
        <w:rPr>
          <w:rFonts w:eastAsia="Calibri"/>
          <w:bCs/>
          <w:color w:val="000000"/>
        </w:rPr>
        <w:t xml:space="preserve">Revizija je bila s sklepom Vrhovnega sodišča RS, opr. št. III Ips 9/2024 z dne 18. 11. 2025 zavrnjena. Ob tem je sodišče zapisalo: </w:t>
      </w:r>
      <w:r w:rsidRPr="00C04F32">
        <w:rPr>
          <w:rFonts w:eastAsia="Calibri"/>
          <w:bCs/>
          <w:i/>
          <w:iCs/>
          <w:color w:val="000000"/>
        </w:rPr>
        <w:t>»Tožeča stranka, kot imetnica hipoteke, v njej vsebovanega razpolagalnega in poplačilnega upravičenja zoper toženo stranko kot realno dolžnico ni mogla uspešno uveljaviti, ker so nepremičnine, na katerih je ustanovljena, izvzete iz pravnega prometa in ne zaradi neizvršljivosti notarskega zapisa. V okoliščinah konkretnega primera navedeno pomeni, da ugoditev tožbenemu zahtevku iz hipotekarne tožbe, upoštevaje naravo tega zahtevka, sama po sebi ne bi spremenila oziroma izboljšala njenega pravnega položaja. Ugoditev obravnavanemu tožbenemu zahtevku bi namreč pomenila zgolj, da bi tožeča stranka pridobila dodaten izvršljiv pravni naslov, ki v primerjavi z obstoječim ne bi imel nobene dodatne kvalitete. Ker se torej njen pravni položaj, tudi če bi uspela s hipotekarno tožbo, ne bi izboljšal, nima pravnega interesa za hipotekarno tožbo.«</w:t>
      </w:r>
    </w:p>
    <w:p w14:paraId="0160C59C" w14:textId="77777777" w:rsidR="00695AE2" w:rsidRPr="003C3F4B" w:rsidRDefault="00695AE2" w:rsidP="00695AE2">
      <w:pPr>
        <w:pStyle w:val="Jasna"/>
        <w:rPr>
          <w:sz w:val="28"/>
          <w:szCs w:val="28"/>
          <w:lang w:eastAsia="sl-SI"/>
        </w:rPr>
      </w:pPr>
    </w:p>
    <w:p w14:paraId="7889A77F" w14:textId="77777777" w:rsidR="00695AE2" w:rsidRPr="003C3F4B" w:rsidRDefault="00695AE2" w:rsidP="00695AE2">
      <w:pPr>
        <w:pStyle w:val="Naslov3"/>
        <w:rPr>
          <w:rFonts w:eastAsia="Calibri"/>
        </w:rPr>
      </w:pPr>
      <w:bookmarkStart w:id="1147" w:name="_Toc223094108"/>
      <w:r w:rsidRPr="003C3F4B">
        <w:rPr>
          <w:rFonts w:eastAsia="Calibri"/>
        </w:rPr>
        <w:lastRenderedPageBreak/>
        <w:t>Zadeva zaradi povišanja cen od podaje ponudbe do sklenitve pogodbe</w:t>
      </w:r>
      <w:bookmarkEnd w:id="1147"/>
    </w:p>
    <w:p w14:paraId="53EBA46B" w14:textId="77777777" w:rsidR="00695AE2" w:rsidRPr="003C3F4B" w:rsidRDefault="00695AE2" w:rsidP="00695AE2">
      <w:pPr>
        <w:pStyle w:val="Jasna"/>
        <w:rPr>
          <w:sz w:val="28"/>
          <w:szCs w:val="28"/>
        </w:rPr>
      </w:pPr>
    </w:p>
    <w:p w14:paraId="120F8B8B" w14:textId="77777777" w:rsidR="00695AE2" w:rsidRPr="003C3F4B" w:rsidRDefault="00695AE2" w:rsidP="00695AE2">
      <w:pPr>
        <w:spacing w:line="240" w:lineRule="auto"/>
        <w:jc w:val="both"/>
        <w:rPr>
          <w:rFonts w:eastAsia="Calibri"/>
          <w:b/>
          <w:color w:val="007466"/>
        </w:rPr>
      </w:pPr>
      <w:r w:rsidRPr="003C3F4B">
        <w:rPr>
          <w:rFonts w:eastAsia="Calibri"/>
          <w:b/>
          <w:color w:val="007466"/>
        </w:rPr>
        <w:t>Sodba Višjega sodišča v Celju, opr. št. Cpg 40/2025 z dne 2. 10. 2025</w:t>
      </w:r>
    </w:p>
    <w:p w14:paraId="796911D5" w14:textId="77777777" w:rsidR="00695AE2" w:rsidRPr="003C3F4B" w:rsidRDefault="00695AE2" w:rsidP="00695AE2">
      <w:pPr>
        <w:spacing w:line="240" w:lineRule="auto"/>
        <w:jc w:val="both"/>
        <w:rPr>
          <w:rFonts w:eastAsia="Calibri"/>
          <w:bCs/>
        </w:rPr>
      </w:pPr>
    </w:p>
    <w:p w14:paraId="4EDE1D60" w14:textId="77777777" w:rsidR="00695AE2" w:rsidRPr="003C3F4B" w:rsidRDefault="00695AE2" w:rsidP="00695AE2">
      <w:pPr>
        <w:spacing w:line="240" w:lineRule="auto"/>
        <w:jc w:val="both"/>
        <w:rPr>
          <w:rFonts w:eastAsia="Calibri"/>
          <w:bCs/>
        </w:rPr>
      </w:pPr>
      <w:r w:rsidRPr="003C3F4B">
        <w:rPr>
          <w:rFonts w:eastAsia="Calibri"/>
          <w:bCs/>
        </w:rPr>
        <w:t>Sodišče druge stopnje je potrdilo izpodbijano sodbo, s katero je sodišče prve stopnje zavrnilo tožbeni zahtevek za plačilo, ki ga je tožeča stranka uveljavljala zoper Republiko Slovenijo.</w:t>
      </w:r>
    </w:p>
    <w:p w14:paraId="3A19D599" w14:textId="77777777" w:rsidR="00695AE2" w:rsidRPr="003C3F4B" w:rsidRDefault="00695AE2" w:rsidP="00695AE2">
      <w:pPr>
        <w:spacing w:line="240" w:lineRule="auto"/>
        <w:jc w:val="both"/>
        <w:rPr>
          <w:rFonts w:eastAsia="Calibri"/>
          <w:bCs/>
        </w:rPr>
      </w:pPr>
    </w:p>
    <w:p w14:paraId="0C2433BD" w14:textId="77777777" w:rsidR="00695AE2" w:rsidRDefault="00695AE2" w:rsidP="00695AE2">
      <w:pPr>
        <w:spacing w:line="240" w:lineRule="auto"/>
        <w:jc w:val="both"/>
      </w:pPr>
      <w:r w:rsidRPr="003C3F4B">
        <w:rPr>
          <w:rFonts w:eastAsia="Calibri"/>
          <w:bCs/>
        </w:rPr>
        <w:t xml:space="preserve">Tožnik je vložil tožbo zoper Republiko Slovenijo zaradi povišanja cen, in sicer je uveljavljal povišanje cen v času od podaje ponudbe do sklenitve pogodbe. Sodišče je njegov tožbeni zahtevek zavrnilo. Sodišče druge stopnje je potrdilo izhodišče, ki ga je zavzelo sodišče prve stopnje, in sicer da se za izračun povečanja cene glede na 656. člen OZ upošteva obdobje od sklenitve pogodbe naprej, ne glede na to pa se lahko pogodbenika dogovorita (glede na načelo dispozitivnosti), da ima izvajalec pravico do spremembe cene, če pride do povišanja cen na trgu po oddaji ponudbe – se pravi časovno že prej, kot določa 656. člen OZ. Iz razlogov sodbe višjega sodišča izhaja, da je sodišče ocenilo, da tak poseben dogovor ni bil sklenjen oziroma ni vsebovan v gradbeni pogodbi. </w:t>
      </w:r>
    </w:p>
    <w:p w14:paraId="63E19560" w14:textId="77777777" w:rsidR="00695AE2" w:rsidRPr="003C3F4B" w:rsidRDefault="00695AE2" w:rsidP="00695AE2">
      <w:pPr>
        <w:pStyle w:val="Jasna"/>
        <w:rPr>
          <w:sz w:val="28"/>
          <w:szCs w:val="28"/>
        </w:rPr>
      </w:pPr>
    </w:p>
    <w:p w14:paraId="602C7B29" w14:textId="77777777" w:rsidR="00695AE2" w:rsidRPr="003C3F4B" w:rsidRDefault="00695AE2" w:rsidP="00695AE2">
      <w:pPr>
        <w:pStyle w:val="Naslov3"/>
        <w:ind w:left="0" w:firstLine="0"/>
        <w:rPr>
          <w:rFonts w:eastAsia="Calibri"/>
        </w:rPr>
      </w:pPr>
      <w:bookmarkStart w:id="1148" w:name="_Toc223094109"/>
      <w:r w:rsidRPr="003C3F4B">
        <w:rPr>
          <w:rFonts w:eastAsia="Calibri"/>
        </w:rPr>
        <w:t>Republika Slovenija kot upnica v stečajnem postopku in intervenientka v pravdi</w:t>
      </w:r>
      <w:bookmarkEnd w:id="1148"/>
    </w:p>
    <w:p w14:paraId="257DB454" w14:textId="77777777" w:rsidR="00695AE2" w:rsidRPr="003C3F4B" w:rsidRDefault="00695AE2" w:rsidP="00695AE2">
      <w:pPr>
        <w:pStyle w:val="Jasna"/>
        <w:rPr>
          <w:sz w:val="28"/>
          <w:szCs w:val="28"/>
        </w:rPr>
      </w:pPr>
    </w:p>
    <w:p w14:paraId="627BCB96" w14:textId="77777777" w:rsidR="00695AE2" w:rsidRPr="006F5DEC" w:rsidRDefault="00695AE2" w:rsidP="00695AE2">
      <w:pPr>
        <w:spacing w:line="240" w:lineRule="auto"/>
        <w:jc w:val="both"/>
        <w:rPr>
          <w:rFonts w:cstheme="minorHAnsi"/>
          <w:b/>
          <w:color w:val="007466"/>
        </w:rPr>
      </w:pPr>
      <w:r w:rsidRPr="006F5DEC">
        <w:rPr>
          <w:rFonts w:cstheme="minorHAnsi"/>
          <w:b/>
          <w:color w:val="007466"/>
        </w:rPr>
        <w:t>Sodba Vrhovnega sodišča RS, opr. št. II Ips 27/2025 z dne 10. 12. 2025</w:t>
      </w:r>
    </w:p>
    <w:p w14:paraId="423E27DD" w14:textId="77777777" w:rsidR="00695AE2" w:rsidRPr="00E314A2" w:rsidRDefault="00695AE2" w:rsidP="00695AE2">
      <w:pPr>
        <w:spacing w:line="240" w:lineRule="auto"/>
        <w:jc w:val="both"/>
        <w:rPr>
          <w:rFonts w:cstheme="minorHAnsi"/>
          <w:bCs/>
        </w:rPr>
      </w:pPr>
    </w:p>
    <w:p w14:paraId="658C121D" w14:textId="77777777" w:rsidR="00695AE2" w:rsidRPr="00E314A2" w:rsidRDefault="00695AE2" w:rsidP="00695AE2">
      <w:pPr>
        <w:spacing w:line="240" w:lineRule="auto"/>
        <w:jc w:val="both"/>
        <w:rPr>
          <w:rFonts w:cstheme="minorHAnsi"/>
          <w:bCs/>
        </w:rPr>
      </w:pPr>
      <w:r w:rsidRPr="00E314A2">
        <w:rPr>
          <w:rFonts w:cstheme="minorHAnsi"/>
          <w:bCs/>
        </w:rPr>
        <w:t>Vrhovno sodišče R</w:t>
      </w:r>
      <w:r>
        <w:rPr>
          <w:rFonts w:cstheme="minorHAnsi"/>
          <w:bCs/>
        </w:rPr>
        <w:t>S</w:t>
      </w:r>
      <w:r w:rsidRPr="00E314A2">
        <w:rPr>
          <w:rFonts w:cstheme="minorHAnsi"/>
          <w:bCs/>
        </w:rPr>
        <w:t xml:space="preserve"> je potrdilo sodbo sodišča druge stopnje, s katero je le</w:t>
      </w:r>
      <w:r>
        <w:rPr>
          <w:rFonts w:cstheme="minorHAnsi"/>
          <w:bCs/>
        </w:rPr>
        <w:t>-</w:t>
      </w:r>
      <w:r w:rsidRPr="00E314A2">
        <w:rPr>
          <w:rFonts w:cstheme="minorHAnsi"/>
          <w:bCs/>
        </w:rPr>
        <w:t>to spremenilo sodbo sodišča prve stopnje glede delne ugoditve tožbenemu zahtevku na ugotovitev obstoja tožničine terjatve na vračilo kupnine.</w:t>
      </w:r>
    </w:p>
    <w:p w14:paraId="499FD1A7" w14:textId="77777777" w:rsidR="00695AE2" w:rsidRDefault="00695AE2" w:rsidP="00695AE2">
      <w:pPr>
        <w:spacing w:line="240" w:lineRule="auto"/>
        <w:jc w:val="both"/>
        <w:rPr>
          <w:rFonts w:cstheme="minorHAnsi"/>
          <w:bCs/>
        </w:rPr>
      </w:pPr>
    </w:p>
    <w:p w14:paraId="133ADBD2" w14:textId="77777777" w:rsidR="00695AE2" w:rsidRPr="00E314A2" w:rsidRDefault="00695AE2" w:rsidP="00695AE2">
      <w:pPr>
        <w:spacing w:line="240" w:lineRule="auto"/>
        <w:jc w:val="both"/>
        <w:rPr>
          <w:rFonts w:cstheme="minorHAnsi"/>
          <w:bCs/>
        </w:rPr>
      </w:pPr>
      <w:r w:rsidRPr="00E314A2">
        <w:rPr>
          <w:rFonts w:cstheme="minorHAnsi"/>
          <w:bCs/>
        </w:rPr>
        <w:t xml:space="preserve">Toženčev stečajni upravitelj je prerekal terjatve za vrnitev kupnin, ki jih je tožnica prijavila v postopku osebnega stečaja nad tožencem. Zato </w:t>
      </w:r>
      <w:r>
        <w:rPr>
          <w:rFonts w:cstheme="minorHAnsi"/>
          <w:bCs/>
        </w:rPr>
        <w:t xml:space="preserve">je </w:t>
      </w:r>
      <w:r w:rsidRPr="00E314A2">
        <w:rPr>
          <w:rFonts w:cstheme="minorHAnsi"/>
          <w:bCs/>
        </w:rPr>
        <w:t>tožnica po napotitvi iz stečaja v tej pravdi zahteva</w:t>
      </w:r>
      <w:r>
        <w:rPr>
          <w:rFonts w:cstheme="minorHAnsi"/>
          <w:bCs/>
        </w:rPr>
        <w:t>la</w:t>
      </w:r>
      <w:r w:rsidRPr="00E314A2">
        <w:rPr>
          <w:rFonts w:cstheme="minorHAnsi"/>
          <w:bCs/>
        </w:rPr>
        <w:t xml:space="preserve"> vrnitev kupnine, za katero </w:t>
      </w:r>
      <w:r>
        <w:rPr>
          <w:rFonts w:cstheme="minorHAnsi"/>
          <w:bCs/>
        </w:rPr>
        <w:t xml:space="preserve">je </w:t>
      </w:r>
      <w:r w:rsidRPr="00E314A2">
        <w:rPr>
          <w:rFonts w:cstheme="minorHAnsi"/>
          <w:bCs/>
        </w:rPr>
        <w:t>zatrje</w:t>
      </w:r>
      <w:r>
        <w:rPr>
          <w:rFonts w:cstheme="minorHAnsi"/>
          <w:bCs/>
        </w:rPr>
        <w:t>vala</w:t>
      </w:r>
      <w:r w:rsidRPr="00E314A2">
        <w:rPr>
          <w:rFonts w:cstheme="minorHAnsi"/>
          <w:bCs/>
        </w:rPr>
        <w:t xml:space="preserve">, da jo je plačala in da ni bila nepoštena. </w:t>
      </w:r>
    </w:p>
    <w:p w14:paraId="540FCD32" w14:textId="77777777" w:rsidR="00695AE2" w:rsidRDefault="00695AE2" w:rsidP="00695AE2">
      <w:pPr>
        <w:spacing w:line="240" w:lineRule="auto"/>
        <w:jc w:val="both"/>
        <w:rPr>
          <w:rFonts w:cstheme="minorHAnsi"/>
          <w:bCs/>
        </w:rPr>
      </w:pPr>
    </w:p>
    <w:p w14:paraId="7D3FE30F" w14:textId="77777777" w:rsidR="00695AE2" w:rsidRPr="00E314A2" w:rsidRDefault="00695AE2" w:rsidP="00695AE2">
      <w:pPr>
        <w:spacing w:line="240" w:lineRule="auto"/>
        <w:jc w:val="both"/>
        <w:rPr>
          <w:rFonts w:cstheme="minorHAnsi"/>
          <w:bCs/>
        </w:rPr>
      </w:pPr>
      <w:r w:rsidRPr="00E314A2">
        <w:rPr>
          <w:rFonts w:cstheme="minorHAnsi"/>
          <w:bCs/>
        </w:rPr>
        <w:t>Pravdni stranki sta namreč sklenili pogodbe, v katerih je bilo zapisano, da toženec proda toženki več nepremičnin. V ločenem pravnomočno zaključenem postopku je, po tožbi tožeče stranke Republike Slovenije, sodišče ugotovilo, da so pogodbe nične. Tako so bile nepremičnine vrnjene tožencu. Sodišče je obrazložilo, da je drugi toženec pogodbe sklenil z edinim namenom, da se izogne plačilu davčnih obveznosti, s prenosom lastninske pravice pa je želel preprečiti, da bi bile nepremičnine predmet izvršbe. Pogodbeni namen obeh tožencev (pravdnih strank v tem postopku) izigrati tretje je v nasprotju z moralnimi načeli (</w:t>
      </w:r>
      <w:r>
        <w:rPr>
          <w:rFonts w:cstheme="minorHAnsi"/>
          <w:bCs/>
        </w:rPr>
        <w:t>drugi</w:t>
      </w:r>
      <w:r w:rsidRPr="00E314A2">
        <w:rPr>
          <w:rFonts w:cstheme="minorHAnsi"/>
          <w:bCs/>
        </w:rPr>
        <w:t xml:space="preserve"> odst</w:t>
      </w:r>
      <w:r>
        <w:rPr>
          <w:rFonts w:cstheme="minorHAnsi"/>
          <w:bCs/>
        </w:rPr>
        <w:t>avek</w:t>
      </w:r>
      <w:r w:rsidRPr="00E314A2">
        <w:rPr>
          <w:rFonts w:cstheme="minorHAnsi"/>
          <w:bCs/>
        </w:rPr>
        <w:t xml:space="preserve"> 39. čl</w:t>
      </w:r>
      <w:r>
        <w:rPr>
          <w:rFonts w:cstheme="minorHAnsi"/>
          <w:bCs/>
        </w:rPr>
        <w:t>en</w:t>
      </w:r>
      <w:r w:rsidRPr="00E314A2">
        <w:rPr>
          <w:rFonts w:cstheme="minorHAnsi"/>
          <w:bCs/>
        </w:rPr>
        <w:t xml:space="preserve"> OZ), pogodbe pa so zato nične (</w:t>
      </w:r>
      <w:r>
        <w:rPr>
          <w:rFonts w:cstheme="minorHAnsi"/>
          <w:bCs/>
        </w:rPr>
        <w:t>tretji</w:t>
      </w:r>
      <w:r w:rsidRPr="00E314A2">
        <w:rPr>
          <w:rFonts w:cstheme="minorHAnsi"/>
          <w:bCs/>
        </w:rPr>
        <w:t xml:space="preserve"> odst</w:t>
      </w:r>
      <w:r>
        <w:rPr>
          <w:rFonts w:cstheme="minorHAnsi"/>
          <w:bCs/>
        </w:rPr>
        <w:t>avek</w:t>
      </w:r>
      <w:r w:rsidRPr="00E314A2">
        <w:rPr>
          <w:rFonts w:cstheme="minorHAnsi"/>
          <w:bCs/>
        </w:rPr>
        <w:t xml:space="preserve"> 40. člena OZ).</w:t>
      </w:r>
    </w:p>
    <w:p w14:paraId="16F6A5DF" w14:textId="77777777" w:rsidR="00695AE2" w:rsidRPr="00E314A2" w:rsidRDefault="00695AE2" w:rsidP="00695AE2">
      <w:pPr>
        <w:spacing w:line="240" w:lineRule="auto"/>
        <w:jc w:val="both"/>
        <w:rPr>
          <w:rFonts w:cstheme="minorHAnsi"/>
          <w:bCs/>
        </w:rPr>
      </w:pPr>
    </w:p>
    <w:p w14:paraId="0F461363" w14:textId="77777777" w:rsidR="00695AE2" w:rsidRDefault="00695AE2" w:rsidP="00695AE2">
      <w:pPr>
        <w:spacing w:line="240" w:lineRule="auto"/>
        <w:jc w:val="both"/>
        <w:rPr>
          <w:rFonts w:cstheme="minorHAnsi"/>
          <w:bCs/>
        </w:rPr>
      </w:pPr>
      <w:r w:rsidRPr="00E314A2">
        <w:rPr>
          <w:rFonts w:cstheme="minorHAnsi"/>
          <w:bCs/>
        </w:rPr>
        <w:t>Republika Slovenija je intervenirala na strani stečajnega dolžnika</w:t>
      </w:r>
      <w:r>
        <w:rPr>
          <w:rFonts w:cstheme="minorHAnsi"/>
          <w:bCs/>
        </w:rPr>
        <w:t>,</w:t>
      </w:r>
      <w:r w:rsidRPr="00E314A2">
        <w:rPr>
          <w:rFonts w:cstheme="minorHAnsi"/>
          <w:bCs/>
        </w:rPr>
        <w:t xml:space="preserve"> torej tožene stranke.</w:t>
      </w:r>
      <w:r w:rsidRPr="0053298F">
        <w:rPr>
          <w:rFonts w:cstheme="minorHAnsi"/>
          <w:bCs/>
        </w:rPr>
        <w:t xml:space="preserve"> </w:t>
      </w:r>
    </w:p>
    <w:p w14:paraId="0E62795C" w14:textId="77777777" w:rsidR="00695AE2" w:rsidRDefault="00695AE2" w:rsidP="00695AE2">
      <w:pPr>
        <w:spacing w:line="240" w:lineRule="auto"/>
        <w:jc w:val="both"/>
        <w:rPr>
          <w:rFonts w:cstheme="minorHAnsi"/>
          <w:bCs/>
        </w:rPr>
      </w:pPr>
    </w:p>
    <w:p w14:paraId="72D68154" w14:textId="77777777" w:rsidR="00695AE2" w:rsidRPr="00E314A2" w:rsidRDefault="00695AE2" w:rsidP="00695AE2">
      <w:pPr>
        <w:spacing w:line="240" w:lineRule="auto"/>
        <w:jc w:val="both"/>
        <w:rPr>
          <w:rFonts w:cstheme="minorHAnsi"/>
          <w:bCs/>
        </w:rPr>
      </w:pPr>
      <w:r>
        <w:rPr>
          <w:rFonts w:cstheme="minorHAnsi"/>
          <w:bCs/>
        </w:rPr>
        <w:t>Vrhovno sodišče RS je zavzelo stališče, da je p</w:t>
      </w:r>
      <w:r w:rsidRPr="00E314A2">
        <w:rPr>
          <w:rFonts w:cstheme="minorHAnsi"/>
          <w:bCs/>
        </w:rPr>
        <w:t xml:space="preserve">ritožba stranskega intervenienta dovoljena, čeprav je ni vložila tudi stranka, na strani katere se je intervenient pridružil pravdi (45. točka obrazložitve). </w:t>
      </w:r>
    </w:p>
    <w:p w14:paraId="2A2C7B96" w14:textId="77777777" w:rsidR="00695AE2" w:rsidRPr="00E314A2" w:rsidRDefault="00695AE2" w:rsidP="00695AE2">
      <w:pPr>
        <w:spacing w:line="240" w:lineRule="auto"/>
        <w:jc w:val="both"/>
        <w:rPr>
          <w:rFonts w:cstheme="minorHAnsi"/>
          <w:bCs/>
        </w:rPr>
      </w:pPr>
    </w:p>
    <w:p w14:paraId="078DFDF1" w14:textId="77777777" w:rsidR="00695AE2" w:rsidRDefault="00695AE2" w:rsidP="00695AE2">
      <w:pPr>
        <w:spacing w:line="240" w:lineRule="auto"/>
        <w:jc w:val="both"/>
        <w:rPr>
          <w:rFonts w:cstheme="minorHAnsi"/>
          <w:bCs/>
        </w:rPr>
      </w:pPr>
      <w:r w:rsidRPr="00E314A2">
        <w:rPr>
          <w:rFonts w:cstheme="minorHAnsi"/>
          <w:bCs/>
        </w:rPr>
        <w:lastRenderedPageBreak/>
        <w:t xml:space="preserve">Skladno s </w:t>
      </w:r>
      <w:r>
        <w:rPr>
          <w:rFonts w:cstheme="minorHAnsi"/>
          <w:bCs/>
        </w:rPr>
        <w:t>prvim</w:t>
      </w:r>
      <w:r w:rsidRPr="00E314A2">
        <w:rPr>
          <w:rFonts w:cstheme="minorHAnsi"/>
          <w:bCs/>
        </w:rPr>
        <w:t xml:space="preserve"> odstavkom 201. člena ZPP ima intervenient od trenutka, ko vstopi v pravdo, pravico dajati predloge in opravljati vsa druga pravna dejanja v rokih, v katerih bi to lahko storila stranka, ki se ji je pridružil. To je pomembno še posebej takrat, ko je stranka, ki se ji je stranski intervenient pridružil, pasivna. Ob tem se V</w:t>
      </w:r>
      <w:r>
        <w:rPr>
          <w:rFonts w:cstheme="minorHAnsi"/>
          <w:bCs/>
        </w:rPr>
        <w:t xml:space="preserve">rhovno sodišče </w:t>
      </w:r>
      <w:r w:rsidRPr="00E314A2">
        <w:rPr>
          <w:rFonts w:cstheme="minorHAnsi"/>
          <w:bCs/>
        </w:rPr>
        <w:t>RS sklicuje na teorijo,</w:t>
      </w:r>
      <w:r>
        <w:rPr>
          <w:rFonts w:cstheme="minorHAnsi"/>
          <w:bCs/>
        </w:rPr>
        <w:t xml:space="preserve"> </w:t>
      </w:r>
      <w:r w:rsidRPr="00E314A2">
        <w:rPr>
          <w:rFonts w:cstheme="minorHAnsi"/>
          <w:bCs/>
        </w:rPr>
        <w:t>k</w:t>
      </w:r>
      <w:r>
        <w:rPr>
          <w:rFonts w:cstheme="minorHAnsi"/>
          <w:bCs/>
        </w:rPr>
        <w:t>i</w:t>
      </w:r>
      <w:r w:rsidRPr="00E314A2">
        <w:rPr>
          <w:rFonts w:cstheme="minorHAnsi"/>
          <w:bCs/>
        </w:rPr>
        <w:t xml:space="preserve"> pojasnjuje, da lahko stranski intervenient n</w:t>
      </w:r>
      <w:r>
        <w:rPr>
          <w:rFonts w:cstheme="minorHAnsi"/>
          <w:bCs/>
        </w:rPr>
        <w:t>a primer</w:t>
      </w:r>
      <w:r w:rsidRPr="00E314A2">
        <w:rPr>
          <w:rFonts w:cstheme="minorHAnsi"/>
          <w:bCs/>
        </w:rPr>
        <w:t xml:space="preserve"> z vložitvijo odgovora na tožbo prepreči izdajo zamudne sodbe, uveljavlja ugovore, ki jih je stranka zanemarila</w:t>
      </w:r>
      <w:r>
        <w:rPr>
          <w:rFonts w:cstheme="minorHAnsi"/>
          <w:bCs/>
        </w:rPr>
        <w:t xml:space="preserve"> ipd. </w:t>
      </w:r>
      <w:r w:rsidRPr="00E314A2">
        <w:rPr>
          <w:rFonts w:cstheme="minorHAnsi"/>
          <w:bCs/>
        </w:rPr>
        <w:t>Pravilo četrtega odstavka 201. člena ZPP vsekakor velja za pozitivna oziroma aktivna dejanja stranke ter intervenienta, ne pa tudi za opustitve, molk. Če dejanja stranke in intervenienta niso storjena istočasno ali če gre za dejanja, ki so opravljena s pisnimi vlogami, veljajo strankina dejanja, če ta izrecno nasprotujejo intervenientovim. Če pa je intervenient bodisi na naroku ali v pisni vlogi opravil dejanj</w:t>
      </w:r>
      <w:r>
        <w:rPr>
          <w:rFonts w:cstheme="minorHAnsi"/>
          <w:bCs/>
        </w:rPr>
        <w:t>e</w:t>
      </w:r>
      <w:r w:rsidRPr="00E314A2">
        <w:rPr>
          <w:rFonts w:cstheme="minorHAnsi"/>
          <w:bCs/>
        </w:rPr>
        <w:t>, ki mu stranka ni nasprotovala, veljajo tista intervenientova dejanja, ki so za stranko koristna</w:t>
      </w:r>
      <w:r>
        <w:rPr>
          <w:rFonts w:cstheme="minorHAnsi"/>
          <w:bCs/>
        </w:rPr>
        <w:t xml:space="preserve">. </w:t>
      </w:r>
      <w:r w:rsidRPr="00E314A2">
        <w:rPr>
          <w:rFonts w:cstheme="minorHAnsi"/>
          <w:bCs/>
        </w:rPr>
        <w:t xml:space="preserve"> </w:t>
      </w:r>
    </w:p>
    <w:p w14:paraId="6D53AEDC" w14:textId="77777777" w:rsidR="00695AE2" w:rsidRDefault="00695AE2" w:rsidP="00695AE2">
      <w:pPr>
        <w:spacing w:line="240" w:lineRule="auto"/>
        <w:jc w:val="both"/>
        <w:rPr>
          <w:rFonts w:cstheme="minorHAnsi"/>
          <w:bCs/>
        </w:rPr>
      </w:pPr>
    </w:p>
    <w:p w14:paraId="3E68237C" w14:textId="77777777" w:rsidR="00695AE2" w:rsidRPr="00E314A2" w:rsidRDefault="00695AE2" w:rsidP="00695AE2">
      <w:pPr>
        <w:spacing w:line="240" w:lineRule="auto"/>
        <w:jc w:val="both"/>
        <w:rPr>
          <w:rFonts w:cstheme="minorHAnsi"/>
          <w:bCs/>
        </w:rPr>
      </w:pPr>
      <w:r w:rsidRPr="00E314A2">
        <w:rPr>
          <w:rFonts w:cstheme="minorHAnsi"/>
          <w:bCs/>
        </w:rPr>
        <w:t xml:space="preserve">Ravnanje toženca in stranske intervenientke res ni bilo enako, </w:t>
      </w:r>
      <w:r>
        <w:rPr>
          <w:rFonts w:cstheme="minorHAnsi"/>
          <w:bCs/>
        </w:rPr>
        <w:t xml:space="preserve">vendar </w:t>
      </w:r>
      <w:r w:rsidRPr="00E314A2">
        <w:rPr>
          <w:rFonts w:cstheme="minorHAnsi"/>
          <w:bCs/>
        </w:rPr>
        <w:t>to še ne pomeni, da sta si njuni dejanji nasprotovali. Še več, dveh dejanj niti ni bilo, aktivno je ravnala le intervenientka, toženec pa je ostal pasiven. To, da ni vložil pritožbe, še ne pomeni, da je intervenientkina pritožba v nasprotju z njegovo voljo in interesi (na to jasno kažejo tudi nadaljnja procesna dejanja toženca in odgovor na revizijo). Razlaga, za ka</w:t>
      </w:r>
      <w:r>
        <w:rPr>
          <w:rFonts w:cstheme="minorHAnsi"/>
          <w:bCs/>
        </w:rPr>
        <w:t>k</w:t>
      </w:r>
      <w:r w:rsidRPr="00E314A2">
        <w:rPr>
          <w:rFonts w:cstheme="minorHAnsi"/>
          <w:bCs/>
        </w:rPr>
        <w:t>ršno se zavzema revidentka</w:t>
      </w:r>
      <w:r>
        <w:rPr>
          <w:rFonts w:cstheme="minorHAnsi"/>
          <w:bCs/>
        </w:rPr>
        <w:t>,</w:t>
      </w:r>
      <w:r w:rsidRPr="00E314A2">
        <w:rPr>
          <w:rFonts w:cstheme="minorHAnsi"/>
          <w:bCs/>
        </w:rPr>
        <w:t xml:space="preserve"> bi stranskega intervenienta spremenila v opazovalca postopka (z interesom), njegova ravnanja (tudi navajanje dejstev in dokazov, ki jih stranka ni navedla; nasprotovanje trditvam nasprotnika, ki jim stranka ni nasprotovala) pa bi bila neupoštevna. </w:t>
      </w:r>
    </w:p>
    <w:p w14:paraId="3C2625BD" w14:textId="77777777" w:rsidR="00695AE2" w:rsidRDefault="00695AE2" w:rsidP="00695AE2">
      <w:pPr>
        <w:spacing w:line="240" w:lineRule="auto"/>
        <w:jc w:val="both"/>
        <w:rPr>
          <w:rFonts w:cstheme="minorHAnsi"/>
          <w:bCs/>
        </w:rPr>
      </w:pPr>
    </w:p>
    <w:p w14:paraId="1E828766" w14:textId="77777777" w:rsidR="00695AE2" w:rsidRPr="00E314A2" w:rsidRDefault="00695AE2" w:rsidP="00695AE2">
      <w:pPr>
        <w:spacing w:line="240" w:lineRule="auto"/>
        <w:jc w:val="both"/>
        <w:rPr>
          <w:rFonts w:cstheme="minorHAnsi"/>
          <w:bCs/>
        </w:rPr>
      </w:pPr>
      <w:r w:rsidRPr="00E314A2">
        <w:rPr>
          <w:rFonts w:cstheme="minorHAnsi"/>
          <w:bCs/>
        </w:rPr>
        <w:t xml:space="preserve">Zaključek, da si dejanja stranke in njenega intervenienta nasprotujejo,  bi bil pravilen le, če bi toženec vloženi pritožbi izrecno nasprotoval. Ker se v skladu s tretjim odstavkom 201. člena ZPP pravno sredstvo, ki ga je vložil intervenient, vroči tudi stranki, ki se ji je pridružil, bi bilo nasprotovanje preprosto – toženec bi lahko pritožbo umaknil. Ne more biti dvoma, da gre pri vložitvi pritožbe za ravnanje, ki je koristno z vidika interesa toženca v postopku, saj je šlo za pritožbo v delu, v katerem je bila izpodbijana odločitev v njegovo škodo. </w:t>
      </w:r>
    </w:p>
    <w:p w14:paraId="10910F54" w14:textId="77777777" w:rsidR="00695AE2" w:rsidRDefault="00695AE2" w:rsidP="00695AE2">
      <w:pPr>
        <w:spacing w:line="240" w:lineRule="auto"/>
        <w:jc w:val="both"/>
        <w:rPr>
          <w:rFonts w:cstheme="minorHAnsi"/>
          <w:bCs/>
        </w:rPr>
      </w:pPr>
    </w:p>
    <w:p w14:paraId="2805B0A1" w14:textId="77777777" w:rsidR="00695AE2" w:rsidRPr="00E314A2" w:rsidRDefault="00695AE2" w:rsidP="00695AE2">
      <w:pPr>
        <w:spacing w:line="240" w:lineRule="auto"/>
        <w:jc w:val="both"/>
        <w:rPr>
          <w:rFonts w:cstheme="minorHAnsi"/>
          <w:bCs/>
        </w:rPr>
      </w:pPr>
      <w:r w:rsidRPr="00E314A2">
        <w:rPr>
          <w:rFonts w:cstheme="minorHAnsi"/>
          <w:bCs/>
        </w:rPr>
        <w:t xml:space="preserve">Ravnanja sodišča druge stopnje, ki je pritožbo stranske intervenientke obravnavalo, čeprav se toženec ni pritožil, je bilo torej pravilno. </w:t>
      </w:r>
    </w:p>
    <w:p w14:paraId="7D55E348" w14:textId="77777777" w:rsidR="00695AE2" w:rsidRPr="00E314A2" w:rsidRDefault="00695AE2" w:rsidP="00695AE2">
      <w:pPr>
        <w:spacing w:line="240" w:lineRule="auto"/>
        <w:jc w:val="both"/>
        <w:rPr>
          <w:rFonts w:cstheme="minorHAnsi"/>
          <w:bCs/>
        </w:rPr>
      </w:pPr>
    </w:p>
    <w:p w14:paraId="62FD3658" w14:textId="77777777" w:rsidR="00695AE2" w:rsidRPr="00E314A2" w:rsidRDefault="00695AE2" w:rsidP="00695AE2">
      <w:pPr>
        <w:spacing w:line="240" w:lineRule="auto"/>
        <w:jc w:val="both"/>
        <w:rPr>
          <w:rFonts w:cstheme="minorHAnsi"/>
          <w:bCs/>
        </w:rPr>
      </w:pPr>
      <w:r>
        <w:rPr>
          <w:rFonts w:cstheme="minorHAnsi"/>
          <w:bCs/>
        </w:rPr>
        <w:t xml:space="preserve">Nadalje je </w:t>
      </w:r>
      <w:r w:rsidRPr="00E314A2">
        <w:rPr>
          <w:rFonts w:cstheme="minorHAnsi"/>
          <w:bCs/>
        </w:rPr>
        <w:t xml:space="preserve">Vrhovno sodišče </w:t>
      </w:r>
      <w:r>
        <w:rPr>
          <w:rFonts w:cstheme="minorHAnsi"/>
          <w:bCs/>
        </w:rPr>
        <w:t xml:space="preserve">RS </w:t>
      </w:r>
      <w:r w:rsidRPr="00E314A2">
        <w:rPr>
          <w:rFonts w:cstheme="minorHAnsi"/>
          <w:bCs/>
        </w:rPr>
        <w:t xml:space="preserve">kot zgrešeno zavrnilo revidentkino stališče, da sme </w:t>
      </w:r>
      <w:r>
        <w:rPr>
          <w:rFonts w:cstheme="minorHAnsi"/>
          <w:bCs/>
        </w:rPr>
        <w:t xml:space="preserve">sodišče druge stopnje s </w:t>
      </w:r>
      <w:r w:rsidRPr="00E314A2">
        <w:rPr>
          <w:rFonts w:cstheme="minorHAnsi"/>
          <w:bCs/>
        </w:rPr>
        <w:t xml:space="preserve">sodbo spremeniti sodbo sodišča prve stopnje zgolj kadar na podlagi pritožbene obravnave ugotovi drugačno dejansko stanje. </w:t>
      </w:r>
    </w:p>
    <w:p w14:paraId="271AAB1B" w14:textId="77777777" w:rsidR="00695AE2" w:rsidRDefault="00695AE2" w:rsidP="00695AE2">
      <w:pPr>
        <w:spacing w:line="240" w:lineRule="auto"/>
        <w:jc w:val="both"/>
        <w:rPr>
          <w:rFonts w:cstheme="minorHAnsi"/>
          <w:bCs/>
        </w:rPr>
      </w:pPr>
    </w:p>
    <w:p w14:paraId="4522FC2E" w14:textId="77777777" w:rsidR="00695AE2" w:rsidRPr="00E314A2" w:rsidRDefault="00695AE2" w:rsidP="00695AE2">
      <w:pPr>
        <w:spacing w:line="240" w:lineRule="auto"/>
        <w:jc w:val="both"/>
        <w:rPr>
          <w:rFonts w:cstheme="minorHAnsi"/>
          <w:bCs/>
        </w:rPr>
      </w:pPr>
      <w:r w:rsidRPr="00E314A2">
        <w:rPr>
          <w:rFonts w:cstheme="minorHAnsi"/>
          <w:bCs/>
        </w:rPr>
        <w:t>Kot očitno napačno je ocenilo tudi revidentkino stališče, da se sodišče druge stopnje do dokazov, ki jih je sodišče prve stopnje izvedlo, a jih ni ocenilo, ne sme opredeliti na seji. To lahko naredi, če sodišče prve stopnje ni presodilo listin, pisnih izjav prič iz 236.a člena ZPP, oglednih predmetov, ki so v spisu</w:t>
      </w:r>
      <w:r>
        <w:rPr>
          <w:rFonts w:cstheme="minorHAnsi"/>
          <w:bCs/>
        </w:rPr>
        <w:t>,</w:t>
      </w:r>
      <w:r w:rsidRPr="00E314A2">
        <w:rPr>
          <w:rFonts w:cstheme="minorHAnsi"/>
          <w:bCs/>
        </w:rPr>
        <w:t xml:space="preserve"> in posredno izvedenih dokazov (217. in 218. člen, tretji odstavek 302. člena ZPP)</w:t>
      </w:r>
      <w:r>
        <w:rPr>
          <w:rFonts w:cstheme="minorHAnsi"/>
          <w:bCs/>
        </w:rPr>
        <w:t>,</w:t>
      </w:r>
      <w:r w:rsidRPr="00E314A2">
        <w:rPr>
          <w:rFonts w:cstheme="minorHAnsi"/>
          <w:bCs/>
        </w:rPr>
        <w:t xml:space="preserve"> stranke pa so imele možnost obravnavanja teh dokazov v postopku pred sodiščem prve stopnje. </w:t>
      </w:r>
    </w:p>
    <w:p w14:paraId="6A315497" w14:textId="77777777" w:rsidR="00695AE2" w:rsidRDefault="00695AE2" w:rsidP="00695AE2">
      <w:pPr>
        <w:spacing w:line="240" w:lineRule="auto"/>
        <w:jc w:val="both"/>
        <w:rPr>
          <w:rFonts w:cstheme="minorHAnsi"/>
          <w:bCs/>
        </w:rPr>
      </w:pPr>
    </w:p>
    <w:p w14:paraId="01870392" w14:textId="77777777" w:rsidR="00695AE2" w:rsidRPr="00E314A2" w:rsidRDefault="00695AE2" w:rsidP="00695AE2">
      <w:pPr>
        <w:spacing w:line="240" w:lineRule="auto"/>
        <w:jc w:val="both"/>
        <w:rPr>
          <w:rFonts w:cstheme="minorHAnsi"/>
          <w:bCs/>
        </w:rPr>
      </w:pPr>
      <w:r w:rsidRPr="00E314A2">
        <w:rPr>
          <w:rFonts w:cstheme="minorHAnsi"/>
          <w:bCs/>
        </w:rPr>
        <w:t>Namen zadnjih dveh novel ZPP je bil omejiti možnost, da pritožbeno sodišče ob ugoditvi pritožbi izpodbijano sodbo razveljavi in zadevo vrne sodišču prve stopnje v nov postopek</w:t>
      </w:r>
      <w:r>
        <w:rPr>
          <w:rFonts w:cstheme="minorHAnsi"/>
          <w:bCs/>
        </w:rPr>
        <w:t>, a</w:t>
      </w:r>
      <w:r w:rsidRPr="00E314A2">
        <w:rPr>
          <w:rFonts w:cstheme="minorHAnsi"/>
          <w:bCs/>
        </w:rPr>
        <w:t xml:space="preserve"> ta možnost še vedno ni povsem izključena. Kadar sodišče </w:t>
      </w:r>
      <w:r>
        <w:rPr>
          <w:rFonts w:cstheme="minorHAnsi"/>
          <w:bCs/>
        </w:rPr>
        <w:t xml:space="preserve">druge stopnje </w:t>
      </w:r>
      <w:r w:rsidRPr="00E314A2">
        <w:rPr>
          <w:rFonts w:cstheme="minorHAnsi"/>
          <w:bCs/>
        </w:rPr>
        <w:t>ugotovi, da je podana bistvena kršitev določb pravdnega postopka (339. člen ZPP) v skladu s 354. členom ZPP</w:t>
      </w:r>
      <w:r>
        <w:rPr>
          <w:rFonts w:cstheme="minorHAnsi"/>
          <w:bCs/>
        </w:rPr>
        <w:t>,</w:t>
      </w:r>
      <w:r w:rsidRPr="00E314A2">
        <w:rPr>
          <w:rFonts w:cstheme="minorHAnsi"/>
          <w:bCs/>
        </w:rPr>
        <w:t xml:space="preserve"> </w:t>
      </w:r>
      <w:r w:rsidRPr="00E314A2">
        <w:rPr>
          <w:rFonts w:cstheme="minorHAnsi"/>
          <w:bCs/>
        </w:rPr>
        <w:lastRenderedPageBreak/>
        <w:t>razveljavi sodbo in zadevo vrne sodišču prve stopnje v novo sojenje, če kršitv</w:t>
      </w:r>
      <w:r>
        <w:rPr>
          <w:rFonts w:cstheme="minorHAnsi"/>
          <w:bCs/>
        </w:rPr>
        <w:t>e</w:t>
      </w:r>
      <w:r w:rsidRPr="00E314A2">
        <w:rPr>
          <w:rFonts w:cstheme="minorHAnsi"/>
          <w:bCs/>
        </w:rPr>
        <w:t xml:space="preserve"> postopka glede na njeno naravo ne more samo odpraviti. Meje pooblastila, zaupanega sodišču druge stopnje, da samo odpravi postopkovno kršitev, so začrtane z vsebino pravice do pritožbe, kot izhaja iz judikature Ustavnega sodišča. </w:t>
      </w:r>
    </w:p>
    <w:p w14:paraId="33A09BEE" w14:textId="77777777" w:rsidR="00695AE2" w:rsidRDefault="00695AE2" w:rsidP="00695AE2">
      <w:pPr>
        <w:spacing w:line="240" w:lineRule="auto"/>
        <w:jc w:val="both"/>
        <w:rPr>
          <w:rFonts w:cstheme="minorHAnsi"/>
          <w:bCs/>
        </w:rPr>
      </w:pPr>
    </w:p>
    <w:p w14:paraId="338AD387" w14:textId="77777777" w:rsidR="00695AE2" w:rsidRPr="00E314A2" w:rsidRDefault="00695AE2" w:rsidP="00695AE2">
      <w:pPr>
        <w:spacing w:line="240" w:lineRule="auto"/>
        <w:jc w:val="both"/>
        <w:rPr>
          <w:rFonts w:cstheme="minorHAnsi"/>
          <w:bCs/>
        </w:rPr>
      </w:pPr>
      <w:r w:rsidRPr="00E314A2">
        <w:rPr>
          <w:rFonts w:cstheme="minorHAnsi"/>
          <w:bCs/>
        </w:rPr>
        <w:t>Vsebina načela instančnosti je, da lahko organ druge stopnje presoja odločitev prvostopenjskega organa z vidika vseh vprašanj, ki so pomembna za odločitev o pravici oz</w:t>
      </w:r>
      <w:r>
        <w:rPr>
          <w:rFonts w:cstheme="minorHAnsi"/>
          <w:bCs/>
        </w:rPr>
        <w:t>iroma</w:t>
      </w:r>
      <w:r w:rsidRPr="00E314A2">
        <w:rPr>
          <w:rFonts w:cstheme="minorHAnsi"/>
          <w:bCs/>
        </w:rPr>
        <w:t xml:space="preserve"> obveznosti (ob tem se Vrhovno sodišče </w:t>
      </w:r>
      <w:r>
        <w:rPr>
          <w:rFonts w:cstheme="minorHAnsi"/>
          <w:bCs/>
        </w:rPr>
        <w:t xml:space="preserve">RS </w:t>
      </w:r>
      <w:r w:rsidRPr="00E314A2">
        <w:rPr>
          <w:rFonts w:cstheme="minorHAnsi"/>
          <w:bCs/>
        </w:rPr>
        <w:t>sklicuje na odločbo U</w:t>
      </w:r>
      <w:r>
        <w:rPr>
          <w:rFonts w:cstheme="minorHAnsi"/>
          <w:bCs/>
        </w:rPr>
        <w:t>stavnega sodišča, št.</w:t>
      </w:r>
      <w:r w:rsidRPr="00E314A2">
        <w:rPr>
          <w:rFonts w:cstheme="minorHAnsi"/>
          <w:bCs/>
        </w:rPr>
        <w:t xml:space="preserve"> Up 455/2013 z dne 25. 9. 2004). </w:t>
      </w:r>
    </w:p>
    <w:p w14:paraId="6FE1ADC1" w14:textId="77777777" w:rsidR="00695AE2" w:rsidRDefault="00695AE2" w:rsidP="00695AE2">
      <w:pPr>
        <w:spacing w:line="240" w:lineRule="auto"/>
        <w:jc w:val="both"/>
        <w:rPr>
          <w:rFonts w:cstheme="minorHAnsi"/>
          <w:bCs/>
        </w:rPr>
      </w:pPr>
    </w:p>
    <w:p w14:paraId="3FD3C727" w14:textId="77777777" w:rsidR="00695AE2" w:rsidRPr="00E314A2" w:rsidRDefault="00695AE2" w:rsidP="00695AE2">
      <w:pPr>
        <w:spacing w:line="240" w:lineRule="auto"/>
        <w:jc w:val="both"/>
        <w:rPr>
          <w:rFonts w:cstheme="minorHAnsi"/>
          <w:bCs/>
        </w:rPr>
      </w:pPr>
      <w:r w:rsidRPr="00E314A2">
        <w:rPr>
          <w:rFonts w:cstheme="minorHAnsi"/>
          <w:bCs/>
        </w:rPr>
        <w:t>Za kršitve iz 14. točke drugega odstavka 339. člena ZPP pa je enotno sprejeto stališče teorije in sodne prakse, da pritožbeno sodišče že po naravi stvari takšne sodbe ne more odpraviti – ne more namreč namesto sodišča prve stopnje napisati sodbe ali namesto njega odpraviti nasprotovanja v izreku ali razlogih oz</w:t>
      </w:r>
      <w:r>
        <w:rPr>
          <w:rFonts w:cstheme="minorHAnsi"/>
          <w:bCs/>
        </w:rPr>
        <w:t>iroma</w:t>
      </w:r>
      <w:r w:rsidRPr="00E314A2">
        <w:rPr>
          <w:rFonts w:cstheme="minorHAnsi"/>
          <w:bCs/>
        </w:rPr>
        <w:t xml:space="preserve"> tega ne sme narediti. Če ima sodba pomanjkljivosti</w:t>
      </w:r>
      <w:r>
        <w:rPr>
          <w:rFonts w:cstheme="minorHAnsi"/>
          <w:bCs/>
        </w:rPr>
        <w:t>,</w:t>
      </w:r>
      <w:r w:rsidRPr="00E314A2">
        <w:rPr>
          <w:rFonts w:cstheme="minorHAnsi"/>
          <w:bCs/>
        </w:rPr>
        <w:t xml:space="preserve"> zaradi katerih se ne more preizkusiti, te pomanjkljivosti pa odpravi oziroma nadomesti sodišče druge stopnje, se v celoti postavi v vlogo sodišča prve stopnje, s tem pa stranki odvzame možnost pritožbe zoper sodbo, katere razloge je mogoče prvič preizkusiti. </w:t>
      </w:r>
    </w:p>
    <w:p w14:paraId="3A8BF2F8" w14:textId="77777777" w:rsidR="00695AE2" w:rsidRDefault="00695AE2" w:rsidP="00695AE2">
      <w:pPr>
        <w:spacing w:line="240" w:lineRule="auto"/>
        <w:jc w:val="both"/>
        <w:rPr>
          <w:rFonts w:cstheme="minorHAnsi"/>
          <w:bCs/>
        </w:rPr>
      </w:pPr>
    </w:p>
    <w:p w14:paraId="25F4D8BB" w14:textId="77777777" w:rsidR="00695AE2" w:rsidRDefault="00695AE2" w:rsidP="00695AE2">
      <w:pPr>
        <w:spacing w:line="240" w:lineRule="auto"/>
        <w:jc w:val="both"/>
        <w:rPr>
          <w:rFonts w:cstheme="minorHAnsi"/>
          <w:bCs/>
        </w:rPr>
      </w:pPr>
      <w:r w:rsidRPr="00E314A2">
        <w:rPr>
          <w:rFonts w:cstheme="minorHAnsi"/>
          <w:bCs/>
        </w:rPr>
        <w:t>Ko sodišče druge stopnje ugotovi, da je izpodbijana odločba obremenjena s kršitvijo 14. točke drugega odstavka 339. člena ZPP</w:t>
      </w:r>
      <w:r>
        <w:rPr>
          <w:rFonts w:cstheme="minorHAnsi"/>
          <w:bCs/>
        </w:rPr>
        <w:t>,</w:t>
      </w:r>
      <w:r w:rsidRPr="00E314A2">
        <w:rPr>
          <w:rFonts w:cstheme="minorHAnsi"/>
          <w:bCs/>
        </w:rPr>
        <w:t xml:space="preserve"> mora torej odločbo razveljaviti. Izjemo predpisuje drugi odstavek 354. člena ZPP. Končni odgovor pa je odvisen tudi od tega</w:t>
      </w:r>
      <w:r>
        <w:rPr>
          <w:rFonts w:cstheme="minorHAnsi"/>
          <w:bCs/>
        </w:rPr>
        <w:t>,</w:t>
      </w:r>
      <w:r w:rsidRPr="00E314A2">
        <w:rPr>
          <w:rFonts w:cstheme="minorHAnsi"/>
          <w:bCs/>
        </w:rPr>
        <w:t xml:space="preserve"> ali je bila sodba sodišča prve stopnje res obremenjena s kršitvami iz 14. točke drugega odstavka 339. člena ZPP, ki jih sodišče</w:t>
      </w:r>
      <w:r>
        <w:rPr>
          <w:rFonts w:cstheme="minorHAnsi"/>
          <w:bCs/>
        </w:rPr>
        <w:t xml:space="preserve"> druge stopnje</w:t>
      </w:r>
      <w:r w:rsidRPr="00E314A2">
        <w:rPr>
          <w:rFonts w:cstheme="minorHAnsi"/>
          <w:bCs/>
        </w:rPr>
        <w:t xml:space="preserve"> samo ni moglo odpraviti. </w:t>
      </w:r>
    </w:p>
    <w:p w14:paraId="3D2B4019" w14:textId="77777777" w:rsidR="00695AE2" w:rsidRDefault="00695AE2" w:rsidP="00695AE2">
      <w:pPr>
        <w:spacing w:line="240" w:lineRule="auto"/>
        <w:jc w:val="both"/>
        <w:rPr>
          <w:rFonts w:cstheme="minorHAnsi"/>
          <w:bCs/>
        </w:rPr>
      </w:pPr>
    </w:p>
    <w:p w14:paraId="3F46C178" w14:textId="77777777" w:rsidR="00695AE2" w:rsidRPr="00E314A2" w:rsidRDefault="00695AE2" w:rsidP="00695AE2">
      <w:pPr>
        <w:spacing w:line="240" w:lineRule="auto"/>
        <w:jc w:val="both"/>
        <w:rPr>
          <w:rFonts w:cstheme="minorHAnsi"/>
          <w:bCs/>
        </w:rPr>
      </w:pPr>
      <w:r w:rsidRPr="00E314A2">
        <w:rPr>
          <w:rFonts w:cstheme="minorHAnsi"/>
          <w:bCs/>
        </w:rPr>
        <w:t xml:space="preserve">Vrhovno sodišče </w:t>
      </w:r>
      <w:r>
        <w:rPr>
          <w:rFonts w:cstheme="minorHAnsi"/>
          <w:bCs/>
        </w:rPr>
        <w:t xml:space="preserve">RS </w:t>
      </w:r>
      <w:r w:rsidRPr="00E314A2">
        <w:rPr>
          <w:rFonts w:cstheme="minorHAnsi"/>
          <w:bCs/>
        </w:rPr>
        <w:t>je ugotovilo, da je vsa dejstva ugotovilo že sodišče prve stopnje, sodišče druge stopnje pa jih je drugače dokazno ocenilo. Naredilo je dokazno oceno, kakršno terja 8. člen ZPP</w:t>
      </w:r>
      <w:r>
        <w:rPr>
          <w:rFonts w:cstheme="minorHAnsi"/>
          <w:bCs/>
        </w:rPr>
        <w:t>,</w:t>
      </w:r>
      <w:r w:rsidRPr="00E314A2">
        <w:rPr>
          <w:rFonts w:cstheme="minorHAnsi"/>
          <w:bCs/>
        </w:rPr>
        <w:t xml:space="preserve"> in obrazložilo, zakaj je to samo smelo narediti. </w:t>
      </w:r>
    </w:p>
    <w:p w14:paraId="1878EFE3" w14:textId="77777777" w:rsidR="00695AE2" w:rsidRDefault="00695AE2" w:rsidP="00695AE2">
      <w:pPr>
        <w:spacing w:line="240" w:lineRule="auto"/>
        <w:jc w:val="both"/>
        <w:rPr>
          <w:rFonts w:cstheme="minorHAnsi"/>
          <w:bCs/>
        </w:rPr>
      </w:pPr>
    </w:p>
    <w:p w14:paraId="7297A264" w14:textId="77777777" w:rsidR="00695AE2" w:rsidRDefault="00695AE2" w:rsidP="00695AE2">
      <w:pPr>
        <w:spacing w:line="240" w:lineRule="auto"/>
        <w:jc w:val="both"/>
        <w:rPr>
          <w:rFonts w:eastAsia="Calibri"/>
          <w:bCs/>
          <w:kern w:val="2"/>
          <w:sz w:val="28"/>
          <w:szCs w:val="28"/>
          <w14:ligatures w14:val="standardContextual"/>
        </w:rPr>
      </w:pPr>
      <w:r>
        <w:rPr>
          <w:rFonts w:cstheme="minorHAnsi"/>
          <w:bCs/>
        </w:rPr>
        <w:t>Glede vprašanja, a</w:t>
      </w:r>
      <w:r w:rsidRPr="00E314A2">
        <w:rPr>
          <w:rFonts w:cstheme="minorHAnsi"/>
          <w:bCs/>
        </w:rPr>
        <w:t>li je obrazložitev pravnomočne sodbe sodišča v pravdnem postopku dokaz na način, da se dejstva, ki so v njej ugotovljena, v drugem pravdnem postopku štejejo za resnična, in ali zainteresirana stranka lahko zatrjuje in dokazuje nasprotno</w:t>
      </w:r>
      <w:r>
        <w:rPr>
          <w:rFonts w:cstheme="minorHAnsi"/>
          <w:bCs/>
        </w:rPr>
        <w:t>, je</w:t>
      </w:r>
      <w:r w:rsidRPr="00E314A2">
        <w:rPr>
          <w:rFonts w:cstheme="minorHAnsi"/>
          <w:bCs/>
        </w:rPr>
        <w:t xml:space="preserve"> Vrhovno sodišče</w:t>
      </w:r>
      <w:r>
        <w:rPr>
          <w:rFonts w:cstheme="minorHAnsi"/>
          <w:bCs/>
        </w:rPr>
        <w:t xml:space="preserve"> RS</w:t>
      </w:r>
      <w:r w:rsidRPr="00E314A2">
        <w:rPr>
          <w:rFonts w:cstheme="minorHAnsi"/>
          <w:bCs/>
        </w:rPr>
        <w:t xml:space="preserve"> zaključilo, da </w:t>
      </w:r>
      <w:r>
        <w:rPr>
          <w:rFonts w:cstheme="minorHAnsi"/>
          <w:bCs/>
        </w:rPr>
        <w:t xml:space="preserve">je ključno stališče, zajeto v odločbo </w:t>
      </w:r>
      <w:r w:rsidRPr="00E314A2">
        <w:rPr>
          <w:rFonts w:cstheme="minorHAnsi"/>
          <w:bCs/>
        </w:rPr>
        <w:t>Ustavnega sodišča</w:t>
      </w:r>
      <w:r>
        <w:rPr>
          <w:rFonts w:cstheme="minorHAnsi"/>
          <w:bCs/>
        </w:rPr>
        <w:t>, št.</w:t>
      </w:r>
      <w:r w:rsidRPr="00E314A2">
        <w:rPr>
          <w:rFonts w:cstheme="minorHAnsi"/>
          <w:bCs/>
        </w:rPr>
        <w:t xml:space="preserve"> UP-39/95-19 </w:t>
      </w:r>
      <w:r>
        <w:rPr>
          <w:rFonts w:cstheme="minorHAnsi"/>
          <w:bCs/>
        </w:rPr>
        <w:t>z dne</w:t>
      </w:r>
      <w:r w:rsidRPr="00E314A2">
        <w:rPr>
          <w:rFonts w:cstheme="minorHAnsi"/>
          <w:bCs/>
        </w:rPr>
        <w:t xml:space="preserve"> 16. 1. 1997: </w:t>
      </w:r>
      <w:r w:rsidRPr="001F2E93">
        <w:rPr>
          <w:rFonts w:cstheme="minorHAnsi"/>
          <w:bCs/>
          <w:i/>
          <w:iCs/>
        </w:rPr>
        <w:t>»Odločitev sodišča o predhodnem vprašanju obstoja odškodninske obveznosti po temelju  ne postane pravnomočna in ne zavezuje sodišča v novi pravdi, v kateri odloča o odškodnini za drugo vrsto škode. Tega ni mogoče enostavno obiti s sklicevanjem na pravnomočno sodbo kot listinski dokaz, ki bi bil edini in zadosten za ugotovitev obstoja zahtevka po temelju. Sodba kot listinski dokaz lahko logično služi le za ugotovitev, da je sodišče v neki zadevi že odločilo in kako je odločilo, ne more pa biti dokaz, ki bi bil primeren za ugotovitev, da so dejstva, ki jih je tedaj ugotovilo sodišče, tudi resnična.«</w:t>
      </w:r>
    </w:p>
    <w:p w14:paraId="3E3DC8BE" w14:textId="77777777" w:rsidR="00695AE2" w:rsidRPr="003C3F4B" w:rsidRDefault="00695AE2" w:rsidP="00695AE2">
      <w:pPr>
        <w:spacing w:line="240" w:lineRule="auto"/>
        <w:jc w:val="both"/>
        <w:rPr>
          <w:rFonts w:eastAsia="Calibri"/>
          <w:bCs/>
          <w:kern w:val="2"/>
          <w:sz w:val="32"/>
          <w:szCs w:val="32"/>
          <w14:ligatures w14:val="standardContextual"/>
        </w:rPr>
      </w:pPr>
    </w:p>
    <w:p w14:paraId="634B08F2" w14:textId="77777777" w:rsidR="00695AE2" w:rsidRPr="003C3F4B" w:rsidRDefault="00695AE2" w:rsidP="00695AE2">
      <w:pPr>
        <w:pStyle w:val="Naslov2"/>
      </w:pPr>
      <w:bookmarkStart w:id="1149" w:name="_Toc191562115"/>
      <w:bookmarkStart w:id="1150" w:name="_Toc223094110"/>
      <w:r w:rsidRPr="003C3F4B">
        <w:t>Delovnopravne in socialnopravne zadeve</w:t>
      </w:r>
      <w:bookmarkEnd w:id="1149"/>
      <w:bookmarkEnd w:id="1150"/>
    </w:p>
    <w:p w14:paraId="50A329A5" w14:textId="77777777" w:rsidR="00695AE2" w:rsidRPr="003C3F4B" w:rsidRDefault="00695AE2" w:rsidP="00695AE2">
      <w:pPr>
        <w:pStyle w:val="Jasna"/>
        <w:rPr>
          <w:sz w:val="32"/>
          <w:szCs w:val="32"/>
        </w:rPr>
      </w:pPr>
    </w:p>
    <w:p w14:paraId="1E8170D7" w14:textId="77777777" w:rsidR="00695AE2" w:rsidRPr="003C3F4B" w:rsidRDefault="00695AE2" w:rsidP="00695AE2">
      <w:pPr>
        <w:pStyle w:val="Naslov3"/>
      </w:pPr>
      <w:bookmarkStart w:id="1151" w:name="_Toc223094111"/>
      <w:r w:rsidRPr="003C3F4B">
        <w:rPr>
          <w:rFonts w:cstheme="minorHAnsi"/>
        </w:rPr>
        <w:t>Pomembne odločitve Vrhovnega sodišča RS v delovnih sporih</w:t>
      </w:r>
      <w:bookmarkEnd w:id="1151"/>
    </w:p>
    <w:p w14:paraId="66D2B009" w14:textId="77777777" w:rsidR="00695AE2" w:rsidRPr="003C3F4B" w:rsidRDefault="00695AE2" w:rsidP="00695AE2">
      <w:pPr>
        <w:pStyle w:val="Jasna"/>
        <w:rPr>
          <w:sz w:val="28"/>
          <w:szCs w:val="28"/>
        </w:rPr>
      </w:pPr>
    </w:p>
    <w:p w14:paraId="3BB8317F" w14:textId="77777777" w:rsidR="00695AE2" w:rsidRPr="003C3F4B" w:rsidRDefault="00695AE2" w:rsidP="00695AE2">
      <w:pPr>
        <w:pStyle w:val="article-paragraph"/>
        <w:shd w:val="clear" w:color="auto" w:fill="FFFFFF"/>
        <w:spacing w:after="0" w:line="240" w:lineRule="auto"/>
        <w:rPr>
          <w:rFonts w:ascii="Calibri" w:hAnsi="Calibri" w:cs="Calibri"/>
          <w:bCs/>
          <w:sz w:val="24"/>
          <w:szCs w:val="24"/>
        </w:rPr>
      </w:pPr>
      <w:r w:rsidRPr="003C3F4B">
        <w:rPr>
          <w:rFonts w:ascii="Calibri" w:hAnsi="Calibri" w:cs="Calibri"/>
          <w:bCs/>
          <w:sz w:val="24"/>
          <w:szCs w:val="24"/>
        </w:rPr>
        <w:t xml:space="preserve">S sklepom, opr. št. VIII Ips 31/2024 z dne 13. 5. 2025 je Vrhovno sodišče RS opozorilo na ustavnoskladno razlago drugega stavka prvega odstavka 20. člena ZSPJS, saj ta določba ne </w:t>
      </w:r>
      <w:r w:rsidRPr="003C3F4B">
        <w:rPr>
          <w:rFonts w:ascii="Calibri" w:hAnsi="Calibri" w:cs="Calibri"/>
          <w:bCs/>
          <w:sz w:val="24"/>
          <w:szCs w:val="24"/>
        </w:rPr>
        <w:lastRenderedPageBreak/>
        <w:t xml:space="preserve">omejuje možnosti prenosa plačnih razredov napredovanja v primeru, če pride do premestitve (ali sklenitve pogodbe o zaposlitvi) javnega uslužbenca iz ene plačne podskupine v drugo plačno podskupino v dveh različnih plačnih skupinah (ob izpolnjenem pogoju istovrstnosti ali sorodnosti del in nalog obeh delovnih mest). Ugotovitev o tem, ali gre za sorodni delovni mesti ali ne, je izključno odvisna od vrste nalog, ki jih uslužbenec dejansko opravlja oziroma jih je opravljal, ne pa od plačne skupine, v katero je delovno mesto uvrščeno. </w:t>
      </w:r>
    </w:p>
    <w:p w14:paraId="244FA204" w14:textId="77777777" w:rsidR="00695AE2" w:rsidRPr="003C3F4B" w:rsidRDefault="00695AE2" w:rsidP="00695AE2">
      <w:pPr>
        <w:pStyle w:val="article-paragraph"/>
        <w:shd w:val="clear" w:color="auto" w:fill="FFFFFF"/>
        <w:spacing w:after="0" w:line="240" w:lineRule="auto"/>
        <w:rPr>
          <w:rFonts w:ascii="Calibri" w:hAnsi="Calibri" w:cs="Calibri"/>
          <w:bCs/>
          <w:color w:val="484848"/>
          <w:sz w:val="24"/>
          <w:szCs w:val="24"/>
        </w:rPr>
      </w:pPr>
    </w:p>
    <w:p w14:paraId="1E0734DE" w14:textId="77777777" w:rsidR="00695AE2" w:rsidRDefault="00695AE2" w:rsidP="00695AE2">
      <w:pPr>
        <w:pStyle w:val="article-paragraph"/>
        <w:shd w:val="clear" w:color="auto" w:fill="FFFFFF"/>
        <w:spacing w:after="0" w:line="240" w:lineRule="auto"/>
      </w:pPr>
      <w:r w:rsidRPr="003C3F4B">
        <w:rPr>
          <w:rFonts w:ascii="Calibri" w:hAnsi="Calibri" w:cs="Calibri"/>
          <w:bCs/>
          <w:color w:val="484848"/>
          <w:sz w:val="24"/>
          <w:szCs w:val="24"/>
        </w:rPr>
        <w:t>Vrhovno sodišče RS je izdalo več odločitev glede odškodnine zaradi neizkoriščenega letnega dopusta. S sklepom, opr. št. VIII Ips 11/2025</w:t>
      </w:r>
      <w:r w:rsidRPr="003C3F4B">
        <w:rPr>
          <w:rFonts w:ascii="Calibri" w:hAnsi="Calibri" w:cs="Calibri"/>
          <w:bCs/>
          <w:color w:val="484848"/>
          <w:sz w:val="24"/>
          <w:szCs w:val="24"/>
          <w:shd w:val="clear" w:color="auto" w:fill="FFFFFF"/>
        </w:rPr>
        <w:t xml:space="preserve"> z dne 16. 6. 2025 je opozorilo, da je glede plačila odškodnine zaradi neizkoriščenega letnega dopusta pomembno, ali je delodajalec zadostil vsebinskim zahtevam obvestitve delavca o letnem dopustu, ga spodbudil k izrabi in opozoril na posledice ter do kdaj mora to storiti. Odločitev sodišča ne sme voditi do sodbe presenečenja (opr. št. VIII Ips 28/2024). S sodbo opr. št. VIII Ips 1/2025 z dne 16. 6. 2025 je opozorilo na neustrezno postopanje delodajalca, ki je imel možnost odpraviti napako še v sodnem postopku in tožniku priznati dodatne dneve letnega dopusta namesto odškodnine. </w:t>
      </w:r>
    </w:p>
    <w:p w14:paraId="1583F215" w14:textId="77777777" w:rsidR="00695AE2" w:rsidRPr="003C3F4B" w:rsidRDefault="00695AE2" w:rsidP="00695AE2">
      <w:pPr>
        <w:pStyle w:val="Jasna"/>
        <w:rPr>
          <w:sz w:val="28"/>
          <w:szCs w:val="28"/>
        </w:rPr>
      </w:pPr>
    </w:p>
    <w:p w14:paraId="01EAC369" w14:textId="77777777" w:rsidR="00695AE2" w:rsidRPr="003C3F4B" w:rsidRDefault="00695AE2" w:rsidP="00695AE2">
      <w:pPr>
        <w:pStyle w:val="Naslov3"/>
      </w:pPr>
      <w:bookmarkStart w:id="1152" w:name="_Toc223094112"/>
      <w:bookmarkStart w:id="1153" w:name="_Toc168845124"/>
      <w:bookmarkStart w:id="1154" w:name="_Toc191562117"/>
      <w:r w:rsidRPr="003C3F4B">
        <w:rPr>
          <w:rFonts w:cstheme="minorHAnsi"/>
        </w:rPr>
        <w:t>Pomembne odločitve Vrhovnega sodišča RS v socialnih sporih</w:t>
      </w:r>
      <w:bookmarkEnd w:id="1152"/>
    </w:p>
    <w:bookmarkEnd w:id="1153"/>
    <w:bookmarkEnd w:id="1154"/>
    <w:p w14:paraId="265733F7" w14:textId="77777777" w:rsidR="00695AE2" w:rsidRPr="003C3F4B" w:rsidRDefault="00695AE2" w:rsidP="00695AE2">
      <w:pPr>
        <w:spacing w:line="240" w:lineRule="auto"/>
        <w:rPr>
          <w:sz w:val="28"/>
          <w:szCs w:val="28"/>
        </w:rPr>
      </w:pPr>
    </w:p>
    <w:p w14:paraId="7A7153A3" w14:textId="77777777" w:rsidR="00695AE2" w:rsidRPr="003C3F4B" w:rsidRDefault="00695AE2" w:rsidP="00695AE2">
      <w:pPr>
        <w:spacing w:line="240" w:lineRule="auto"/>
        <w:jc w:val="both"/>
        <w:rPr>
          <w:rFonts w:eastAsia="ArialMT"/>
          <w:bCs/>
        </w:rPr>
      </w:pPr>
      <w:r w:rsidRPr="003C3F4B">
        <w:rPr>
          <w:rFonts w:eastAsia="Times New Roman"/>
          <w:bCs/>
        </w:rPr>
        <w:t xml:space="preserve">S sodbo, opr. št. VIII Ips 13/2025 z dne 16. 6. 2025 je Vrhovno sodišče RS v zadevi priznanja pravice do denarne socialne pomoči </w:t>
      </w:r>
      <w:r w:rsidRPr="003C3F4B">
        <w:rPr>
          <w:rFonts w:eastAsia="Calibri"/>
          <w:bCs/>
        </w:rPr>
        <w:t xml:space="preserve">zavrnilo revizijo Republike Slovenije glede vprašanja, </w:t>
      </w:r>
      <w:r w:rsidRPr="003C3F4B">
        <w:rPr>
          <w:rFonts w:eastAsia="Calibri"/>
          <w:bCs/>
          <w:color w:val="000000"/>
        </w:rPr>
        <w:t>ali sta sodišči druge in prve stopnje v okoliščinah konkretnega primera pravilno uporabili 21. člen Zakona o socialno varstvenih prejemkih (ZSVarPre).</w:t>
      </w:r>
      <w:r w:rsidRPr="003C3F4B">
        <w:rPr>
          <w:rFonts w:eastAsia="Calibri"/>
          <w:bCs/>
        </w:rPr>
        <w:t xml:space="preserve"> O</w:t>
      </w:r>
      <w:r w:rsidRPr="003C3F4B">
        <w:rPr>
          <w:rFonts w:eastAsia="Times New Roman"/>
          <w:bCs/>
        </w:rPr>
        <w:t xml:space="preserve">dločilo je, da </w:t>
      </w:r>
      <w:r w:rsidRPr="003C3F4B">
        <w:rPr>
          <w:rFonts w:eastAsia="ArialMT"/>
          <w:bCs/>
        </w:rPr>
        <w:t xml:space="preserve">ni odločilna uporaba 20. člena ZSVarPre, ampak 21. člena ZSVarPre. Ključna je razlaga prvega odstavka 21. člena ZSVarPre, ki določa, da kadar je iz ugotovljenega dejanskega stanja razvidno, da je upravičenec ostal brez rednega periodičnega dohodka, se ta pri ugotavljanju lastnega dohodka ne upošteva; gre za odstop od načela o upoštevanju prejemkov v obdobju treh koledarskih mesecev pred mesecem vložitve vloge. </w:t>
      </w:r>
      <w:r w:rsidRPr="003C3F4B">
        <w:rPr>
          <w:rFonts w:eastAsia="Calibri"/>
          <w:bCs/>
        </w:rPr>
        <w:t xml:space="preserve">Vrhovno sodišče RS je tako pritrdilo sodiščema druge in prve stopnje, da tožena stranka Republika Slovenija pri ugotavljanju lastnega dohodka za tožnika ne bi smela upoštevati dohodkov, prejetih na podlagi pogodbe o zaposlitvi, saj dohodkov iz tega naslova v bodoče ne bo več prejemal. </w:t>
      </w:r>
      <w:r w:rsidRPr="003C3F4B">
        <w:rPr>
          <w:rFonts w:eastAsia="Calibri"/>
          <w:bCs/>
          <w:color w:val="000000"/>
        </w:rPr>
        <w:t>Za ugotovitev izgube dohodka v smislu prvega odstavka 21. člena ZSVarPre je bila tako v konkretnem primeru odločilna okoliščina prenehanja delovnega razmerja, ne pa prenehanje prejemanja plače kot periodičnega dohodka, ki se izplačuje za pretekli mesec.</w:t>
      </w:r>
    </w:p>
    <w:p w14:paraId="68A27AF0" w14:textId="77777777" w:rsidR="00695AE2" w:rsidRPr="003C3F4B" w:rsidRDefault="00695AE2" w:rsidP="00695AE2">
      <w:pPr>
        <w:autoSpaceDE w:val="0"/>
        <w:autoSpaceDN w:val="0"/>
        <w:adjustRightInd w:val="0"/>
        <w:spacing w:line="240" w:lineRule="auto"/>
        <w:jc w:val="both"/>
        <w:rPr>
          <w:rFonts w:eastAsia="Calibri"/>
          <w:bCs/>
          <w:color w:val="000000"/>
        </w:rPr>
      </w:pPr>
    </w:p>
    <w:p w14:paraId="3C534A97" w14:textId="77777777" w:rsidR="00695AE2" w:rsidRPr="003C3F4B" w:rsidRDefault="00695AE2" w:rsidP="00695AE2">
      <w:pPr>
        <w:autoSpaceDE w:val="0"/>
        <w:autoSpaceDN w:val="0"/>
        <w:adjustRightInd w:val="0"/>
        <w:spacing w:line="240" w:lineRule="auto"/>
        <w:jc w:val="both"/>
        <w:rPr>
          <w:rFonts w:eastAsia="Calibri"/>
          <w:bCs/>
          <w:color w:val="000000"/>
        </w:rPr>
      </w:pPr>
      <w:r w:rsidRPr="003C3F4B">
        <w:rPr>
          <w:rFonts w:eastAsia="Calibri"/>
          <w:bCs/>
          <w:color w:val="000000"/>
        </w:rPr>
        <w:t xml:space="preserve">V sodbi, opr. št. VIII Ips 20/2025 z dne 10. 9. 2025 je Vrhovno sodišče RS v zadevi subvencije neprofitne najemnine zavzelo stališče, da ne prijava na javni razpis za dodelitev neprofitnega najemnega stanovanja v občini stalnega prebivališča v času, ko je upravičencu priznana pravica do subvencije najemnine, ne predstavlja spremembe, ki lahko vpliva na že priznano pravico oziroma ne predstavlja spremembe pogojev iz 42. člena Zakona o uveljavljanju pravic iz javnih sredstev (ZUPJS), ki vpliva na upravičenost do pravice iz javnih sredstev, ki je bila priznana s pravnomočno odločbo, zato toženka tudi po uradni dolžnosti ni imela podlage za poseg v že priznano pravico. </w:t>
      </w:r>
    </w:p>
    <w:p w14:paraId="626150EE" w14:textId="77777777" w:rsidR="00695AE2" w:rsidRPr="003C3F4B" w:rsidRDefault="00695AE2" w:rsidP="00695AE2">
      <w:pPr>
        <w:autoSpaceDE w:val="0"/>
        <w:autoSpaceDN w:val="0"/>
        <w:adjustRightInd w:val="0"/>
        <w:spacing w:line="240" w:lineRule="auto"/>
        <w:jc w:val="both"/>
        <w:rPr>
          <w:rFonts w:eastAsia="Calibri"/>
          <w:bCs/>
          <w:color w:val="000000"/>
        </w:rPr>
      </w:pPr>
    </w:p>
    <w:p w14:paraId="4A6A9EA4" w14:textId="77777777" w:rsidR="00695AE2" w:rsidRDefault="00695AE2" w:rsidP="00695AE2">
      <w:pPr>
        <w:widowControl w:val="0"/>
        <w:tabs>
          <w:tab w:val="left" w:pos="379"/>
        </w:tabs>
        <w:spacing w:line="240" w:lineRule="auto"/>
        <w:jc w:val="both"/>
      </w:pPr>
      <w:r w:rsidRPr="003C3F4B">
        <w:rPr>
          <w:rFonts w:eastAsia="Calibri"/>
          <w:bCs/>
          <w:color w:val="000000"/>
          <w:kern w:val="2"/>
          <w14:ligatures w14:val="standardContextual"/>
        </w:rPr>
        <w:t xml:space="preserve">S sodbami Vrhovnega sodišča RS, opr. št. VIII Ips 4/2025, VIII Ips 6/2025, VIII Ips 8/2025, vse z dne 13. 5. 2025, je bila zavrnjena revizija Republike Slovenije – zadeve se nanašajo na odpis vračila državne štipendije. V sodbah je podano stališče Vrhovnega sodišča RS, da se določba devetega odstavka 44. člena ZUPJS nanaša le na odpis neupravičeno pridobljenih sredstev – </w:t>
      </w:r>
      <w:r w:rsidRPr="003C3F4B">
        <w:rPr>
          <w:rFonts w:eastAsia="Calibri"/>
          <w:bCs/>
          <w:color w:val="000000"/>
          <w:kern w:val="2"/>
          <w14:ligatures w14:val="standardContextual"/>
        </w:rPr>
        <w:lastRenderedPageBreak/>
        <w:t>torej na primere, v katerih pride do naknadne odprave oziroma razveljavitve odločbe zaradi pred tem neupravičeno priznane pravice iz javnih sredstev (tudi pravice do državne štipendije). Nadalje je razbrati, da so pravila o odpisu vračila državne štipendije v drugih primerih določena v ZŠtip-1 (o odpisu štipendije iz posebej določenih razlogov (102. člen ZŠtip-1) ter o postopku odloga vračila, obročnega plačila in odpisa (103. člen ZŠtip-1). Izrecno je poudarjeno stališče Vrhovnega sodišča RS, da so pravila enega in drugega zakona glede odpisa različna in jih med seboj ni mogoče mešati oziroma dopolnjevati, kar je dodatno nepravilno stališče sodišča druge stopnje. V navedenih sporih tožečim strankam ni bila izdana odločba o razveljavitvi oziroma odpravi prejšnje odločbe o priznanju štipendije, temveč je bila izdana odločba o prenehanju pravice in dolžnosti vrnitve prejetih zneskov štipendije (na podlagi 90., 95. 97. in 99. člena ZŠtip-1), kar glede na prvi odstavek 44. člena ZUPJS ne pomeni neupravičeno prejetih sredstev. Za odpis vračila je treba v primeru tožečih strank upoštevati le določbe ZŠtip-1, o odpisu pa bo odločal  center za socialno delo.</w:t>
      </w:r>
    </w:p>
    <w:p w14:paraId="7754CDCB" w14:textId="77777777" w:rsidR="00695AE2" w:rsidRPr="003C3F4B" w:rsidRDefault="00695AE2" w:rsidP="00695AE2">
      <w:pPr>
        <w:spacing w:line="240" w:lineRule="auto"/>
        <w:rPr>
          <w:sz w:val="32"/>
          <w:szCs w:val="32"/>
        </w:rPr>
      </w:pPr>
    </w:p>
    <w:p w14:paraId="0B67EB3F" w14:textId="77777777" w:rsidR="00695AE2" w:rsidRPr="003C3F4B" w:rsidRDefault="00695AE2" w:rsidP="00695AE2">
      <w:pPr>
        <w:pStyle w:val="Naslov2"/>
      </w:pPr>
      <w:bookmarkStart w:id="1155" w:name="_Toc191562118"/>
      <w:bookmarkStart w:id="1156" w:name="_Toc223094113"/>
      <w:r w:rsidRPr="003C3F4B">
        <w:t>Izvršba in zavarovanje</w:t>
      </w:r>
      <w:bookmarkEnd w:id="1155"/>
      <w:bookmarkEnd w:id="1156"/>
      <w:r w:rsidRPr="003C3F4B">
        <w:t xml:space="preserve"> </w:t>
      </w:r>
    </w:p>
    <w:p w14:paraId="2CB8852A" w14:textId="77777777" w:rsidR="00695AE2" w:rsidRDefault="00695AE2" w:rsidP="00695AE2">
      <w:pPr>
        <w:pStyle w:val="Jasna"/>
      </w:pPr>
    </w:p>
    <w:p w14:paraId="3DD9555B" w14:textId="77777777" w:rsidR="00695AE2" w:rsidRPr="003C3F4B" w:rsidRDefault="00695AE2" w:rsidP="00695AE2">
      <w:pPr>
        <w:widowControl w:val="0"/>
        <w:spacing w:line="240" w:lineRule="auto"/>
        <w:jc w:val="both"/>
        <w:rPr>
          <w:rFonts w:eastAsia="Calibri"/>
          <w:b/>
          <w:color w:val="007466"/>
        </w:rPr>
      </w:pPr>
      <w:r w:rsidRPr="003C3F4B">
        <w:rPr>
          <w:rFonts w:eastAsia="Calibri"/>
          <w:b/>
          <w:color w:val="007466"/>
        </w:rPr>
        <w:t>Sklep Višjega sodišča v Ljubljani, opr. št. I Ip 147/2025 z dne 4. 3. 2025</w:t>
      </w:r>
    </w:p>
    <w:p w14:paraId="55AC4745" w14:textId="77777777" w:rsidR="00695AE2" w:rsidRPr="003C3F4B" w:rsidRDefault="00695AE2" w:rsidP="00695AE2">
      <w:pPr>
        <w:widowControl w:val="0"/>
        <w:spacing w:line="240" w:lineRule="auto"/>
        <w:jc w:val="both"/>
        <w:rPr>
          <w:rFonts w:eastAsia="Calibri"/>
          <w:bCs/>
        </w:rPr>
      </w:pPr>
    </w:p>
    <w:p w14:paraId="4D36F948" w14:textId="77777777" w:rsidR="00695AE2" w:rsidRPr="003C3F4B" w:rsidRDefault="00695AE2" w:rsidP="00695AE2">
      <w:pPr>
        <w:widowControl w:val="0"/>
        <w:spacing w:line="240" w:lineRule="auto"/>
        <w:jc w:val="both"/>
        <w:rPr>
          <w:rFonts w:eastAsia="Calibri"/>
          <w:bCs/>
        </w:rPr>
      </w:pPr>
      <w:r w:rsidRPr="003C3F4B">
        <w:rPr>
          <w:rFonts w:eastAsia="Calibri"/>
          <w:bCs/>
        </w:rPr>
        <w:t xml:space="preserve">Za obrazloženo vlogo velja vloga, v kateri stranka za svoj zahtevek oziroma svoje stališče o določeni stvari postavlja trditve, ki jih utemeljuje z navajanjem dejstev in za dokazovanje njihove resničnosti predlaga dokaze. Za obrazloženo vlogo šteje samo tista, pri kateri je obrazložitev nujna, da upnik zavaruje določeno svojo pravico oziroma interes </w:t>
      </w:r>
      <w:r>
        <w:rPr>
          <w:rFonts w:eastAsia="Calibri"/>
          <w:bCs/>
        </w:rPr>
        <w:t>–</w:t>
      </w:r>
      <w:r w:rsidRPr="003C3F4B">
        <w:rPr>
          <w:rFonts w:eastAsia="Calibri"/>
          <w:bCs/>
        </w:rPr>
        <w:t xml:space="preserve"> ni torej pomemben sam obseg vloge, ampak objektivna potrebnost obrazložitve, ko bi torej upnik brez obrazložitve izgubil določeno pravico. Na eni strani so za obrazložitev potrebne pravno relevantne trditve, na drugi strani pa tudi dokazi. Če presojamo vlogo R</w:t>
      </w:r>
      <w:r>
        <w:rPr>
          <w:rFonts w:eastAsia="Calibri"/>
          <w:bCs/>
        </w:rPr>
        <w:t>epublike Slovenije</w:t>
      </w:r>
      <w:r w:rsidRPr="003C3F4B">
        <w:rPr>
          <w:rFonts w:eastAsia="Calibri"/>
          <w:bCs/>
        </w:rPr>
        <w:t>, s katero je priglasila terjatev na razdelitveni narok, po teh kriterijih, lahko ugotovimo, da gre za obrazloženo vlogo. Zastavni upnik mora namreč obrazložiti zastavno pravico, ki jo uveljavlja, in zanjo predložiti tudi ustrezna dokazila. Podobno je s priglasitvijo prednostne terjatve iz naslova davka na promet nepremičnin. Vloga, s katero zastavni upnik prijavi zastavno pravico ali prednostno terjatev iz naslova davka na promet nepremičnin, je tako povsem nekaj drugega kot n</w:t>
      </w:r>
      <w:r>
        <w:rPr>
          <w:rFonts w:eastAsia="Calibri"/>
          <w:bCs/>
        </w:rPr>
        <w:t>a primer</w:t>
      </w:r>
      <w:r w:rsidRPr="003C3F4B">
        <w:rPr>
          <w:rFonts w:eastAsia="Calibri"/>
          <w:bCs/>
        </w:rPr>
        <w:t xml:space="preserve"> sporočilo sodišču o plačani sodni taksi ali predujmu, o dolžnikovem delnem plačilu, o predlogu za razpis druge dražbe ipd.</w:t>
      </w:r>
      <w:r>
        <w:rPr>
          <w:rFonts w:eastAsia="Calibri"/>
          <w:bCs/>
        </w:rPr>
        <w:t>,</w:t>
      </w:r>
      <w:r w:rsidRPr="003C3F4B">
        <w:rPr>
          <w:rFonts w:eastAsia="Calibri"/>
          <w:bCs/>
        </w:rPr>
        <w:t xml:space="preserve"> zato je treba pritožbi ugoditi in za vlogo R</w:t>
      </w:r>
      <w:r>
        <w:rPr>
          <w:rFonts w:eastAsia="Calibri"/>
          <w:bCs/>
        </w:rPr>
        <w:t xml:space="preserve">epubliki Sloveniji </w:t>
      </w:r>
      <w:r w:rsidRPr="003C3F4B">
        <w:rPr>
          <w:rFonts w:eastAsia="Calibri"/>
          <w:bCs/>
        </w:rPr>
        <w:t>priznati stroške za obrazloženo vlogo.</w:t>
      </w:r>
    </w:p>
    <w:p w14:paraId="5106297B" w14:textId="77777777" w:rsidR="00695AE2" w:rsidRPr="003C3F4B" w:rsidRDefault="00695AE2" w:rsidP="00695AE2">
      <w:pPr>
        <w:widowControl w:val="0"/>
        <w:spacing w:line="240" w:lineRule="auto"/>
        <w:jc w:val="both"/>
        <w:rPr>
          <w:rFonts w:eastAsia="Calibri"/>
          <w:bCs/>
        </w:rPr>
      </w:pPr>
    </w:p>
    <w:p w14:paraId="747223DB" w14:textId="77777777" w:rsidR="00695AE2" w:rsidRPr="003C3F4B" w:rsidRDefault="00695AE2" w:rsidP="00695AE2">
      <w:pPr>
        <w:widowControl w:val="0"/>
        <w:spacing w:line="240" w:lineRule="auto"/>
        <w:jc w:val="both"/>
        <w:rPr>
          <w:rFonts w:eastAsia="Calibri"/>
          <w:b/>
          <w:color w:val="007466"/>
        </w:rPr>
      </w:pPr>
      <w:r w:rsidRPr="003C3F4B">
        <w:rPr>
          <w:rFonts w:eastAsia="Calibri"/>
          <w:b/>
          <w:color w:val="007466"/>
        </w:rPr>
        <w:t>Sklep Višjega sodišča v Ljubljani, opr. št. I Ip 149/2025 z dne 26. 3. 2025</w:t>
      </w:r>
    </w:p>
    <w:p w14:paraId="59D67009" w14:textId="77777777" w:rsidR="00695AE2" w:rsidRPr="003C3F4B" w:rsidRDefault="00695AE2" w:rsidP="00695AE2">
      <w:pPr>
        <w:widowControl w:val="0"/>
        <w:spacing w:line="240" w:lineRule="auto"/>
        <w:jc w:val="both"/>
        <w:rPr>
          <w:rFonts w:eastAsia="Calibri"/>
          <w:bCs/>
        </w:rPr>
      </w:pPr>
    </w:p>
    <w:p w14:paraId="1294DD44" w14:textId="77777777" w:rsidR="00695AE2" w:rsidRPr="003C3F4B" w:rsidRDefault="00695AE2" w:rsidP="00695AE2">
      <w:pPr>
        <w:widowControl w:val="0"/>
        <w:spacing w:line="240" w:lineRule="auto"/>
        <w:jc w:val="both"/>
        <w:rPr>
          <w:rFonts w:eastAsia="Calibri"/>
          <w:bCs/>
        </w:rPr>
      </w:pPr>
      <w:r w:rsidRPr="003C3F4B">
        <w:rPr>
          <w:rFonts w:eastAsia="Calibri"/>
          <w:bCs/>
        </w:rPr>
        <w:t xml:space="preserve">Dolžnica uveljavlja, da je davčni dolg zastaral, ker pred potekom zastaranja pravice do izterjave ni bil vložen predlog za izvršbo na nepremičnine. Ti pritožbeni očitki so neutemeljeni. Ob običajnem teku stvari oziroma, če v vmesnem času zastaranje ne bi bilo delno zadržano, bi 10-letni absolutni zastaralni rok potekel za terjatve po odločbah iz seznama izvršilnih naslovov najkasneje dne 8. 4. 2024 (izvršljivost je nastopila dne 8. 4. 2014, predlog za izvršbo je bil vložen dne 4. 6. 2024). Vendar pa je pri tem potrebno upoštevati, da je bilo v tem času zaradi razglašene epidemije nalezljive bolezni SARS-COV-2 (Covid-19) v Republiki Sloveniji zastaranje delno zadržano. Po Zakonu o začasnih ukrepih v zvezi s sodnimi, upravnimi in drugimi javno pravnimi zadevami za obvladovanje siljenja nalezljive bolezni SARS-COV-2 (Covid-19) </w:t>
      </w:r>
      <w:r>
        <w:rPr>
          <w:rFonts w:eastAsia="Calibri"/>
          <w:bCs/>
        </w:rPr>
        <w:t>–</w:t>
      </w:r>
      <w:r w:rsidRPr="003C3F4B">
        <w:rPr>
          <w:rFonts w:eastAsia="Calibri"/>
          <w:bCs/>
        </w:rPr>
        <w:t xml:space="preserve"> ZZUSDJZ, ki velja od 29. 3. 2020, ukrepi iz tega zakona ter iz aktov, sprejetih na njegovi podlagi, veljajo do prenehanja razlogov zanje, kar ugotovi Vlada R</w:t>
      </w:r>
      <w:r>
        <w:rPr>
          <w:rFonts w:eastAsia="Calibri"/>
          <w:bCs/>
        </w:rPr>
        <w:t>S</w:t>
      </w:r>
      <w:r w:rsidRPr="003C3F4B">
        <w:rPr>
          <w:rFonts w:eastAsia="Calibri"/>
          <w:bCs/>
        </w:rPr>
        <w:t xml:space="preserve"> s sklepom, ki ga objavi v Uradnem </w:t>
      </w:r>
      <w:r w:rsidRPr="003C3F4B">
        <w:rPr>
          <w:rFonts w:eastAsia="Calibri"/>
          <w:bCs/>
        </w:rPr>
        <w:lastRenderedPageBreak/>
        <w:t>listu R</w:t>
      </w:r>
      <w:r>
        <w:rPr>
          <w:rFonts w:eastAsia="Calibri"/>
          <w:bCs/>
        </w:rPr>
        <w:t>S</w:t>
      </w:r>
      <w:r w:rsidRPr="003C3F4B">
        <w:rPr>
          <w:rFonts w:eastAsia="Calibri"/>
          <w:bCs/>
        </w:rPr>
        <w:t>, vendar najdlje do 1. julija 2020 (2. člen). Po prvem odstavku 3. člena ZZUSDJZ roki za uveljavljanje pravic strank v sodnih postopkih, določeni z zakonom, ne tečejo. S sklepom o ugotovitvi prenehanja razlogov za začasne ukrepe v zvezi s sodnimi, upravnimi in drugimi javno pravnimi zadevami za obvladovanje širjenja nalezljive bolezni SARS-COV-2 (Covid-19), pa je Vlada RS ugotovila, da so prenehali razlogi za začasne ukrepe po ZZUSDJZ. Sklep Vlade je začel veljati 1. 6. 2020 in je bilo zato zastaranje spomladi v letu 2020 zadržano za 64 dni. Torej je bil predlog za izvršbo za vse obveznosti vložen pravočasno in pred potekom zastaranja. Sodišče prve stopnje je pravilno presojalo absolutno zastaranje, dolžnica pa napačno materialnopravno vztraja pri presoji absolutnega zastaranja s tem, da izpušča določilo 126.a člena ZDavP-2, po katerem ne glede na določila o absolutnem zastaranju davčna obveznost (razen zamudnih obresti), ne preneha, če je davčni dolg zavarovan s hipoteko in če je pred potekom zastaranja pravice do izterjave vložen predlog za izvršbo na nepremičnino (v obravnavanem primeru je bil davčni dolg zavarovan s hipoteko). Po šestem odstavku 126. člena ZDavP-2 se zastaranje pravice do izterjave zadrži za čas, ko davčni organ zaradi zakonskih razlogov ali teka sodnih postopkov ne more opraviti davčne izvršbe. Zaradi zadržanega zastaranja spomladi leta 2020 za 64 dni to pomeni, da se je upnici za 64 dni v letu 2020 podaljšal rok za vložitev predloga za izvršbo in bi zastaranje nastopilo dne 10. 6. 2024, predlog za izvršbo pa je bil vložen dne 4. 6. 2024, kar pomeni, da je R</w:t>
      </w:r>
      <w:r>
        <w:rPr>
          <w:rFonts w:eastAsia="Calibri"/>
          <w:bCs/>
        </w:rPr>
        <w:t>epublika Slovenija</w:t>
      </w:r>
      <w:r w:rsidRPr="003C3F4B">
        <w:rPr>
          <w:rFonts w:eastAsia="Calibri"/>
          <w:bCs/>
        </w:rPr>
        <w:t xml:space="preserve"> vložila predlog za izvršbo na nepremičnino pred potekom zastaranja pravice do izterjave.</w:t>
      </w:r>
    </w:p>
    <w:p w14:paraId="73F944EE" w14:textId="77777777" w:rsidR="00695AE2" w:rsidRPr="003C3F4B" w:rsidRDefault="00695AE2" w:rsidP="00695AE2">
      <w:pPr>
        <w:widowControl w:val="0"/>
        <w:spacing w:line="240" w:lineRule="auto"/>
        <w:jc w:val="both"/>
        <w:rPr>
          <w:rFonts w:eastAsia="Calibri"/>
          <w:bCs/>
        </w:rPr>
      </w:pPr>
    </w:p>
    <w:p w14:paraId="3CD64663" w14:textId="77777777" w:rsidR="00695AE2" w:rsidRPr="003C3F4B" w:rsidRDefault="00695AE2" w:rsidP="00695AE2">
      <w:pPr>
        <w:widowControl w:val="0"/>
        <w:spacing w:line="240" w:lineRule="auto"/>
        <w:jc w:val="both"/>
        <w:rPr>
          <w:rFonts w:eastAsia="Calibri"/>
          <w:b/>
          <w:color w:val="007466"/>
        </w:rPr>
      </w:pPr>
      <w:r w:rsidRPr="003C3F4B">
        <w:rPr>
          <w:rFonts w:eastAsia="Calibri"/>
          <w:b/>
          <w:color w:val="007466"/>
        </w:rPr>
        <w:t>Sklep Višjega sodišča v Ljubljani, opr. št. I Ip 195/2025 z dne 19. 3. 2025</w:t>
      </w:r>
    </w:p>
    <w:p w14:paraId="03571B69" w14:textId="77777777" w:rsidR="00695AE2" w:rsidRPr="003C3F4B" w:rsidRDefault="00695AE2" w:rsidP="00695AE2">
      <w:pPr>
        <w:widowControl w:val="0"/>
        <w:spacing w:line="240" w:lineRule="auto"/>
        <w:jc w:val="both"/>
        <w:rPr>
          <w:rFonts w:eastAsia="Calibri"/>
          <w:bCs/>
        </w:rPr>
      </w:pPr>
    </w:p>
    <w:p w14:paraId="3FC33DA6" w14:textId="77777777" w:rsidR="00695AE2" w:rsidRPr="003C3F4B" w:rsidRDefault="00695AE2" w:rsidP="00695AE2">
      <w:pPr>
        <w:widowControl w:val="0"/>
        <w:spacing w:line="240" w:lineRule="auto"/>
        <w:jc w:val="both"/>
        <w:rPr>
          <w:rFonts w:eastAsia="Calibri"/>
          <w:bCs/>
        </w:rPr>
      </w:pPr>
      <w:r w:rsidRPr="003C3F4B">
        <w:rPr>
          <w:rFonts w:eastAsia="Calibri"/>
          <w:bCs/>
        </w:rPr>
        <w:t xml:space="preserve">V izvršilnem postopku velja načelo stroge formalne legalitete. To pomeni, da je izvršilno sodišče vezano na izvršilni naslov in se ne sme spuščati v presojo njegove pravilnosti in zakonitosti. Izvršilno sodišče pa mora presojati pravno upoštevne ugovorne razloge, med katere spada tudi, da je terjatev iz izvršilnega naslova prenehala na podlagi dejstva, ki je nastopilo po izdaji izvršilnega naslova (8. točka 55. člena ZIZ). Tako dejstvo pa ne predstavlja navedba dolžnika, da je poravnal terjatev do družbe, nad katerim je bil opravljen davčni nadzor kot zavezancu za davek, in je bilo ugotovljeno, da je dolžnik s transakcijskega računa te družbe dvigoval denarna sredstva. Tako je imel prihodke, ki so obdavčljivi. Kot dolžnik sam pove, je to podlaga za izdajo izvršilnega naslova, to je odločbe FURS, ki je zajeta v seznamu izvršilnih naslovov, na podlagi katerih je upnik predlagal konkretno izvršbo. Če je odpadla podlaga za izdajo odločbe, ki je zajeta v seznamu izvršilnih naslovov, ki predstavlja izvršilni naslov v tem izvršilnem postopku, mora to dejstvo dolžnik uveljavljati v postopku, iz katerega izvira izvršilni naslov. To dejstvo lahko pomeni le, da je odpadla pravna podlaga za izdano odločbo upnice. Izvršilni postopek pa ni namenjen, da bi izvršilno sodišče lahko presojalo pravilnost in utemeljenost izvršilnega naslova. Le če bo dolžnik dosegel odpravo odločbe, ki je zajeta tudi v seznamu izvršilnih naslovov, bo to dejstvo, ki je nastopilo po izvršljivosti odločbe, </w:t>
      </w:r>
      <w:r>
        <w:rPr>
          <w:rFonts w:eastAsia="Calibri"/>
          <w:bCs/>
        </w:rPr>
        <w:t xml:space="preserve">in ga bo </w:t>
      </w:r>
      <w:r w:rsidRPr="003C3F4B">
        <w:rPr>
          <w:rFonts w:eastAsia="Calibri"/>
          <w:bCs/>
        </w:rPr>
        <w:t>mogoče upoštevati tudi v izvršilnem postopku.</w:t>
      </w:r>
    </w:p>
    <w:p w14:paraId="4020CD1D" w14:textId="77777777" w:rsidR="00695AE2" w:rsidRPr="003C3F4B" w:rsidRDefault="00695AE2" w:rsidP="00695AE2">
      <w:pPr>
        <w:widowControl w:val="0"/>
        <w:spacing w:line="240" w:lineRule="auto"/>
        <w:jc w:val="both"/>
        <w:rPr>
          <w:rFonts w:eastAsia="Calibri"/>
          <w:bCs/>
        </w:rPr>
      </w:pPr>
    </w:p>
    <w:p w14:paraId="4569BA23" w14:textId="77777777" w:rsidR="00695AE2" w:rsidRPr="003C3F4B" w:rsidRDefault="00695AE2" w:rsidP="00695AE2">
      <w:pPr>
        <w:widowControl w:val="0"/>
        <w:spacing w:line="240" w:lineRule="auto"/>
        <w:jc w:val="both"/>
        <w:rPr>
          <w:rFonts w:eastAsia="Calibri"/>
          <w:b/>
          <w:color w:val="007466"/>
        </w:rPr>
      </w:pPr>
      <w:r w:rsidRPr="003C3F4B">
        <w:rPr>
          <w:rFonts w:eastAsia="Calibri"/>
          <w:b/>
          <w:color w:val="007466"/>
        </w:rPr>
        <w:t>Sklep Višjega sodišča v Ljubljani, opr. št. IV Ip 955/2025 z dne 17. 9. 2025</w:t>
      </w:r>
    </w:p>
    <w:p w14:paraId="04169A13" w14:textId="77777777" w:rsidR="00695AE2" w:rsidRPr="003C3F4B" w:rsidRDefault="00695AE2" w:rsidP="00695AE2">
      <w:pPr>
        <w:widowControl w:val="0"/>
        <w:spacing w:line="240" w:lineRule="auto"/>
        <w:jc w:val="both"/>
        <w:rPr>
          <w:rFonts w:eastAsia="Calibri"/>
          <w:bCs/>
        </w:rPr>
      </w:pPr>
    </w:p>
    <w:p w14:paraId="722177B5" w14:textId="77777777" w:rsidR="00695AE2" w:rsidRDefault="00695AE2" w:rsidP="00695AE2">
      <w:pPr>
        <w:widowControl w:val="0"/>
        <w:spacing w:line="240" w:lineRule="auto"/>
        <w:jc w:val="both"/>
      </w:pPr>
      <w:r w:rsidRPr="003C3F4B">
        <w:rPr>
          <w:rFonts w:eastAsia="Calibri"/>
          <w:bCs/>
        </w:rPr>
        <w:t xml:space="preserve">V obravnavani zadevi je sodišče prve stopnje zoper dolžnika izdalo sklep o zavarovanju terjatve z zastavno pravico na dolžnikovi nepremičnini po 243. členu ZIZ. Ta določa, da ima upnik na podlagi izvršilnega naslova, ki se glasi na denarno terjatev, pravico zahtevati njeno zavarovanje z zastavno pravico na dolžnikovi nepremičnini. Že 13. člen ZDavP-2 pa določa, da lahko pri dolžnikih, ki so lastniki nepremičnega premoženja ali deleža družbenika, davčni organ predlaga </w:t>
      </w:r>
      <w:r w:rsidRPr="003C3F4B">
        <w:rPr>
          <w:rFonts w:eastAsia="Calibri"/>
          <w:bCs/>
        </w:rPr>
        <w:lastRenderedPageBreak/>
        <w:t xml:space="preserve">zavarovanje davčnega dolga z vknjižbo zastavne pravice na njihovih nepremičninah oziroma deležu družbenika neposredno pri sodišču, lahko pa tudi prek pristojnega državnega odvetništva. Navedeno pomeni, da je pogoj za izdajo sklepa o zavarovanju obstoj izvršilnega naslova zoper dolžnika. Na tem mestu sodišče druge stopnje pojasnjuje, da ne gre za nikakršno zlorabo pravic, ker bi upnik lahko predlagal izvršbo, predlaga pa zgolj zavarovanje. Že na prvi pogled je jasno, da je upnik zoper dolžnico predlagal milejši ukrep, kot je izvršba, saj gre zgolj za zavarovanje. Cilj zavarovanja je v končni fazi tudi poplačilo terjatve, vendar pa je primarni cilj zavarovanja že po naravi stvari </w:t>
      </w:r>
      <w:r>
        <w:rPr>
          <w:rFonts w:eastAsia="Calibri"/>
          <w:bCs/>
        </w:rPr>
        <w:t>–</w:t>
      </w:r>
      <w:r w:rsidRPr="003C3F4B">
        <w:rPr>
          <w:rFonts w:eastAsia="Calibri"/>
          <w:bCs/>
        </w:rPr>
        <w:t xml:space="preserve"> zavarovanje terjatve. Niti ZIZ niti ZDavP-2 ne določata najnižjega zneska, za katerega je mogoče predlagati zavarovanje na nepremičnino, in je upnik pri izbiri med sredstvi davčne izvršbe in sredstvi zavarovanja prost. Sodišče je nadalje obrazložilo, da upnik lahko predlaga zavarovanje z zastavno pravico na nepremičnini takoj po izvršljivosti izvršilnega naslova. V konkretni zadevi je upnik v zvezi z ugovornimi navedbami glede nesorazmerja navajal, da je kljub temu, da davčni dolg ni visok, predlagal zavarovanje na nepremičnini zaradi starosti dolga (najstarejša obveznost je iz leta 2014) in zaradi neuspešnosti davčne izvršbe v predhodnih postopkih, da dolžnica ni zaposlena in po podatkih iz uradnih evidenc nima drugega premoženja. Teh upnikovih navedb v roku za izjavo dolžnik ni prerekal, niti ni podal nobenih navedb glede obstoja drugega vrednostno bolj primernega premoženja. Po oceni sodišča prve stopnje pa ravno te okoliščine, ob odsotnosti drugega premoženja, opravičujejo zavarovanje na bistveno več vrednoteni nepremičnini in to kljub zatrjevani nesorazmernosti. Ne drži, da predlagani ukrep ni nujen in primeren za zavarovanje dolga. Nujnost ukrepa je tudi po presoji višjega sodišča upnik ustrezno utemeljil že s starostjo terjatev, torej z obdobjem, v katerem upnik svoje terjatve ni dobil poplačane, z neuspešnostjo davčne izvršbe in z neobstojem drugega dolžničinega premoženja, čemur dolžnica niti ni nasprotovala. Kot bistveno pa bi dolžnica na tem mestu morala ponuditi vsaj neko nadomestno premoženje, na katerem bi upnik lahko zavaroval ali poplačal svojo terjatev, pa tega dolžnica ni storila. Zastavna pravica na nepremičnini je vsekakor tudi primerno sredstvo zavarovanja, saj je z njo namen zavarovanja z vzpostavijo prednostne poplačilne pravice dosežen. Ne</w:t>
      </w:r>
      <w:r>
        <w:rPr>
          <w:rFonts w:eastAsia="Calibri"/>
          <w:bCs/>
        </w:rPr>
        <w:t xml:space="preserve"> </w:t>
      </w:r>
      <w:r w:rsidRPr="003C3F4B">
        <w:rPr>
          <w:rFonts w:eastAsia="Calibri"/>
          <w:bCs/>
        </w:rPr>
        <w:t>izdaja odločbe o davku na promet nepremičnin oz</w:t>
      </w:r>
      <w:r>
        <w:rPr>
          <w:rFonts w:eastAsia="Calibri"/>
          <w:bCs/>
        </w:rPr>
        <w:t>iroma</w:t>
      </w:r>
      <w:r w:rsidRPr="003C3F4B">
        <w:rPr>
          <w:rFonts w:eastAsia="Calibri"/>
          <w:bCs/>
        </w:rPr>
        <w:t xml:space="preserve"> davku na darila ni zakonsko predvideno sredstvo zavarovanja in ne more predstavljati nadomestila zanj ter tako navedeno ni primernejše sredstvo zavarovanja. Upniku pravice do zavarovanja ni mogoče odreči, kolikor gre za edino dolžnikovo premoženje (dolžnica česa nasprotnega ne zatrjuje), na katerem upnik sploh lahko predlaga zavarovanje, pa je dovoljeno zavarovanje pravzaprav tudi edino možno. Na tem mestu se nenazadnje pokaže, da upnik ne posega prekomerno v dolžničine pravice s tem, ko na njen idealni delež ni predlagal že kar izvršbe, čeprav bi to res tudi lahko. Nenazadnje kot nesporno pri nepremičnini, ki je predmet zavarovanja, res tudi ne gre za dolžničin dom, ko bi bila presoja sorazmernosti v izvršbi, ne pa nujno tudi v postopku zavarovanja, lahko bila strožja.</w:t>
      </w:r>
    </w:p>
    <w:p w14:paraId="08FA4C6C" w14:textId="77777777" w:rsidR="00695AE2" w:rsidRPr="000F6D5D" w:rsidRDefault="00695AE2" w:rsidP="00695AE2">
      <w:pPr>
        <w:pStyle w:val="Jasna"/>
        <w:rPr>
          <w:sz w:val="32"/>
          <w:szCs w:val="32"/>
        </w:rPr>
      </w:pPr>
    </w:p>
    <w:p w14:paraId="055293D8" w14:textId="77777777" w:rsidR="00695AE2" w:rsidRPr="000F6D5D" w:rsidRDefault="00695AE2" w:rsidP="00695AE2">
      <w:pPr>
        <w:pStyle w:val="Naslov2"/>
      </w:pPr>
      <w:bookmarkStart w:id="1157" w:name="_Toc223094114"/>
      <w:bookmarkStart w:id="1158" w:name="_Toc128566424"/>
      <w:bookmarkStart w:id="1159" w:name="_Toc168845126"/>
      <w:bookmarkStart w:id="1160" w:name="_Toc191562119"/>
      <w:r w:rsidRPr="000F6D5D">
        <w:t>Postopki zaradi insolventnosti in prisilnega prenehanja</w:t>
      </w:r>
      <w:bookmarkEnd w:id="1157"/>
      <w:r w:rsidRPr="000F6D5D">
        <w:t xml:space="preserve"> </w:t>
      </w:r>
      <w:bookmarkEnd w:id="1158"/>
      <w:bookmarkEnd w:id="1159"/>
      <w:bookmarkEnd w:id="1160"/>
    </w:p>
    <w:p w14:paraId="4BFE7952" w14:textId="77777777" w:rsidR="00695AE2" w:rsidRPr="000F6D5D" w:rsidRDefault="00695AE2" w:rsidP="00695AE2">
      <w:pPr>
        <w:spacing w:line="240" w:lineRule="auto"/>
        <w:jc w:val="both"/>
        <w:rPr>
          <w:rFonts w:eastAsia="Calibri"/>
          <w:b/>
          <w:color w:val="007466"/>
          <w:sz w:val="32"/>
          <w:szCs w:val="32"/>
        </w:rPr>
      </w:pPr>
    </w:p>
    <w:p w14:paraId="7C810CF0" w14:textId="77777777" w:rsidR="00695AE2" w:rsidRPr="001C2BFF" w:rsidRDefault="00695AE2" w:rsidP="00695AE2">
      <w:pPr>
        <w:spacing w:line="240" w:lineRule="auto"/>
        <w:jc w:val="both"/>
        <w:rPr>
          <w:rFonts w:eastAsia="Calibri"/>
          <w:b/>
          <w:color w:val="007466"/>
        </w:rPr>
      </w:pPr>
      <w:r w:rsidRPr="001C2BFF">
        <w:rPr>
          <w:rFonts w:eastAsia="Calibri"/>
          <w:b/>
          <w:color w:val="007466"/>
        </w:rPr>
        <w:t>Sklep Višjega sodišča v Ljubljani, opr. št</w:t>
      </w:r>
      <w:bookmarkStart w:id="1161" w:name="_Toc219284647"/>
      <w:r w:rsidRPr="001C2BFF">
        <w:rPr>
          <w:rFonts w:eastAsia="Calibri"/>
          <w:b/>
          <w:color w:val="007466"/>
        </w:rPr>
        <w:t xml:space="preserve">. Cst 241/2025 z dne 29. 10. 2025 </w:t>
      </w:r>
      <w:bookmarkEnd w:id="1161"/>
    </w:p>
    <w:p w14:paraId="7DDA3E55" w14:textId="77777777" w:rsidR="00695AE2" w:rsidRPr="001C2BFF" w:rsidRDefault="00695AE2" w:rsidP="00695AE2">
      <w:pPr>
        <w:spacing w:line="240" w:lineRule="auto"/>
        <w:jc w:val="both"/>
        <w:rPr>
          <w:rFonts w:eastAsia="Calibri"/>
          <w:bCs/>
        </w:rPr>
      </w:pPr>
    </w:p>
    <w:p w14:paraId="3896397E" w14:textId="77777777" w:rsidR="00695AE2" w:rsidRPr="001C2BFF" w:rsidRDefault="00695AE2" w:rsidP="00695AE2">
      <w:pPr>
        <w:spacing w:line="240" w:lineRule="auto"/>
        <w:jc w:val="both"/>
        <w:rPr>
          <w:rFonts w:eastAsia="Calibri"/>
          <w:bCs/>
        </w:rPr>
      </w:pPr>
      <w:r w:rsidRPr="001C2BFF">
        <w:rPr>
          <w:rFonts w:eastAsia="Calibri"/>
          <w:bCs/>
        </w:rPr>
        <w:t xml:space="preserve">Posebna stečajna masa je premoženje, ki je predmet ločitvene pravice, ali denarno dobroimetje, doseženo z unovčenjem tega premoženja (drugi odstavek 225. člena ZFPPIPP). Posebna razdelitvena masa je denarno dobroimetje, nastalo z unovčenjem posebne stečajne mase, zmanjšano za stroške v zvezi s tem unovčenjem (tretji odstavek 226. člena ZFPPIPP). S </w:t>
      </w:r>
      <w:r w:rsidRPr="001C2BFF">
        <w:rPr>
          <w:rFonts w:eastAsia="Calibri"/>
          <w:bCs/>
        </w:rPr>
        <w:lastRenderedPageBreak/>
        <w:t xml:space="preserve">sklepom o razdelitvi posebne razdelitvene mase je pravnomočno odločeno o plačilu terjatev upnikov, ki so zavarovane z ločitveno pravico na premoženju, ki spada v to posebno razdelitveno maso (primerjaj deveti odstavek v zvezi s prvim odstavkom 371. člena ZFPPIPP), med tem ko so ostali podatki (o unovčenem premoženju, o znesku kupnine ter o znesku stroškov) v načrtu razdelitve namenjeni zgolj izračunu (in preizkusu pravilnosti izračuna) posebne razdelitvene mase. Glede na vse navedeno je treba pritrditi upničinemu in upraviteljevemu stališču, da je v načrtu razdelitve posebne stečajne mase naveden zgolj prikaz stroškov, ki bremenijo posebno stečajno maso in ki služi za izračun posebne razdelitvene mase, namenjene poplačilu ločitvenih upnikov. </w:t>
      </w:r>
    </w:p>
    <w:p w14:paraId="76285EED" w14:textId="77777777" w:rsidR="00695AE2" w:rsidRPr="001C2BFF" w:rsidRDefault="00695AE2" w:rsidP="00695AE2">
      <w:pPr>
        <w:spacing w:line="240" w:lineRule="auto"/>
        <w:jc w:val="both"/>
        <w:rPr>
          <w:rFonts w:eastAsia="Calibri"/>
          <w:bCs/>
        </w:rPr>
      </w:pPr>
    </w:p>
    <w:p w14:paraId="05CEA73B" w14:textId="77777777" w:rsidR="00695AE2" w:rsidRPr="001C2BFF" w:rsidRDefault="00695AE2" w:rsidP="00695AE2">
      <w:pPr>
        <w:spacing w:line="240" w:lineRule="auto"/>
        <w:jc w:val="both"/>
        <w:rPr>
          <w:rFonts w:eastAsia="Calibri"/>
          <w:bCs/>
        </w:rPr>
      </w:pPr>
      <w:r w:rsidRPr="001C2BFF">
        <w:rPr>
          <w:rFonts w:eastAsia="Calibri"/>
          <w:bCs/>
        </w:rPr>
        <w:t xml:space="preserve">Načelo enakega obravnavanja upnikov zahteva, da se v postopku zaradi insolventnosti enako obravnava vse upnike, ki so v razmerju do insolventnega dolžnika v enakem položaju (46. člen ZFPPIPP). Ker upnikove terjatve za plačilo stroškov stečajnega postopka iz splošne stečajne mase ni mogoče poravnati iz unovčenih posebnih stečajnih mas, upnika nista v enakem položaju v razmerju do stečajnega dolžnika. Načelo enakega obravnavanja upnikov iz 46. člena ZFPPIPP torej s prednostnim poplačilom upničine terjatve ne bo kršeno. Ravnanje upravitelja zato v upnikovo pravico do enakega obravnavanja upnikov ne bo poseglo. Kot je pravilno ugotovilo že sodišče prve stopnje, je upnikov ugovor zaradi kršitve pravice do enakega obravnavanja neutemeljen. </w:t>
      </w:r>
    </w:p>
    <w:p w14:paraId="63F24318" w14:textId="77777777" w:rsidR="00695AE2" w:rsidRPr="001C2BFF" w:rsidRDefault="00695AE2" w:rsidP="00695AE2">
      <w:pPr>
        <w:spacing w:line="240" w:lineRule="auto"/>
        <w:jc w:val="both"/>
        <w:rPr>
          <w:rFonts w:eastAsia="Calibri"/>
          <w:bCs/>
        </w:rPr>
      </w:pPr>
    </w:p>
    <w:p w14:paraId="6004E68E" w14:textId="77777777" w:rsidR="00695AE2" w:rsidRPr="001C2BFF" w:rsidRDefault="00695AE2" w:rsidP="00695AE2">
      <w:pPr>
        <w:spacing w:line="240" w:lineRule="auto"/>
        <w:jc w:val="both"/>
        <w:rPr>
          <w:rFonts w:eastAsia="Calibri"/>
          <w:bCs/>
        </w:rPr>
      </w:pPr>
      <w:r w:rsidRPr="001C2BFF">
        <w:rPr>
          <w:rFonts w:eastAsia="Calibri"/>
          <w:bCs/>
        </w:rPr>
        <w:t xml:space="preserve">Strošek unovčenja posebne stečajne mase predstavlja v primeru, če je predmet posebne stečajne mase onesnažena nepremičnina, strošek predpisanega ravnanja z odpadki, ki bremenijo stečajnega dolžnika. Upnica je zato upravičena do prednostnega poplačila terjatve iz naslova stroškov ekološke sanacije dolžnikovih nepremičnin v stečajnem postopku, k plačilu katere je stečajno sodišče že izdalo soglasje. Kot izhaja iz obrazložitve sklepa o razdelitvi posebne razdelitvene mase Okrožnega sodišča v Ljubljani St 437/2009 z dne 30. 1. 2008, brez izvedene ekološke sanacije celotnega sklopa nepremičnin in še posebej sklopa nepremičnin, ki </w:t>
      </w:r>
      <w:r>
        <w:rPr>
          <w:rFonts w:eastAsia="Calibri"/>
          <w:bCs/>
        </w:rPr>
        <w:t>so</w:t>
      </w:r>
      <w:r w:rsidRPr="001C2BFF">
        <w:rPr>
          <w:rFonts w:eastAsia="Calibri"/>
          <w:bCs/>
        </w:rPr>
        <w:t xml:space="preserve"> predmet posebne stečajne mase, prodaja premoženja v stečajnem postopku sploh ne bi bila izvedljiva, saj so bile v njih skladiščene nevarne snovi in odpadki. Upnikove terjatve iz naslova neplačane najemnine za objekte, zemljišče in premičnine, pa ni mogoče šteti med stroške v zvezi z unovčenjem posebne stečajne mase. Po navedenem je upnica upravičena do prednostnega poplačila (sorazmernega dela) svoje terjatve iz unovčenih posebnih stečajnih mas, saj spada njena terjatev med stroške v zvezi z unovčenjem teh posebnih stečajnih mas. </w:t>
      </w:r>
    </w:p>
    <w:p w14:paraId="370DB293" w14:textId="77777777" w:rsidR="00695AE2" w:rsidRPr="001C2BFF" w:rsidRDefault="00695AE2" w:rsidP="00695AE2">
      <w:pPr>
        <w:spacing w:line="240" w:lineRule="auto"/>
        <w:jc w:val="both"/>
        <w:rPr>
          <w:rFonts w:eastAsia="Calibri"/>
          <w:bCs/>
        </w:rPr>
      </w:pPr>
    </w:p>
    <w:p w14:paraId="238874D7" w14:textId="77777777" w:rsidR="00695AE2" w:rsidRPr="001C2BFF" w:rsidRDefault="00695AE2" w:rsidP="00695AE2">
      <w:pPr>
        <w:spacing w:line="240" w:lineRule="auto"/>
        <w:jc w:val="both"/>
        <w:rPr>
          <w:rFonts w:eastAsia="Calibri"/>
          <w:b/>
          <w:color w:val="007466"/>
        </w:rPr>
      </w:pPr>
      <w:r>
        <w:rPr>
          <w:rFonts w:eastAsia="Calibri"/>
          <w:b/>
          <w:color w:val="007466"/>
        </w:rPr>
        <w:t xml:space="preserve">Sklep Višjega sodišča v Ljubljani, opr. št. Cst 113/2025 z dne 14. 5. 2025 </w:t>
      </w:r>
    </w:p>
    <w:p w14:paraId="44F721DD" w14:textId="77777777" w:rsidR="00695AE2" w:rsidRPr="001C2BFF" w:rsidRDefault="00695AE2" w:rsidP="00695AE2">
      <w:pPr>
        <w:spacing w:line="240" w:lineRule="auto"/>
        <w:jc w:val="both"/>
        <w:rPr>
          <w:rFonts w:eastAsia="Calibri"/>
          <w:bCs/>
        </w:rPr>
      </w:pPr>
    </w:p>
    <w:p w14:paraId="57DAF93E" w14:textId="77777777" w:rsidR="00695AE2" w:rsidRPr="001C2BFF" w:rsidRDefault="00695AE2" w:rsidP="00695AE2">
      <w:pPr>
        <w:spacing w:line="240" w:lineRule="auto"/>
        <w:jc w:val="both"/>
        <w:rPr>
          <w:rFonts w:eastAsia="Calibri"/>
          <w:bCs/>
        </w:rPr>
      </w:pPr>
      <w:r w:rsidRPr="001C2BFF">
        <w:rPr>
          <w:rFonts w:eastAsia="Calibri"/>
          <w:bCs/>
        </w:rPr>
        <w:t>Sodišče prve stopnje je začelo postopek osebnega stečaja zoper dolžnico in imenovalo upravitelja. Odločitev o začetku stečajnega postopka je sodišče prve stopnje oprlo na nesporno ugotovitev, da je dolžnica insolventna. Zoper sklep o začetku stečaja je dolžnica vložila pritožbo, iz katere izhaja, da drugih neplačanih zapadlih obveznosti razen do predlagatelja FURS nima, da je dolgoročno plačilno sposobna, ker ima delujoče podjetje, kako</w:t>
      </w:r>
      <w:r>
        <w:rPr>
          <w:rFonts w:eastAsia="Calibri"/>
          <w:bCs/>
        </w:rPr>
        <w:t>r</w:t>
      </w:r>
      <w:r w:rsidRPr="001C2BFF">
        <w:rPr>
          <w:rFonts w:eastAsia="Calibri"/>
          <w:bCs/>
        </w:rPr>
        <w:t xml:space="preserve"> tudi, da ima že sedaj zagotovljena denarna sredstva, ki skoraj v celoti pokrijejo dolg do predlagateljice. </w:t>
      </w:r>
    </w:p>
    <w:p w14:paraId="0698B730" w14:textId="77777777" w:rsidR="00695AE2" w:rsidRPr="001C2BFF" w:rsidRDefault="00695AE2" w:rsidP="00695AE2">
      <w:pPr>
        <w:spacing w:line="240" w:lineRule="auto"/>
        <w:jc w:val="both"/>
        <w:rPr>
          <w:rFonts w:eastAsia="Calibri"/>
          <w:bCs/>
        </w:rPr>
      </w:pPr>
    </w:p>
    <w:p w14:paraId="2BB862FD" w14:textId="77777777" w:rsidR="00695AE2" w:rsidRPr="001C2BFF" w:rsidRDefault="00695AE2" w:rsidP="00695AE2">
      <w:pPr>
        <w:spacing w:line="240" w:lineRule="auto"/>
        <w:jc w:val="both"/>
        <w:rPr>
          <w:rFonts w:eastAsia="Calibri"/>
          <w:bCs/>
        </w:rPr>
      </w:pPr>
      <w:r w:rsidRPr="001C2BFF">
        <w:rPr>
          <w:rFonts w:eastAsia="Calibri"/>
          <w:bCs/>
        </w:rPr>
        <w:t>Pritožben</w:t>
      </w:r>
      <w:r>
        <w:rPr>
          <w:rFonts w:eastAsia="Calibri"/>
          <w:bCs/>
        </w:rPr>
        <w:t xml:space="preserve">o sodišče </w:t>
      </w:r>
      <w:r w:rsidRPr="001C2BFF">
        <w:rPr>
          <w:rFonts w:eastAsia="Calibri"/>
          <w:bCs/>
        </w:rPr>
        <w:t>je pritožbo dolžnice zavrnil</w:t>
      </w:r>
      <w:r>
        <w:rPr>
          <w:rFonts w:eastAsia="Calibri"/>
          <w:bCs/>
        </w:rPr>
        <w:t>o</w:t>
      </w:r>
      <w:r w:rsidRPr="001C2BFF">
        <w:rPr>
          <w:rFonts w:eastAsia="Calibri"/>
          <w:bCs/>
        </w:rPr>
        <w:t xml:space="preserve"> z obrazložitvijo, da četudi bi bilo mogoče terjatev do predlagatelja poravnati, pa navedena okoliščina ne vpliva na ugotovljeni obstoj domneve oz</w:t>
      </w:r>
      <w:r>
        <w:rPr>
          <w:rFonts w:eastAsia="Calibri"/>
          <w:bCs/>
        </w:rPr>
        <w:t>iroma</w:t>
      </w:r>
      <w:r w:rsidRPr="001C2BFF">
        <w:rPr>
          <w:rFonts w:eastAsia="Calibri"/>
          <w:bCs/>
        </w:rPr>
        <w:t xml:space="preserve"> domnevne baze iz četrtega odstavka 14. člena ZFPPIPP. V primeru </w:t>
      </w:r>
      <w:r w:rsidRPr="001C2BFF">
        <w:rPr>
          <w:rFonts w:eastAsia="Calibri"/>
          <w:bCs/>
        </w:rPr>
        <w:lastRenderedPageBreak/>
        <w:t>dolžnikovega zamujanja z izplačili plač delavcem in pripadajočih davkov in prispevkov se namreč stanje dolžnikove insolventnosti presoja izključno na dan pred vložitvijo predloga postopka zaradi insolventnosti. Zakonodajalec insolventnost dolžnika zaradi njegovih dolgov iz naslova neizplačanih plač delavcem in neplačanih davkov in prispevkov presoja strožje zaradi zagotovitve močnejšega varstva pravic delavcev, zaposlenih pri stečajnem dolžniku. Z ureditvijo neizpodbojne domneve pa je želel zakonodajalec preprečiti morebitna špekulativna ravnanja dolžnikov, da bi se stečajnemu postopku izognili na način, da bi šele po vloženem predlogu za začetek stečaja delavcem začeli izplačevati zamujene plače in pripadajoče davke in prispevke, po prenehanju grožnje stečaja pa z zamujanjem z izplačili nadaljevali.</w:t>
      </w:r>
    </w:p>
    <w:p w14:paraId="5BBA4060" w14:textId="77777777" w:rsidR="00695AE2" w:rsidRPr="001C2BFF" w:rsidRDefault="00695AE2" w:rsidP="00695AE2">
      <w:pPr>
        <w:spacing w:line="240" w:lineRule="auto"/>
        <w:rPr>
          <w:rFonts w:eastAsia="Calibri"/>
          <w:bCs/>
        </w:rPr>
      </w:pPr>
    </w:p>
    <w:p w14:paraId="1344931F" w14:textId="77777777" w:rsidR="00695AE2" w:rsidRPr="000F6D5D" w:rsidRDefault="00695AE2" w:rsidP="00695AE2">
      <w:pPr>
        <w:pStyle w:val="Naslov2"/>
      </w:pPr>
      <w:bookmarkStart w:id="1162" w:name="_Toc223094115"/>
      <w:r w:rsidRPr="000F6D5D">
        <w:t>Nepravdni postopki</w:t>
      </w:r>
      <w:bookmarkEnd w:id="1162"/>
      <w:r w:rsidRPr="000F6D5D">
        <w:t xml:space="preserve"> </w:t>
      </w:r>
    </w:p>
    <w:p w14:paraId="48CCC37C" w14:textId="77777777" w:rsidR="00695AE2" w:rsidRPr="000F6D5D" w:rsidRDefault="00695AE2" w:rsidP="00695AE2">
      <w:pPr>
        <w:pStyle w:val="Jasna"/>
        <w:rPr>
          <w:sz w:val="32"/>
          <w:szCs w:val="32"/>
          <w:lang w:eastAsia="sl-SI"/>
        </w:rPr>
      </w:pPr>
    </w:p>
    <w:p w14:paraId="727440DD" w14:textId="77777777" w:rsidR="00695AE2" w:rsidRPr="003C5D14" w:rsidRDefault="00695AE2" w:rsidP="00695AE2">
      <w:pPr>
        <w:spacing w:line="240" w:lineRule="auto"/>
        <w:jc w:val="both"/>
        <w:rPr>
          <w:rFonts w:eastAsia="Calibri"/>
          <w:b/>
          <w:color w:val="007466"/>
          <w:lang w:bidi="sl-SI"/>
        </w:rPr>
      </w:pPr>
      <w:r w:rsidRPr="003C5D14">
        <w:rPr>
          <w:rFonts w:eastAsia="Calibri"/>
          <w:b/>
          <w:color w:val="007466"/>
          <w:lang w:bidi="sl-SI"/>
        </w:rPr>
        <w:t>Sklep Vrhovnega sodišča RS, opr. št. II Ips 44/2024 z dne 15. 1. 2025 (zapuščina brez dedičev)</w:t>
      </w:r>
    </w:p>
    <w:p w14:paraId="70E94FCD" w14:textId="77777777" w:rsidR="00695AE2" w:rsidRPr="003C5D14" w:rsidRDefault="00695AE2" w:rsidP="00695AE2">
      <w:pPr>
        <w:spacing w:line="240" w:lineRule="auto"/>
        <w:jc w:val="both"/>
        <w:rPr>
          <w:rFonts w:eastAsia="Calibri"/>
          <w:bCs/>
          <w:lang w:bidi="sl-SI"/>
        </w:rPr>
      </w:pPr>
    </w:p>
    <w:p w14:paraId="41A74C81" w14:textId="77777777" w:rsidR="00695AE2" w:rsidRPr="003C5D14" w:rsidRDefault="00695AE2" w:rsidP="00695AE2">
      <w:pPr>
        <w:spacing w:line="240" w:lineRule="auto"/>
        <w:jc w:val="both"/>
        <w:rPr>
          <w:rFonts w:eastAsia="Calibri"/>
          <w:bCs/>
          <w:lang w:bidi="sl-SI"/>
        </w:rPr>
      </w:pPr>
      <w:r w:rsidRPr="003C5D14">
        <w:rPr>
          <w:rFonts w:eastAsia="Calibri"/>
          <w:bCs/>
          <w:lang w:bidi="sl-SI"/>
        </w:rPr>
        <w:t>Višje sodišče v Ljubljani je s sklepom</w:t>
      </w:r>
      <w:r>
        <w:rPr>
          <w:rFonts w:eastAsia="Calibri"/>
          <w:bCs/>
          <w:lang w:bidi="sl-SI"/>
        </w:rPr>
        <w:t>,</w:t>
      </w:r>
      <w:r w:rsidRPr="003C5D14">
        <w:rPr>
          <w:rFonts w:eastAsia="Calibri"/>
          <w:bCs/>
          <w:lang w:bidi="sl-SI"/>
        </w:rPr>
        <w:t xml:space="preserve"> opr. št. II Cp 1331/2023 z dne 13.</w:t>
      </w:r>
      <w:r>
        <w:rPr>
          <w:rFonts w:eastAsia="Calibri"/>
          <w:bCs/>
          <w:lang w:bidi="sl-SI"/>
        </w:rPr>
        <w:t xml:space="preserve"> </w:t>
      </w:r>
      <w:r w:rsidRPr="003C5D14">
        <w:rPr>
          <w:rFonts w:eastAsia="Calibri"/>
          <w:bCs/>
          <w:lang w:bidi="sl-SI"/>
        </w:rPr>
        <w:t>11.</w:t>
      </w:r>
      <w:r>
        <w:rPr>
          <w:rFonts w:eastAsia="Calibri"/>
          <w:bCs/>
          <w:lang w:bidi="sl-SI"/>
        </w:rPr>
        <w:t xml:space="preserve"> </w:t>
      </w:r>
      <w:r w:rsidRPr="003C5D14">
        <w:rPr>
          <w:rFonts w:eastAsia="Calibri"/>
          <w:bCs/>
          <w:lang w:bidi="sl-SI"/>
        </w:rPr>
        <w:t>2023 zavrnilo pritožbo Republike Slovenije in potrdilo izpodbijani sklep</w:t>
      </w:r>
      <w:r>
        <w:rPr>
          <w:rFonts w:eastAsia="Calibri"/>
          <w:bCs/>
          <w:lang w:bidi="sl-SI"/>
        </w:rPr>
        <w:t xml:space="preserve"> sodišča prve stopnje, s katerim </w:t>
      </w:r>
      <w:r w:rsidRPr="003C5D14">
        <w:rPr>
          <w:rFonts w:eastAsia="Calibri"/>
          <w:bCs/>
          <w:lang w:bidi="sl-SI"/>
        </w:rPr>
        <w:t>je sodišče prve stopnje odločilo, da zapuščina po pokojni, ki med drugim obsega osebno vozilo znamke Renault Modus /1.2 16V/, leto prve registracije 2008,  postane na podlagi 9. člena Zakona o dedovanju (</w:t>
      </w:r>
      <w:r>
        <w:rPr>
          <w:rFonts w:eastAsia="Calibri"/>
          <w:bCs/>
          <w:lang w:bidi="sl-SI"/>
        </w:rPr>
        <w:t xml:space="preserve">v nadaljevanju: </w:t>
      </w:r>
      <w:r w:rsidRPr="003C5D14">
        <w:rPr>
          <w:rFonts w:eastAsia="Calibri"/>
          <w:bCs/>
          <w:lang w:bidi="sl-SI"/>
        </w:rPr>
        <w:t xml:space="preserve">ZD) lastnina Republike Slovenije. </w:t>
      </w:r>
    </w:p>
    <w:p w14:paraId="4A2ED365" w14:textId="77777777" w:rsidR="00695AE2" w:rsidRPr="003C5D14" w:rsidRDefault="00695AE2" w:rsidP="00695AE2">
      <w:pPr>
        <w:spacing w:line="240" w:lineRule="auto"/>
        <w:jc w:val="both"/>
        <w:rPr>
          <w:rFonts w:eastAsia="Calibri"/>
          <w:bCs/>
          <w:lang w:bidi="sl-SI"/>
        </w:rPr>
      </w:pPr>
    </w:p>
    <w:p w14:paraId="01709E11" w14:textId="77777777" w:rsidR="00695AE2" w:rsidRPr="003C5D14" w:rsidRDefault="00695AE2" w:rsidP="00695AE2">
      <w:pPr>
        <w:spacing w:line="240" w:lineRule="auto"/>
        <w:jc w:val="both"/>
        <w:rPr>
          <w:rFonts w:eastAsia="Calibri"/>
          <w:bCs/>
          <w:lang w:bidi="sl-SI"/>
        </w:rPr>
      </w:pPr>
      <w:r w:rsidRPr="003C5D14">
        <w:rPr>
          <w:rFonts w:eastAsia="Calibri"/>
          <w:bCs/>
          <w:lang w:bidi="sl-SI"/>
        </w:rPr>
        <w:t xml:space="preserve">Zoper sklep </w:t>
      </w:r>
      <w:r>
        <w:rPr>
          <w:rFonts w:eastAsia="Calibri"/>
          <w:bCs/>
          <w:lang w:bidi="sl-SI"/>
        </w:rPr>
        <w:t xml:space="preserve">sodišča druge stopnje je državno odvetništvo RS </w:t>
      </w:r>
      <w:r w:rsidRPr="003C5D14">
        <w:rPr>
          <w:rFonts w:eastAsia="Calibri"/>
          <w:bCs/>
          <w:lang w:bidi="sl-SI"/>
        </w:rPr>
        <w:t>vložil</w:t>
      </w:r>
      <w:r>
        <w:rPr>
          <w:rFonts w:eastAsia="Calibri"/>
          <w:bCs/>
          <w:lang w:bidi="sl-SI"/>
        </w:rPr>
        <w:t>o</w:t>
      </w:r>
      <w:r w:rsidRPr="003C5D14">
        <w:rPr>
          <w:rFonts w:eastAsia="Calibri"/>
          <w:bCs/>
          <w:lang w:bidi="sl-SI"/>
        </w:rPr>
        <w:t xml:space="preserve"> predlog za dopustitev revizije z navedbami, da je odločitev sodišča, da omenjeno osebno vozilo na podlagi 9. člena ZD postane lastnina Republike Slovenije, napačna, saj sodišče prve stopnje pred izdajo izpodbijanega sklepa ni z zanesljivostjo ugotovilo, ali osebno vozilo, ki je predmet zapuščine, sploh še obstaja. Ne iz izreka ne iz obrazložitve sklepa sodišča prve stopnje niso izhajali identifikacijski podatki avtomobila iz evidence registriranih vozil, prav tako iz sklepa ni bilo razvidno, kje se avtomobil nahaja, niti ne  kdo ga hrani oz</w:t>
      </w:r>
      <w:r>
        <w:rPr>
          <w:rFonts w:eastAsia="Calibri"/>
          <w:bCs/>
          <w:lang w:bidi="sl-SI"/>
        </w:rPr>
        <w:t>iroma</w:t>
      </w:r>
      <w:r w:rsidRPr="003C5D14">
        <w:rPr>
          <w:rFonts w:eastAsia="Calibri"/>
          <w:bCs/>
          <w:lang w:bidi="sl-SI"/>
        </w:rPr>
        <w:t xml:space="preserve"> poseduje ključe in pripadajoče dokumente, vezane na vozilo. Brez navedenih podatkov Republika Slovenija predmeta zapuščine, v tem primeru avtomobila, ne more nedvoumno identificirati, preveriti, urediti njegovega statusa in dejansko prevzeti v posest. </w:t>
      </w:r>
    </w:p>
    <w:p w14:paraId="586C9385" w14:textId="77777777" w:rsidR="00695AE2" w:rsidRPr="003C5D14" w:rsidRDefault="00695AE2" w:rsidP="00695AE2">
      <w:pPr>
        <w:spacing w:line="240" w:lineRule="auto"/>
        <w:jc w:val="both"/>
        <w:rPr>
          <w:rFonts w:eastAsia="Calibri"/>
          <w:bCs/>
          <w:lang w:bidi="sl-SI"/>
        </w:rPr>
      </w:pPr>
    </w:p>
    <w:p w14:paraId="586428A3" w14:textId="77777777" w:rsidR="00695AE2" w:rsidRPr="003C5D14" w:rsidRDefault="00695AE2" w:rsidP="00695AE2">
      <w:pPr>
        <w:spacing w:line="240" w:lineRule="auto"/>
        <w:jc w:val="both"/>
        <w:rPr>
          <w:rFonts w:eastAsia="Calibri"/>
          <w:bCs/>
          <w:lang w:bidi="sl-SI"/>
        </w:rPr>
      </w:pPr>
      <w:r w:rsidRPr="003C5D14">
        <w:rPr>
          <w:rFonts w:eastAsia="Calibri"/>
          <w:bCs/>
          <w:lang w:bidi="sl-SI"/>
        </w:rPr>
        <w:t xml:space="preserve">Tako tekom postopka na prvi stopnji kot v pritožbi in kasneje v postopku pred Vrhovnim sodiščem </w:t>
      </w:r>
      <w:r>
        <w:rPr>
          <w:rFonts w:eastAsia="Calibri"/>
          <w:bCs/>
          <w:lang w:bidi="sl-SI"/>
        </w:rPr>
        <w:t xml:space="preserve">RS </w:t>
      </w:r>
      <w:r w:rsidRPr="003C5D14">
        <w:rPr>
          <w:rFonts w:eastAsia="Calibri"/>
          <w:bCs/>
          <w:lang w:bidi="sl-SI"/>
        </w:rPr>
        <w:t>je bilo izpostavljeno, da od trenutka smrti zapustnika do pravnomočnosti sklepa, ko ima Republika Slovenija pravni naslov za prevzem avtomobila, mine tudi več let, pri čemer v praksi dediči po zapustniku, ki so se dedovanju odpovedali, z avtomobili še tekom zapuščinskega postopka razpolagajo ali pa avtomobil zgolj hranijo, pri čemer mu registracije ne podaljšujejo. Prav tako so primeri, ko je avtomobil zgolj nekje parkiran in propada. Republika Slovenija se sooča tudi s primeri, ko osebe, pri katerih so bila motorna vozila shranjena, zahtevajo plačilo uporabnine, saj Republika Slovenija po pravnomočnosti sodnega sklepa teh vozil ni mogla prevzeti, ker ni razpolagala s podatkom o njihovi lokaciji. V praksi se zaradi starejših sodnih odločb, ki niso navajale lokacije motornih vozil in tudi stranke zapuščinskega postopka niso hotele sodelovati z Republiko Slovenijo, primeri tudi, da še po 10 letih od pravnomočnega sklepa o izročitvi zapuščine Republika Slovenija prejema inšpekcijske odločbe za odstranitev motornih vozil. Iz tega vidika je za učinkovito realizacijo sklepa sodišča in prevzem avtomobila v posest Republike Slovenije ključen podatek, kje se avtomobil nahaja.</w:t>
      </w:r>
    </w:p>
    <w:p w14:paraId="1577D9EC" w14:textId="77777777" w:rsidR="00695AE2" w:rsidRPr="003C5D14" w:rsidRDefault="00695AE2" w:rsidP="00695AE2">
      <w:pPr>
        <w:spacing w:line="240" w:lineRule="auto"/>
        <w:jc w:val="both"/>
        <w:rPr>
          <w:rFonts w:eastAsia="Calibri"/>
          <w:bCs/>
          <w:lang w:bidi="sl-SI"/>
        </w:rPr>
      </w:pPr>
    </w:p>
    <w:p w14:paraId="31EFEB02" w14:textId="77777777" w:rsidR="00695AE2" w:rsidRPr="003C5D14" w:rsidRDefault="00695AE2" w:rsidP="00695AE2">
      <w:pPr>
        <w:spacing w:line="240" w:lineRule="auto"/>
        <w:jc w:val="both"/>
        <w:rPr>
          <w:rFonts w:eastAsia="Calibri"/>
          <w:bCs/>
          <w:lang w:bidi="sl-SI"/>
        </w:rPr>
      </w:pPr>
      <w:r w:rsidRPr="003C5D14">
        <w:rPr>
          <w:rFonts w:eastAsia="Calibri"/>
          <w:bCs/>
          <w:lang w:bidi="sl-SI"/>
        </w:rPr>
        <w:lastRenderedPageBreak/>
        <w:t xml:space="preserve">Glede na vse navedeno je Republika Slovenja v postopku zagovarjala stališče, da je pomembno in potrebno, da sodišče predmet zapuščine nedvoumno in določljivo identificira, ugotovi, ali v trenutku odločanja v naravi sploh obstaja ter kje se nahaja, kajti neobstoječ predmet ne more biti predmet sodne odločbe in če Republika Slovenija nima določljivih podatkov o identifikaciji in lokaciji avtomobila, te-tega ne more prevzeti, urediti vseh potrebnih evidenc ter z njim ustrezno in pravilno ravnati (gre le za nevarno stvar). Ob tem je potrebno poudariti, da je Republika Slovenija kot prevzemnica premoženja ob nezmožnosti prevzema predmeta zapuščine izpostavljena inšpekcijskim in drugim postopkom v smislu neustreznega ravnanja s stvarjo, ki po eni strani s sklepom zapuščinskega sodišča pravno preide v njeno last, po drugi strani pa gre za stvar, ki je prevzemnica brez dodatnih podatkov dejansko sploh ne more prevzeti v svojo last in posest. </w:t>
      </w:r>
    </w:p>
    <w:p w14:paraId="5C176F03" w14:textId="77777777" w:rsidR="00695AE2" w:rsidRPr="003C5D14" w:rsidRDefault="00695AE2" w:rsidP="00695AE2">
      <w:pPr>
        <w:spacing w:line="240" w:lineRule="auto"/>
        <w:jc w:val="both"/>
        <w:rPr>
          <w:rFonts w:eastAsia="Calibri"/>
          <w:bCs/>
          <w:lang w:bidi="sl-SI"/>
        </w:rPr>
      </w:pPr>
    </w:p>
    <w:p w14:paraId="0A0AA447" w14:textId="77777777" w:rsidR="00695AE2" w:rsidRPr="003C5D14" w:rsidRDefault="00695AE2" w:rsidP="00695AE2">
      <w:pPr>
        <w:spacing w:line="240" w:lineRule="auto"/>
        <w:jc w:val="both"/>
        <w:rPr>
          <w:rFonts w:eastAsia="Calibri"/>
          <w:bCs/>
          <w:lang w:bidi="sl-SI"/>
        </w:rPr>
      </w:pPr>
      <w:r w:rsidRPr="003C5D14">
        <w:rPr>
          <w:rFonts w:eastAsia="Calibri"/>
          <w:bCs/>
          <w:lang w:bidi="sl-SI"/>
        </w:rPr>
        <w:t>Sodišče druge stopnje je v izpodbijanem sklepu zavzelo stališče, da ni naloga zapuščinskega sodišča, da išče premoženje in njegove pritikline, temveč le ugotavlja, katero premoženje sodi v zapuščino in kdo ga deduje oz</w:t>
      </w:r>
      <w:r>
        <w:rPr>
          <w:rFonts w:eastAsia="Calibri"/>
          <w:bCs/>
          <w:lang w:bidi="sl-SI"/>
        </w:rPr>
        <w:t>iroma</w:t>
      </w:r>
      <w:r w:rsidRPr="003C5D14">
        <w:rPr>
          <w:rFonts w:eastAsia="Calibri"/>
          <w:bCs/>
          <w:lang w:bidi="sl-SI"/>
        </w:rPr>
        <w:t xml:space="preserve"> prejme na kakšni drugi pravni podlagi. Ob tem je sodišče druge stopnje zavzelo tudi</w:t>
      </w:r>
      <w:r>
        <w:rPr>
          <w:rFonts w:eastAsia="Calibri"/>
          <w:bCs/>
          <w:lang w:bidi="sl-SI"/>
        </w:rPr>
        <w:t>,</w:t>
      </w:r>
      <w:r w:rsidRPr="003C5D14">
        <w:rPr>
          <w:rFonts w:eastAsia="Calibri"/>
          <w:bCs/>
          <w:lang w:bidi="sl-SI"/>
        </w:rPr>
        <w:t xml:space="preserve"> po oceni </w:t>
      </w:r>
      <w:r>
        <w:rPr>
          <w:rFonts w:eastAsia="Calibri"/>
          <w:bCs/>
          <w:lang w:bidi="sl-SI"/>
        </w:rPr>
        <w:t xml:space="preserve">Državnega odvetništva RS </w:t>
      </w:r>
      <w:r w:rsidRPr="003C5D14">
        <w:rPr>
          <w:rFonts w:eastAsia="Calibri"/>
          <w:bCs/>
          <w:lang w:bidi="sl-SI"/>
        </w:rPr>
        <w:t>materialnopravno napačno</w:t>
      </w:r>
      <w:r>
        <w:rPr>
          <w:rFonts w:eastAsia="Calibri"/>
          <w:bCs/>
          <w:lang w:bidi="sl-SI"/>
        </w:rPr>
        <w:t>,</w:t>
      </w:r>
      <w:r w:rsidRPr="003C5D14">
        <w:rPr>
          <w:rFonts w:eastAsia="Calibri"/>
          <w:bCs/>
          <w:lang w:bidi="sl-SI"/>
        </w:rPr>
        <w:t xml:space="preserve"> stališče, da je vlagateljica predloga kot prevzemnica premoženja tista, ki nosi breme nadaljnjega ugotavljanja dejanskega stanja glede lokacije in obstoja vozila. </w:t>
      </w:r>
    </w:p>
    <w:p w14:paraId="554CF7A2" w14:textId="77777777" w:rsidR="00695AE2" w:rsidRPr="003C5D14" w:rsidRDefault="00695AE2" w:rsidP="00695AE2">
      <w:pPr>
        <w:spacing w:line="240" w:lineRule="auto"/>
        <w:jc w:val="both"/>
        <w:rPr>
          <w:rFonts w:eastAsia="Calibri"/>
          <w:bCs/>
          <w:lang w:bidi="sl-SI"/>
        </w:rPr>
      </w:pPr>
    </w:p>
    <w:p w14:paraId="04C4D267" w14:textId="77777777" w:rsidR="00695AE2" w:rsidRPr="003C5D14" w:rsidRDefault="00695AE2" w:rsidP="00695AE2">
      <w:pPr>
        <w:spacing w:line="240" w:lineRule="auto"/>
        <w:jc w:val="both"/>
        <w:rPr>
          <w:rFonts w:eastAsia="Calibri"/>
          <w:bCs/>
          <w:lang w:bidi="sl-SI"/>
        </w:rPr>
      </w:pPr>
      <w:r w:rsidRPr="003C5D14">
        <w:rPr>
          <w:rFonts w:eastAsia="Calibri"/>
          <w:bCs/>
          <w:lang w:bidi="sl-SI"/>
        </w:rPr>
        <w:t xml:space="preserve">Vrhovno sodišče </w:t>
      </w:r>
      <w:r>
        <w:rPr>
          <w:rFonts w:eastAsia="Calibri"/>
          <w:bCs/>
          <w:lang w:bidi="sl-SI"/>
        </w:rPr>
        <w:t xml:space="preserve">RS </w:t>
      </w:r>
      <w:r w:rsidRPr="003C5D14">
        <w:rPr>
          <w:rFonts w:eastAsia="Calibri"/>
          <w:bCs/>
          <w:lang w:bidi="sl-SI"/>
        </w:rPr>
        <w:t>je revizijo dopustilo, in sicer glede vprašanja:</w:t>
      </w:r>
    </w:p>
    <w:p w14:paraId="0DC87703" w14:textId="77777777" w:rsidR="00695AE2" w:rsidRPr="003C5D14" w:rsidRDefault="00695AE2" w:rsidP="00695AE2">
      <w:pPr>
        <w:spacing w:line="240" w:lineRule="auto"/>
        <w:jc w:val="both"/>
        <w:rPr>
          <w:rFonts w:eastAsia="Calibri"/>
          <w:bCs/>
          <w:i/>
          <w:iCs/>
          <w:lang w:bidi="sl-SI"/>
        </w:rPr>
      </w:pPr>
      <w:r w:rsidRPr="003C5D14">
        <w:rPr>
          <w:rFonts w:eastAsia="Calibri"/>
          <w:bCs/>
          <w:i/>
          <w:iCs/>
          <w:lang w:bidi="sl-SI"/>
        </w:rPr>
        <w:t xml:space="preserve">»Ali je stališče sodišča druge (in prve) stopnje, da sodišču v zapuščinskem postopku ni treba ugotavljati obstoja in lokacije predmeta zapuščine brez dedičev in drugih okoliščin, ki omogočajo izročitev predmeta zapuščine brez dedičev Republiki Sloveniji, upoštevajoč določbi 9. in 219. člena Zakona o dedovanju, materialno pravno pravilno?« </w:t>
      </w:r>
    </w:p>
    <w:p w14:paraId="5E8A6D67" w14:textId="77777777" w:rsidR="00695AE2" w:rsidRPr="003C5D14" w:rsidRDefault="00695AE2" w:rsidP="00695AE2">
      <w:pPr>
        <w:spacing w:line="240" w:lineRule="auto"/>
        <w:jc w:val="both"/>
        <w:rPr>
          <w:rFonts w:eastAsia="Calibri"/>
          <w:bCs/>
          <w:lang w:bidi="sl-SI"/>
        </w:rPr>
      </w:pPr>
    </w:p>
    <w:p w14:paraId="7F93F4E9" w14:textId="77777777" w:rsidR="00695AE2" w:rsidRPr="003C5D14" w:rsidRDefault="00695AE2" w:rsidP="00695AE2">
      <w:pPr>
        <w:spacing w:line="240" w:lineRule="auto"/>
        <w:jc w:val="both"/>
        <w:rPr>
          <w:rFonts w:eastAsia="Calibri"/>
          <w:bCs/>
          <w:lang w:bidi="sl-SI"/>
        </w:rPr>
      </w:pPr>
      <w:r w:rsidRPr="003C5D14">
        <w:rPr>
          <w:rFonts w:eastAsia="Calibri"/>
          <w:bCs/>
          <w:lang w:bidi="sl-SI"/>
        </w:rPr>
        <w:t>Vrhovno sodišče RS je revizijo zavrnilo z utemeljitvijo, da ZD sodišču ne nalaga raziskovanja, kje in v kakšnem stanju je premično premoženje zapustnika. Ugotovitev višjega sodišča, da je bil sporni avtomobil na zapustničino ime registriran še v trenutku njene smrti, ob odsotnosti konkretiziranih navedb o njegovi odsvojitvi ali uničenju, po oceni Vrhovnega sodišča</w:t>
      </w:r>
      <w:r>
        <w:rPr>
          <w:rFonts w:eastAsia="Calibri"/>
          <w:bCs/>
          <w:lang w:bidi="sl-SI"/>
        </w:rPr>
        <w:t xml:space="preserve"> RS</w:t>
      </w:r>
      <w:r w:rsidRPr="003C5D14">
        <w:rPr>
          <w:rFonts w:eastAsia="Calibri"/>
          <w:bCs/>
          <w:lang w:bidi="sl-SI"/>
        </w:rPr>
        <w:t xml:space="preserve"> utemeljuje zaključek, da spada v zapuščino in je skupaj z ostalo zapuščino v trenutku zapustničine smrti prešel na državo. Tak zaključek je, tako sodišče, terjal izdajo deklaratornega sklepa, pri čemer okoliščina, kje je bilo vozilo v trenutku smrti oz</w:t>
      </w:r>
      <w:r>
        <w:rPr>
          <w:rFonts w:eastAsia="Calibri"/>
          <w:bCs/>
          <w:lang w:bidi="sl-SI"/>
        </w:rPr>
        <w:t>iroma</w:t>
      </w:r>
      <w:r w:rsidRPr="003C5D14">
        <w:rPr>
          <w:rFonts w:eastAsia="Calibri"/>
          <w:bCs/>
          <w:lang w:bidi="sl-SI"/>
        </w:rPr>
        <w:t xml:space="preserve">, kje je (bilo) kasneje, ne vpliva na njegovo pravilnost. </w:t>
      </w:r>
    </w:p>
    <w:p w14:paraId="6A278F72" w14:textId="77777777" w:rsidR="00695AE2" w:rsidRPr="003C5D14" w:rsidRDefault="00695AE2" w:rsidP="00695AE2">
      <w:pPr>
        <w:spacing w:line="240" w:lineRule="auto"/>
        <w:jc w:val="both"/>
        <w:rPr>
          <w:rFonts w:eastAsia="Calibri"/>
          <w:bCs/>
          <w:lang w:bidi="sl-SI"/>
        </w:rPr>
      </w:pPr>
    </w:p>
    <w:p w14:paraId="0AB6EB8C" w14:textId="77777777" w:rsidR="00695AE2" w:rsidRDefault="00695AE2" w:rsidP="00695AE2">
      <w:pPr>
        <w:spacing w:line="240" w:lineRule="auto"/>
        <w:jc w:val="both"/>
        <w:rPr>
          <w:rFonts w:eastAsia="Calibri"/>
          <w:bCs/>
          <w:lang w:bidi="sl-SI"/>
        </w:rPr>
      </w:pPr>
      <w:r w:rsidRPr="003C5D14">
        <w:rPr>
          <w:rFonts w:eastAsia="Calibri"/>
          <w:bCs/>
          <w:lang w:bidi="sl-SI"/>
        </w:rPr>
        <w:t>Odgovor na v reviziji zastavljeno (in dopuščeno) vprašanje je, da je s sklepom iz 219. člena ZD državi izročeno po vrsti in tipu stvari opredeljeno premično premoženje, ki je obstajalo ter je bilo zapustnikovo v času smrti, ne glede na to, kje se (je) nahaja(lo). Vrhovno sodišče</w:t>
      </w:r>
      <w:r>
        <w:rPr>
          <w:rFonts w:eastAsia="Calibri"/>
          <w:bCs/>
          <w:lang w:bidi="sl-SI"/>
        </w:rPr>
        <w:t xml:space="preserve"> RS</w:t>
      </w:r>
      <w:r w:rsidRPr="003C5D14">
        <w:rPr>
          <w:rFonts w:eastAsia="Calibri"/>
          <w:bCs/>
          <w:lang w:bidi="sl-SI"/>
        </w:rPr>
        <w:t xml:space="preserve"> je ob tem sklepno pripoznalo težave revidentke v zvezi s prevzemom v sklepu določenega premoženja, pri čemer je zaključilo, da zapuščinski postopek ni namenjen njihovemu reševanju.</w:t>
      </w:r>
    </w:p>
    <w:p w14:paraId="26771940" w14:textId="77777777" w:rsidR="00695AE2" w:rsidRDefault="00695AE2" w:rsidP="00695AE2">
      <w:pPr>
        <w:spacing w:line="240" w:lineRule="auto"/>
        <w:jc w:val="both"/>
        <w:rPr>
          <w:rFonts w:eastAsia="Calibri"/>
          <w:bCs/>
          <w:lang w:bidi="sl-SI"/>
        </w:rPr>
      </w:pPr>
    </w:p>
    <w:p w14:paraId="4210795A" w14:textId="77777777" w:rsidR="00695AE2" w:rsidRPr="003C5D14" w:rsidRDefault="00695AE2" w:rsidP="00695AE2">
      <w:pPr>
        <w:spacing w:line="240" w:lineRule="auto"/>
        <w:jc w:val="both"/>
        <w:rPr>
          <w:rFonts w:eastAsia="Calibri"/>
          <w:b/>
          <w:color w:val="007466"/>
        </w:rPr>
      </w:pPr>
      <w:r w:rsidRPr="003C5D14">
        <w:rPr>
          <w:rFonts w:eastAsia="Calibri"/>
          <w:b/>
          <w:color w:val="007466"/>
        </w:rPr>
        <w:t xml:space="preserve">Sklep Višjega sodišča v Ljubljani, opr. št. II Cp 1480/2024 z dne 10. 7. 2025 </w:t>
      </w:r>
      <w:r>
        <w:rPr>
          <w:rFonts w:eastAsia="Calibri"/>
          <w:b/>
          <w:color w:val="007466"/>
        </w:rPr>
        <w:t>(</w:t>
      </w:r>
      <w:r w:rsidRPr="003C5D14">
        <w:rPr>
          <w:rFonts w:eastAsia="Calibri"/>
          <w:b/>
          <w:color w:val="007466"/>
        </w:rPr>
        <w:t>omejitev dedovanja</w:t>
      </w:r>
      <w:r>
        <w:rPr>
          <w:rFonts w:eastAsia="Calibri"/>
          <w:b/>
          <w:color w:val="007466"/>
        </w:rPr>
        <w:t>)</w:t>
      </w:r>
    </w:p>
    <w:p w14:paraId="0D0C4804" w14:textId="77777777" w:rsidR="00695AE2" w:rsidRPr="003C5D14" w:rsidRDefault="00695AE2" w:rsidP="00695AE2">
      <w:pPr>
        <w:spacing w:line="240" w:lineRule="auto"/>
        <w:jc w:val="both"/>
        <w:rPr>
          <w:rFonts w:eastAsia="Calibri"/>
          <w:bCs/>
        </w:rPr>
      </w:pPr>
    </w:p>
    <w:p w14:paraId="2B337E85" w14:textId="77777777" w:rsidR="00695AE2" w:rsidRPr="003C5D14" w:rsidRDefault="00695AE2" w:rsidP="00695AE2">
      <w:pPr>
        <w:spacing w:line="240" w:lineRule="auto"/>
        <w:jc w:val="both"/>
        <w:rPr>
          <w:rFonts w:eastAsia="Calibri"/>
          <w:bCs/>
        </w:rPr>
      </w:pPr>
      <w:r w:rsidRPr="003C5D14">
        <w:rPr>
          <w:rFonts w:eastAsia="Calibri"/>
          <w:bCs/>
        </w:rPr>
        <w:t xml:space="preserve">V predmetni zadevi je </w:t>
      </w:r>
      <w:r>
        <w:rPr>
          <w:rFonts w:eastAsia="Calibri"/>
          <w:bCs/>
        </w:rPr>
        <w:t xml:space="preserve">sodišče prve stopnje </w:t>
      </w:r>
      <w:r w:rsidRPr="003C5D14">
        <w:rPr>
          <w:rFonts w:eastAsia="Calibri"/>
          <w:bCs/>
        </w:rPr>
        <w:t xml:space="preserve">sklenilo, da se zapuščinska obravnava ne opravi, ker pokojni ni zapustil premoženja, ob tem pa je predlog Republike Slovenije za omejitev dedovanja zavrnilo. Zoper navedeni sklep </w:t>
      </w:r>
      <w:r>
        <w:rPr>
          <w:rFonts w:eastAsia="Calibri"/>
          <w:bCs/>
        </w:rPr>
        <w:t xml:space="preserve">je Državno odvetništvo RS vložilo </w:t>
      </w:r>
      <w:r w:rsidRPr="003C5D14">
        <w:rPr>
          <w:rFonts w:eastAsia="Calibri"/>
          <w:bCs/>
        </w:rPr>
        <w:t>pritož</w:t>
      </w:r>
      <w:r>
        <w:rPr>
          <w:rFonts w:eastAsia="Calibri"/>
          <w:bCs/>
        </w:rPr>
        <w:t>bo</w:t>
      </w:r>
      <w:r w:rsidRPr="003C5D14">
        <w:rPr>
          <w:rFonts w:eastAsia="Calibri"/>
          <w:bCs/>
        </w:rPr>
        <w:t xml:space="preserve">, saj je </w:t>
      </w:r>
      <w:r w:rsidRPr="003C5D14">
        <w:rPr>
          <w:rFonts w:eastAsia="Calibri"/>
          <w:bCs/>
        </w:rPr>
        <w:lastRenderedPageBreak/>
        <w:t>sodišče s tem, ko je predlog omejitvene upnice zavrnilo iz razloga, ker pokojni ni zapustil premoženja, omejitveni upnici odvzelo možnost poplačila terjatve iz naslova omejitve dedovanja v primeru naknadno najdenega premoženja zapustnika. Ugotovitev o neobstoju zapuščine namreč lahko temelji le na podatkih, ki so bili sodišču znani ob izdaji sklepa, in kot taka, ob možnosti kasneje najdenega premoženja (kar ZD tudi izrecno predvideva in ureja pravila postopka za tovrstne primere) ni gotova, temveč se lahko še spremeni. Izpodbijana odločitev sodišča bi ob pravnomočnosti izpodbijanega sklepa (pri čemer je treb</w:t>
      </w:r>
      <w:r>
        <w:rPr>
          <w:rFonts w:eastAsia="Calibri"/>
          <w:bCs/>
        </w:rPr>
        <w:t>a</w:t>
      </w:r>
      <w:r w:rsidRPr="003C5D14">
        <w:rPr>
          <w:rFonts w:eastAsia="Calibri"/>
          <w:bCs/>
        </w:rPr>
        <w:t xml:space="preserve"> upoštevati, da pravnomočen postane zgolj izrek sklepa), upoštevaje načelo </w:t>
      </w:r>
      <w:r w:rsidRPr="003C5D14">
        <w:rPr>
          <w:rFonts w:eastAsia="Calibri"/>
          <w:bCs/>
          <w:i/>
          <w:iCs/>
        </w:rPr>
        <w:t xml:space="preserve">res iudicata </w:t>
      </w:r>
      <w:r w:rsidRPr="003C5D14">
        <w:rPr>
          <w:rFonts w:eastAsia="Calibri"/>
          <w:bCs/>
        </w:rPr>
        <w:t>v smislu določil 319. člena ZPP v povezavi s 163. členom ZD, kot tudi določil 220. člena in 221. člena ZD, dejansko lahko onemogoči</w:t>
      </w:r>
      <w:r>
        <w:rPr>
          <w:rFonts w:eastAsia="Calibri"/>
          <w:bCs/>
        </w:rPr>
        <w:t xml:space="preserve"> </w:t>
      </w:r>
      <w:r w:rsidRPr="003C5D14">
        <w:rPr>
          <w:rFonts w:eastAsia="Calibri"/>
          <w:bCs/>
        </w:rPr>
        <w:t>poplačilo terjatve omejitvene upnice v primeru naknadno najdenega premoženja zapustnika.</w:t>
      </w:r>
    </w:p>
    <w:p w14:paraId="71898F94" w14:textId="77777777" w:rsidR="00695AE2" w:rsidRPr="003C5D14" w:rsidRDefault="00695AE2" w:rsidP="00695AE2">
      <w:pPr>
        <w:spacing w:line="240" w:lineRule="auto"/>
        <w:jc w:val="both"/>
        <w:rPr>
          <w:rFonts w:eastAsia="Calibri"/>
          <w:bCs/>
        </w:rPr>
      </w:pPr>
    </w:p>
    <w:p w14:paraId="455603BF" w14:textId="77777777" w:rsidR="00695AE2" w:rsidRPr="003C5D14" w:rsidRDefault="00695AE2" w:rsidP="00695AE2">
      <w:pPr>
        <w:spacing w:line="240" w:lineRule="auto"/>
        <w:jc w:val="both"/>
        <w:rPr>
          <w:rFonts w:eastAsia="Calibri"/>
          <w:bCs/>
        </w:rPr>
      </w:pPr>
      <w:r>
        <w:rPr>
          <w:rFonts w:eastAsia="Calibri"/>
          <w:bCs/>
        </w:rPr>
        <w:t xml:space="preserve">Sodišče prve stopnje je nato </w:t>
      </w:r>
      <w:r w:rsidRPr="003C5D14">
        <w:rPr>
          <w:rFonts w:eastAsia="Calibri"/>
          <w:bCs/>
        </w:rPr>
        <w:t xml:space="preserve">s sklepom zgoraj </w:t>
      </w:r>
      <w:r>
        <w:rPr>
          <w:rFonts w:eastAsia="Calibri"/>
          <w:bCs/>
        </w:rPr>
        <w:t xml:space="preserve">omenjeni </w:t>
      </w:r>
      <w:r w:rsidRPr="003C5D14">
        <w:rPr>
          <w:rFonts w:eastAsia="Calibri"/>
          <w:bCs/>
        </w:rPr>
        <w:t>sklep spremenilo tako</w:t>
      </w:r>
      <w:r>
        <w:rPr>
          <w:rFonts w:eastAsia="Calibri"/>
          <w:bCs/>
        </w:rPr>
        <w:t>,</w:t>
      </w:r>
      <w:r w:rsidRPr="003C5D14">
        <w:rPr>
          <w:rFonts w:eastAsia="Calibri"/>
          <w:bCs/>
        </w:rPr>
        <w:t xml:space="preserve"> da je odločilo, da se predlogu Republike Slovenije za omejitev dedovanja ne ugodi. Razlog za navedeno odločitev je enak, kot v prvem sklepu, torej, da pokojni ni zapustil premoženja. Zoper navedeni sklep </w:t>
      </w:r>
      <w:r>
        <w:rPr>
          <w:rFonts w:eastAsia="Calibri"/>
          <w:bCs/>
        </w:rPr>
        <w:t xml:space="preserve">je Državno odvetništvo RS </w:t>
      </w:r>
      <w:r w:rsidRPr="003C5D14">
        <w:rPr>
          <w:rFonts w:eastAsia="Calibri"/>
          <w:bCs/>
        </w:rPr>
        <w:t xml:space="preserve">prav tako </w:t>
      </w:r>
      <w:r>
        <w:rPr>
          <w:rFonts w:eastAsia="Calibri"/>
          <w:bCs/>
        </w:rPr>
        <w:t xml:space="preserve">vložilo </w:t>
      </w:r>
      <w:r w:rsidRPr="003C5D14">
        <w:rPr>
          <w:rFonts w:eastAsia="Calibri"/>
          <w:bCs/>
        </w:rPr>
        <w:t>pritož</w:t>
      </w:r>
      <w:r>
        <w:rPr>
          <w:rFonts w:eastAsia="Calibri"/>
          <w:bCs/>
        </w:rPr>
        <w:t>bo</w:t>
      </w:r>
      <w:r w:rsidRPr="003C5D14">
        <w:rPr>
          <w:rFonts w:eastAsia="Calibri"/>
          <w:bCs/>
        </w:rPr>
        <w:t xml:space="preserve">, saj je odločitev, da se predlogu ne ugodi, vsebinsko enaka odločitvi, da se predlog zavrne. V pritožbi </w:t>
      </w:r>
      <w:r>
        <w:rPr>
          <w:rFonts w:eastAsia="Calibri"/>
          <w:bCs/>
        </w:rPr>
        <w:t>je bilo pojasnjeno,</w:t>
      </w:r>
      <w:r w:rsidRPr="003C5D14">
        <w:rPr>
          <w:rFonts w:eastAsia="Calibri"/>
          <w:bCs/>
        </w:rPr>
        <w:t xml:space="preserve"> da odločitev sodišča v obeh primerih nedopustno posega v pravico omejitvene upnice do poplačila njene terjatve v primeru naknadno najdenega premoženja. </w:t>
      </w:r>
    </w:p>
    <w:p w14:paraId="0FDA8E48" w14:textId="77777777" w:rsidR="00695AE2" w:rsidRPr="003C5D14" w:rsidRDefault="00695AE2" w:rsidP="00695AE2">
      <w:pPr>
        <w:spacing w:line="240" w:lineRule="auto"/>
        <w:jc w:val="both"/>
        <w:rPr>
          <w:rFonts w:eastAsia="Calibri"/>
          <w:bCs/>
        </w:rPr>
      </w:pPr>
    </w:p>
    <w:p w14:paraId="4E91161B" w14:textId="77777777" w:rsidR="00695AE2" w:rsidRPr="003C5D14" w:rsidRDefault="00695AE2" w:rsidP="00695AE2">
      <w:pPr>
        <w:spacing w:line="240" w:lineRule="auto"/>
        <w:jc w:val="both"/>
        <w:rPr>
          <w:rFonts w:eastAsia="Calibri"/>
          <w:bCs/>
          <w:lang w:bidi="sl-SI"/>
        </w:rPr>
      </w:pPr>
      <w:r>
        <w:rPr>
          <w:rFonts w:eastAsia="Calibri"/>
          <w:bCs/>
        </w:rPr>
        <w:t xml:space="preserve">Sodišče druge stopnje je </w:t>
      </w:r>
      <w:r w:rsidRPr="003C5D14">
        <w:rPr>
          <w:rFonts w:eastAsia="Calibri"/>
          <w:bCs/>
        </w:rPr>
        <w:t>stališču Republike Slovenije sledilo in navedena sklepa v izpodbijanem delu razveljavilo. Sodišče je ob tem pritrdilo stališču, da ni vsebinske razlike med tem, da se predlog za omejitev dedovanja zavrne ali pa da se mu ne ugodi. V obeh primerih gre namreč za meritorno odločitev in posledično utemeljeno bojazen pritožnice, da bi zaradi takšne odločitve (ki bi postala pravnomočna) ostala brez možnosti ponovne vsebinske obravnave njenega predloga v primeru kasneje najdenega premoženja zapustnika. Ob ugotovitvi, da pokojni ni zapustil premoženja, torej o predlogu omejitvene upnice, še ni možno (oz</w:t>
      </w:r>
      <w:r>
        <w:rPr>
          <w:rFonts w:eastAsia="Calibri"/>
          <w:bCs/>
        </w:rPr>
        <w:t>iroma</w:t>
      </w:r>
      <w:r w:rsidRPr="003C5D14">
        <w:rPr>
          <w:rFonts w:eastAsia="Calibri"/>
          <w:bCs/>
        </w:rPr>
        <w:t xml:space="preserve"> ni potrebno) vsebinsko odločiti.  </w:t>
      </w:r>
    </w:p>
    <w:p w14:paraId="2F09DB42" w14:textId="77777777" w:rsidR="00695AE2" w:rsidRDefault="00695AE2" w:rsidP="00695AE2">
      <w:pPr>
        <w:spacing w:line="240" w:lineRule="auto"/>
        <w:jc w:val="both"/>
        <w:rPr>
          <w:rFonts w:cstheme="minorHAnsi"/>
          <w:b/>
          <w:color w:val="007466"/>
        </w:rPr>
      </w:pPr>
    </w:p>
    <w:p w14:paraId="282D3776" w14:textId="77777777" w:rsidR="00695AE2" w:rsidRPr="009A0817" w:rsidRDefault="00695AE2" w:rsidP="00695AE2">
      <w:pPr>
        <w:spacing w:line="240" w:lineRule="auto"/>
        <w:jc w:val="both"/>
        <w:rPr>
          <w:rFonts w:eastAsia="Times New Roman" w:cstheme="minorHAnsi"/>
          <w:b/>
          <w:color w:val="007466"/>
          <w:lang w:eastAsia="sl-SI"/>
        </w:rPr>
      </w:pPr>
      <w:r w:rsidRPr="009A0817">
        <w:rPr>
          <w:rFonts w:cstheme="minorHAnsi"/>
          <w:b/>
          <w:color w:val="007466"/>
        </w:rPr>
        <w:t>Sklep Višjega sodišča v Ljubljani, opr. št. I Cp 1377/2025 z dne 10. 10. 2025 (zadeva zaradi plačila odškodnine za razlaščene nepremičnine)</w:t>
      </w:r>
    </w:p>
    <w:p w14:paraId="69B58474" w14:textId="77777777" w:rsidR="00695AE2" w:rsidRPr="00E314A2" w:rsidRDefault="00695AE2" w:rsidP="00695AE2">
      <w:pPr>
        <w:spacing w:line="240" w:lineRule="auto"/>
        <w:jc w:val="both"/>
        <w:rPr>
          <w:rFonts w:cstheme="minorHAnsi"/>
          <w:bCs/>
        </w:rPr>
      </w:pPr>
    </w:p>
    <w:p w14:paraId="73A74721" w14:textId="77777777" w:rsidR="00695AE2" w:rsidRPr="00E314A2" w:rsidRDefault="00695AE2" w:rsidP="00695AE2">
      <w:pPr>
        <w:spacing w:line="240" w:lineRule="auto"/>
        <w:jc w:val="both"/>
        <w:rPr>
          <w:rFonts w:cstheme="minorHAnsi"/>
          <w:bCs/>
        </w:rPr>
      </w:pPr>
      <w:r w:rsidRPr="00E314A2">
        <w:rPr>
          <w:rFonts w:cstheme="minorHAnsi"/>
          <w:bCs/>
        </w:rPr>
        <w:t>Upravna enota je s tremi odločbami v korist predlagateljice R</w:t>
      </w:r>
      <w:r>
        <w:rPr>
          <w:rFonts w:cstheme="minorHAnsi"/>
          <w:bCs/>
        </w:rPr>
        <w:t>epublike Slovenije</w:t>
      </w:r>
      <w:r w:rsidRPr="00E314A2">
        <w:rPr>
          <w:rFonts w:cstheme="minorHAnsi"/>
          <w:bCs/>
        </w:rPr>
        <w:t xml:space="preserve"> dovolila razlastitev nepremičnine, ki je bila v solasti nasprotnih udeležencev, vsakega do 1/3. Ker v okviru postopka razlastitve ni prišlo do sporazuma o odškodnini, je predlagateljica predlagala, da jo določi sodišče.  S sklepom je sodišče prve stopnje predlagateljici naložilo, da nasprotnim udeležencem za razlaščeno nepremičnino v roku 30 dni plača vsakemu 336,66 </w:t>
      </w:r>
      <w:r>
        <w:rPr>
          <w:rFonts w:cstheme="minorHAnsi"/>
          <w:bCs/>
        </w:rPr>
        <w:t>evrov</w:t>
      </w:r>
      <w:r w:rsidRPr="00E314A2">
        <w:rPr>
          <w:rFonts w:cstheme="minorHAnsi"/>
          <w:bCs/>
        </w:rPr>
        <w:t>, v primeru zamude z zakonskimi zamudnimi obrestmi. S sklepom je že izdani sklep dopolnilo tako, da je odločilo, da je predlagateljica poleg že določene odškodnine nasprotnim udeležencem dolžna plačati še zakonske zamudne obresti od 3. 1. 2020</w:t>
      </w:r>
      <w:r>
        <w:rPr>
          <w:rFonts w:cstheme="minorHAnsi"/>
          <w:bCs/>
        </w:rPr>
        <w:t>, v</w:t>
      </w:r>
      <w:r w:rsidRPr="00E314A2">
        <w:rPr>
          <w:rFonts w:cstheme="minorHAnsi"/>
          <w:bCs/>
        </w:rPr>
        <w:t xml:space="preserve"> preostalem </w:t>
      </w:r>
      <w:r>
        <w:rPr>
          <w:rFonts w:cstheme="minorHAnsi"/>
          <w:bCs/>
        </w:rPr>
        <w:t xml:space="preserve">delu pa </w:t>
      </w:r>
      <w:r w:rsidRPr="00E314A2">
        <w:rPr>
          <w:rFonts w:cstheme="minorHAnsi"/>
          <w:bCs/>
        </w:rPr>
        <w:t xml:space="preserve">je zahtevek nasprotnih udeležencev za plačilo obresti zavrnilo. </w:t>
      </w:r>
    </w:p>
    <w:p w14:paraId="7360B9E4" w14:textId="77777777" w:rsidR="00695AE2" w:rsidRDefault="00695AE2" w:rsidP="00695AE2">
      <w:pPr>
        <w:spacing w:line="240" w:lineRule="auto"/>
        <w:jc w:val="both"/>
        <w:rPr>
          <w:rFonts w:cstheme="minorHAnsi"/>
          <w:bCs/>
        </w:rPr>
      </w:pPr>
    </w:p>
    <w:p w14:paraId="60C8583C" w14:textId="77777777" w:rsidR="00695AE2" w:rsidRPr="00E314A2" w:rsidRDefault="00695AE2" w:rsidP="00695AE2">
      <w:pPr>
        <w:spacing w:line="240" w:lineRule="auto"/>
        <w:jc w:val="both"/>
        <w:rPr>
          <w:rFonts w:cstheme="minorHAnsi"/>
          <w:bCs/>
        </w:rPr>
      </w:pPr>
      <w:r w:rsidRPr="00E314A2">
        <w:rPr>
          <w:rFonts w:cstheme="minorHAnsi"/>
          <w:bCs/>
        </w:rPr>
        <w:t>Nasprotni udeleženci so zoper sklep vložili pritožbo.</w:t>
      </w:r>
      <w:r>
        <w:rPr>
          <w:rFonts w:cstheme="minorHAnsi"/>
          <w:bCs/>
        </w:rPr>
        <w:t xml:space="preserve"> Sodišče druge stopnje </w:t>
      </w:r>
      <w:r w:rsidRPr="00E314A2">
        <w:rPr>
          <w:rFonts w:cstheme="minorHAnsi"/>
          <w:bCs/>
        </w:rPr>
        <w:t xml:space="preserve">je delno ugodilo pritožbi </w:t>
      </w:r>
      <w:r>
        <w:rPr>
          <w:rFonts w:cstheme="minorHAnsi"/>
          <w:bCs/>
        </w:rPr>
        <w:t>nasprotnih udeležencev</w:t>
      </w:r>
      <w:r w:rsidRPr="00E314A2">
        <w:rPr>
          <w:rFonts w:cstheme="minorHAnsi"/>
          <w:bCs/>
        </w:rPr>
        <w:t xml:space="preserve"> in sklep sodišča prve stopnje spremenilo tako, da je vsakemu od </w:t>
      </w:r>
      <w:r>
        <w:rPr>
          <w:rFonts w:cstheme="minorHAnsi"/>
          <w:bCs/>
        </w:rPr>
        <w:t>njih</w:t>
      </w:r>
      <w:r w:rsidRPr="00E314A2">
        <w:rPr>
          <w:rFonts w:cstheme="minorHAnsi"/>
          <w:bCs/>
        </w:rPr>
        <w:t xml:space="preserve"> poleg zneska</w:t>
      </w:r>
      <w:r>
        <w:rPr>
          <w:rFonts w:cstheme="minorHAnsi"/>
          <w:bCs/>
        </w:rPr>
        <w:t>,</w:t>
      </w:r>
      <w:r w:rsidRPr="00E314A2">
        <w:rPr>
          <w:rFonts w:cstheme="minorHAnsi"/>
          <w:bCs/>
        </w:rPr>
        <w:t>  prisojenega s sklepom</w:t>
      </w:r>
      <w:r>
        <w:rPr>
          <w:rFonts w:cstheme="minorHAnsi"/>
          <w:bCs/>
        </w:rPr>
        <w:t xml:space="preserve"> sodišča prve stopnje</w:t>
      </w:r>
      <w:r w:rsidRPr="00E314A2">
        <w:rPr>
          <w:rFonts w:cstheme="minorHAnsi"/>
          <w:bCs/>
        </w:rPr>
        <w:t xml:space="preserve">, prisodilo še  </w:t>
      </w:r>
      <w:r>
        <w:rPr>
          <w:rFonts w:cstheme="minorHAnsi"/>
          <w:bCs/>
        </w:rPr>
        <w:t xml:space="preserve">dodatni </w:t>
      </w:r>
      <w:r w:rsidRPr="00E314A2">
        <w:rPr>
          <w:rFonts w:cstheme="minorHAnsi"/>
          <w:bCs/>
        </w:rPr>
        <w:t xml:space="preserve">znesek. Ta znesek predstavlja zamudne obresti od 1. 1. 2002 do 1. 1. 2002, ko so </w:t>
      </w:r>
      <w:r>
        <w:rPr>
          <w:rFonts w:cstheme="minorHAnsi"/>
          <w:bCs/>
        </w:rPr>
        <w:t xml:space="preserve">le-te </w:t>
      </w:r>
      <w:r w:rsidRPr="00E314A2">
        <w:rPr>
          <w:rFonts w:cstheme="minorHAnsi"/>
          <w:bCs/>
        </w:rPr>
        <w:t xml:space="preserve">prenehale teči. V preostalem delu je bil zahtevek za obresti zavrnjen. Ključni poudarki iz obrazložitve </w:t>
      </w:r>
      <w:r>
        <w:rPr>
          <w:rFonts w:cstheme="minorHAnsi"/>
          <w:bCs/>
        </w:rPr>
        <w:t xml:space="preserve">sodišča </w:t>
      </w:r>
      <w:r>
        <w:rPr>
          <w:rFonts w:cstheme="minorHAnsi"/>
          <w:bCs/>
        </w:rPr>
        <w:lastRenderedPageBreak/>
        <w:t xml:space="preserve">druge stopnje </w:t>
      </w:r>
      <w:r w:rsidRPr="00E314A2">
        <w:rPr>
          <w:rFonts w:cstheme="minorHAnsi"/>
          <w:bCs/>
        </w:rPr>
        <w:t xml:space="preserve">so sledeči: dejanska razlastitev je bila izvedena najkasneje 31. 12. 1993, čeprav je bila formalna razlastitev izvedena šele leta 2018; zamudne obresti so priznane za obdobje od 1. 1. 1994 do 1. 1. 2002, saj je bila predlagateljica v zamudi z izplačilom odškodnine; po 1. 1. 2002 so obresti po zakonu prenehale teči (načelo </w:t>
      </w:r>
      <w:r w:rsidRPr="00E314A2">
        <w:rPr>
          <w:rFonts w:cstheme="minorHAnsi"/>
          <w:bCs/>
          <w:i/>
          <w:iCs/>
        </w:rPr>
        <w:t>ne ultra alterum tantum</w:t>
      </w:r>
      <w:r w:rsidRPr="00E314A2">
        <w:rPr>
          <w:rFonts w:cstheme="minorHAnsi"/>
          <w:bCs/>
        </w:rPr>
        <w:t>, 376. člen OZ, odločba U</w:t>
      </w:r>
      <w:r>
        <w:rPr>
          <w:rFonts w:cstheme="minorHAnsi"/>
          <w:bCs/>
        </w:rPr>
        <w:t>stavnega sodišča, št.</w:t>
      </w:r>
      <w:r w:rsidRPr="00E314A2">
        <w:rPr>
          <w:rFonts w:cstheme="minorHAnsi"/>
          <w:bCs/>
        </w:rPr>
        <w:t xml:space="preserve"> RS U-I-300/04); zamudne obresti pred letom 1994 niso priznane, ker ni bilo dokazano, da je bila razlastitev izvedena pred 31. 12. 1993; zamudne obresti po letu 2002 niso priznane, ker so že presegle glavnico in po zakonu zaradi prepovedi pravila </w:t>
      </w:r>
      <w:r w:rsidRPr="00E314A2">
        <w:rPr>
          <w:rFonts w:cstheme="minorHAnsi"/>
          <w:bCs/>
          <w:i/>
          <w:iCs/>
        </w:rPr>
        <w:t>ultra alterum tantum</w:t>
      </w:r>
      <w:r w:rsidRPr="00E314A2">
        <w:rPr>
          <w:rFonts w:cstheme="minorHAnsi"/>
          <w:bCs/>
        </w:rPr>
        <w:t xml:space="preserve"> ne morejo več teči; ugovor zastaranja predlagateljice je bil zavrnjen kot neutemeljen </w:t>
      </w:r>
      <w:r>
        <w:rPr>
          <w:rFonts w:cstheme="minorHAnsi"/>
          <w:bCs/>
        </w:rPr>
        <w:t>–</w:t>
      </w:r>
      <w:r w:rsidRPr="00E314A2">
        <w:rPr>
          <w:rFonts w:cstheme="minorHAnsi"/>
          <w:bCs/>
        </w:rPr>
        <w:t xml:space="preserve"> zastaranje je začelo teči šele 13. 9. 2019, zahtevek pa je bil vložen pravočasno (10. 6. 2022).</w:t>
      </w:r>
    </w:p>
    <w:p w14:paraId="00EDF21B" w14:textId="77777777" w:rsidR="00695AE2" w:rsidRDefault="00695AE2" w:rsidP="00695AE2">
      <w:pPr>
        <w:spacing w:line="240" w:lineRule="auto"/>
        <w:jc w:val="both"/>
        <w:rPr>
          <w:rFonts w:cstheme="minorHAnsi"/>
          <w:bCs/>
        </w:rPr>
      </w:pPr>
    </w:p>
    <w:p w14:paraId="436DB666" w14:textId="77777777" w:rsidR="00695AE2" w:rsidRPr="00E314A2" w:rsidRDefault="00695AE2" w:rsidP="00695AE2">
      <w:pPr>
        <w:spacing w:line="240" w:lineRule="auto"/>
        <w:jc w:val="both"/>
        <w:rPr>
          <w:rFonts w:cstheme="minorHAnsi"/>
          <w:bCs/>
        </w:rPr>
      </w:pPr>
      <w:r w:rsidRPr="00E314A2">
        <w:rPr>
          <w:rFonts w:cstheme="minorHAnsi"/>
          <w:bCs/>
        </w:rPr>
        <w:t xml:space="preserve">Sodišče je v konkretnem primeru zavrnilo uporabo </w:t>
      </w:r>
      <w:r>
        <w:rPr>
          <w:rFonts w:cstheme="minorHAnsi"/>
          <w:bCs/>
        </w:rPr>
        <w:t>osmega</w:t>
      </w:r>
      <w:r w:rsidRPr="00E314A2">
        <w:rPr>
          <w:rFonts w:cstheme="minorHAnsi"/>
          <w:bCs/>
        </w:rPr>
        <w:t xml:space="preserve"> odst</w:t>
      </w:r>
      <w:r>
        <w:rPr>
          <w:rFonts w:cstheme="minorHAnsi"/>
          <w:bCs/>
        </w:rPr>
        <w:t>avka</w:t>
      </w:r>
      <w:r w:rsidRPr="00E314A2">
        <w:rPr>
          <w:rFonts w:cstheme="minorHAnsi"/>
          <w:bCs/>
        </w:rPr>
        <w:t xml:space="preserve"> 109. čl</w:t>
      </w:r>
      <w:r>
        <w:rPr>
          <w:rFonts w:cstheme="minorHAnsi"/>
          <w:bCs/>
        </w:rPr>
        <w:t>ena</w:t>
      </w:r>
      <w:r w:rsidRPr="00E314A2">
        <w:rPr>
          <w:rFonts w:cstheme="minorHAnsi"/>
          <w:bCs/>
        </w:rPr>
        <w:t xml:space="preserve"> ZUreP-3, saj se ta nanaša na zakonite dejanske razlastitve, medtem ko je v obravnavanem primeru šlo za protipravno dejansko razlastitev, kar zahteva strožjo presojo in polno odškodnino z obrestmi.</w:t>
      </w:r>
      <w:r w:rsidRPr="009A0817">
        <w:rPr>
          <w:rFonts w:cstheme="minorHAnsi"/>
          <w:bCs/>
        </w:rPr>
        <w:t xml:space="preserve"> </w:t>
      </w:r>
      <w:r w:rsidRPr="00E314A2">
        <w:rPr>
          <w:rFonts w:cstheme="minorHAnsi"/>
          <w:bCs/>
        </w:rPr>
        <w:t xml:space="preserve">Določilo osmega in devetega odstavka 109. člena ZUreP-3 v zvezi z drugim odstavkom 216. člena ZUreP-3 se za dejanske razlastitve, ki so protipravne, ne uporablja niti smiselno. </w:t>
      </w:r>
    </w:p>
    <w:p w14:paraId="62FB308F" w14:textId="77777777" w:rsidR="00695AE2" w:rsidRPr="000F6D5D" w:rsidRDefault="00695AE2" w:rsidP="00695AE2">
      <w:pPr>
        <w:pStyle w:val="Jasna"/>
        <w:rPr>
          <w:sz w:val="32"/>
          <w:szCs w:val="32"/>
          <w:lang w:eastAsia="sl-SI"/>
        </w:rPr>
      </w:pPr>
    </w:p>
    <w:p w14:paraId="5982CA85" w14:textId="77777777" w:rsidR="00695AE2" w:rsidRPr="000F6D5D" w:rsidRDefault="00695AE2" w:rsidP="00695AE2">
      <w:pPr>
        <w:pStyle w:val="Naslov2"/>
      </w:pPr>
      <w:bookmarkStart w:id="1163" w:name="_Toc223094116"/>
      <w:r w:rsidRPr="000F6D5D">
        <w:t>Razlastitveni postopki</w:t>
      </w:r>
      <w:bookmarkEnd w:id="1163"/>
      <w:r w:rsidRPr="000F6D5D">
        <w:t xml:space="preserve"> </w:t>
      </w:r>
    </w:p>
    <w:p w14:paraId="09A031BA" w14:textId="77777777" w:rsidR="00695AE2" w:rsidRPr="000F6D5D" w:rsidRDefault="00695AE2" w:rsidP="00695AE2">
      <w:pPr>
        <w:rPr>
          <w:sz w:val="32"/>
          <w:szCs w:val="32"/>
          <w:lang w:eastAsia="sl-SI"/>
        </w:rPr>
      </w:pPr>
    </w:p>
    <w:p w14:paraId="61A06524" w14:textId="77777777" w:rsidR="00695AE2" w:rsidRDefault="00695AE2" w:rsidP="00695AE2">
      <w:pPr>
        <w:spacing w:line="240" w:lineRule="auto"/>
        <w:jc w:val="both"/>
        <w:rPr>
          <w:rFonts w:eastAsia="Times New Roman"/>
          <w:b/>
          <w:color w:val="007466"/>
          <w:lang w:eastAsia="sl-SI"/>
        </w:rPr>
      </w:pPr>
      <w:r>
        <w:rPr>
          <w:rFonts w:eastAsia="Times New Roman"/>
          <w:b/>
          <w:color w:val="007466"/>
          <w:lang w:eastAsia="sl-SI"/>
        </w:rPr>
        <w:t xml:space="preserve">Sodba </w:t>
      </w:r>
      <w:r w:rsidRPr="00C37E2D">
        <w:rPr>
          <w:rFonts w:eastAsia="Times New Roman"/>
          <w:b/>
          <w:color w:val="007466"/>
          <w:lang w:eastAsia="sl-SI"/>
        </w:rPr>
        <w:t>Upravnega sodišča, opr.</w:t>
      </w:r>
      <w:r>
        <w:rPr>
          <w:rFonts w:eastAsia="Times New Roman"/>
          <w:b/>
          <w:color w:val="007466"/>
          <w:lang w:eastAsia="sl-SI"/>
        </w:rPr>
        <w:t xml:space="preserve"> </w:t>
      </w:r>
      <w:r w:rsidRPr="00C37E2D">
        <w:rPr>
          <w:rFonts w:eastAsia="Times New Roman"/>
          <w:b/>
          <w:color w:val="007466"/>
          <w:lang w:eastAsia="sl-SI"/>
        </w:rPr>
        <w:t>št I U 1570/2024 v povezavi s sodbo Vrhovnega sodišča RS, opr. št. I Up 269/2024 z dne 11. 12. 2024 (zaradi omejitve lastninske pravice</w:t>
      </w:r>
      <w:r>
        <w:rPr>
          <w:rFonts w:eastAsia="Times New Roman"/>
          <w:b/>
          <w:color w:val="007466"/>
          <w:lang w:eastAsia="sl-SI"/>
        </w:rPr>
        <w:t>)</w:t>
      </w:r>
    </w:p>
    <w:p w14:paraId="6154F53C" w14:textId="77777777" w:rsidR="00695AE2" w:rsidRDefault="00695AE2" w:rsidP="00695AE2">
      <w:pPr>
        <w:spacing w:line="240" w:lineRule="auto"/>
        <w:jc w:val="both"/>
        <w:rPr>
          <w:rFonts w:eastAsia="Times New Roman"/>
          <w:b/>
          <w:color w:val="007466"/>
          <w:lang w:eastAsia="sl-SI"/>
        </w:rPr>
      </w:pPr>
    </w:p>
    <w:p w14:paraId="1350F2DD" w14:textId="77777777" w:rsidR="00695AE2" w:rsidRPr="00C37E2D" w:rsidRDefault="00695AE2" w:rsidP="00695AE2">
      <w:pPr>
        <w:spacing w:line="240" w:lineRule="auto"/>
        <w:jc w:val="both"/>
        <w:rPr>
          <w:rFonts w:eastAsia="Times New Roman"/>
          <w:bCs/>
          <w:lang w:eastAsia="ar-SA"/>
        </w:rPr>
      </w:pPr>
      <w:r w:rsidRPr="00C37E2D">
        <w:rPr>
          <w:rFonts w:eastAsia="Times New Roman"/>
          <w:bCs/>
          <w:lang w:eastAsia="ar-SA"/>
        </w:rPr>
        <w:t xml:space="preserve">Zadeva R.J. zoper Republiko Slovenijo je sicer zadeva, prejeta v letu 2024, vendar je izredno pomembna, saj se je v tej zadevi spremenila dosedanja sodna praksa. </w:t>
      </w:r>
    </w:p>
    <w:p w14:paraId="2381C9A0" w14:textId="77777777" w:rsidR="00695AE2" w:rsidRPr="00C37E2D" w:rsidRDefault="00695AE2" w:rsidP="00695AE2">
      <w:pPr>
        <w:spacing w:line="240" w:lineRule="auto"/>
        <w:jc w:val="both"/>
        <w:rPr>
          <w:rFonts w:eastAsia="Times New Roman"/>
          <w:bCs/>
          <w:lang w:eastAsia="ar-SA"/>
        </w:rPr>
      </w:pPr>
    </w:p>
    <w:p w14:paraId="4520C196" w14:textId="77777777" w:rsidR="00695AE2" w:rsidRPr="00C37E2D" w:rsidRDefault="00695AE2" w:rsidP="00695AE2">
      <w:pPr>
        <w:spacing w:line="240" w:lineRule="auto"/>
        <w:jc w:val="both"/>
        <w:rPr>
          <w:rFonts w:eastAsia="Times New Roman"/>
          <w:bCs/>
          <w:lang w:eastAsia="ar-SA"/>
        </w:rPr>
      </w:pPr>
      <w:r w:rsidRPr="00C37E2D">
        <w:rPr>
          <w:rFonts w:eastAsia="Times New Roman"/>
          <w:bCs/>
          <w:lang w:eastAsia="ar-SA"/>
        </w:rPr>
        <w:t xml:space="preserve">V predmetni zadevi je tožnik vložil tožbo zoper sklep o uvedbi postopka omejitve lastninske pravice, ki ga je izdala Upravna enota v Ljubljani. Upravno sodišče je s sklepom tožbo in predlog za začasno odredbo zavrglo, iz razloga, da ne gre za akt, ki je izpodbojen skladno z določbami ZUS-1. Upravno sodišče je pojasnilo, da izpodbijani sklep temelji na prvem odstavku 210. člena ZUreP-3, ki veže uvedbo postopka in izdajo sklepa le na popolnost zahteve upravičenca. To pomeni, da organ po prejemu zahteve ne ugotavlja njene materialnopravne oziroma vsebinske utemeljenosti, ampak samo preveri, če ima vse zakonsko zahtevane formalne sestavine. Nadalje Upravno sodišče pojasni, da z izpodbijanim sklepom ni vsebinsko </w:t>
      </w:r>
      <w:r w:rsidRPr="00C37E2D">
        <w:rPr>
          <w:rFonts w:eastAsia="Calibri"/>
          <w:bCs/>
        </w:rPr>
        <w:t xml:space="preserve">odločeno o materialnopravno določeni pravici, obveznosti, pravni koristi in je šele podlaga razlastitvenemu postopku, v katerem je mogoče uveljavljati tudi ugovore glede izkazane javne koristi in zakonitosti sklepa vlade o ugotovitvi javne koristi. Nadalje upravni organ ni odločil o pravici, obveznosti ali pravni koristi tožnika tudi v delu omejitve prometa z nepremičninami, temveč je zgolj naznanil zakonsko posledico iz četrtega odstavka 210. člena ZUReP-3, ki bi nastopila tudi v primeru, če je izpodbijani sklep ne bi vseboval. Glede na navedeno izpodbijani sklep nima pravne narave sklepa iz 5. člena ZUS-1, ne narave upravnega akta iz 2. člena ZUS-1. </w:t>
      </w:r>
    </w:p>
    <w:p w14:paraId="14AF75C1" w14:textId="77777777" w:rsidR="00695AE2" w:rsidRPr="00C37E2D" w:rsidRDefault="00695AE2" w:rsidP="00695AE2">
      <w:pPr>
        <w:spacing w:line="240" w:lineRule="auto"/>
        <w:jc w:val="both"/>
        <w:rPr>
          <w:rFonts w:eastAsia="Calibri"/>
          <w:bCs/>
        </w:rPr>
      </w:pPr>
    </w:p>
    <w:p w14:paraId="2A4533EC" w14:textId="77777777" w:rsidR="00695AE2" w:rsidRPr="00C37E2D" w:rsidRDefault="00695AE2" w:rsidP="00695AE2">
      <w:pPr>
        <w:spacing w:line="240" w:lineRule="auto"/>
        <w:jc w:val="both"/>
        <w:rPr>
          <w:rFonts w:eastAsia="Calibri"/>
          <w:bCs/>
        </w:rPr>
      </w:pPr>
      <w:r w:rsidRPr="00C37E2D">
        <w:rPr>
          <w:rFonts w:eastAsia="Calibri"/>
          <w:bCs/>
        </w:rPr>
        <w:t xml:space="preserve">Zoper sklep Upravnega sodišča </w:t>
      </w:r>
      <w:r w:rsidRPr="00C37E2D">
        <w:rPr>
          <w:rFonts w:eastAsia="Times New Roman"/>
          <w:bCs/>
          <w:lang w:eastAsia="ar-SA"/>
        </w:rPr>
        <w:t xml:space="preserve">je tožnik R.J. </w:t>
      </w:r>
      <w:r w:rsidRPr="00C37E2D">
        <w:rPr>
          <w:rFonts w:eastAsia="Calibri"/>
          <w:bCs/>
        </w:rPr>
        <w:t xml:space="preserve">vložil pritožbo, ki ji je Vrhovno sodišče RS s sklepom, opr. št. I Up 269/2024 z dne 11. 12. 2024 ugodilo. Vrhovno sodišče RS je izrecno zapisalo, da odstopa od dotedanje prakse (I Up 199/2017) in presodilo, da sklep o uvedbi postopka predstavlja akt iz 2. člena ZUS-1, saj le-ta posega v pravni položaj lastnikov </w:t>
      </w:r>
      <w:r w:rsidRPr="00C37E2D">
        <w:rPr>
          <w:rFonts w:eastAsia="Calibri"/>
          <w:bCs/>
        </w:rPr>
        <w:lastRenderedPageBreak/>
        <w:t xml:space="preserve">nepremičnin (prepoved razpolaganja) in posledično nima zgolj procesne narave. Glede na navedeno je sodišče zadevo vrnilo v nov postopek in prvostopenjskemu sodišču naložilo, da opravi preizkus še drugih procesnih predpostavk. </w:t>
      </w:r>
    </w:p>
    <w:p w14:paraId="3BE5B129" w14:textId="77777777" w:rsidR="00695AE2" w:rsidRPr="00C37E2D" w:rsidRDefault="00695AE2" w:rsidP="00695AE2">
      <w:pPr>
        <w:spacing w:line="240" w:lineRule="auto"/>
        <w:jc w:val="both"/>
        <w:rPr>
          <w:rFonts w:eastAsia="Calibri"/>
          <w:bCs/>
        </w:rPr>
      </w:pPr>
    </w:p>
    <w:p w14:paraId="75CA5638" w14:textId="77777777" w:rsidR="00695AE2" w:rsidRPr="00C37E2D" w:rsidRDefault="00695AE2" w:rsidP="00695AE2">
      <w:pPr>
        <w:spacing w:line="240" w:lineRule="auto"/>
        <w:jc w:val="both"/>
        <w:rPr>
          <w:rFonts w:eastAsia="Calibri"/>
          <w:bCs/>
        </w:rPr>
      </w:pPr>
      <w:r w:rsidRPr="00C37E2D">
        <w:rPr>
          <w:rFonts w:eastAsia="Calibri"/>
          <w:bCs/>
        </w:rPr>
        <w:t xml:space="preserve">Republika Slovenija je zoper sodbo </w:t>
      </w:r>
      <w:r w:rsidRPr="00C37E2D">
        <w:rPr>
          <w:rFonts w:eastAsia="Times New Roman"/>
          <w:bCs/>
          <w:lang w:eastAsia="sl-SI"/>
        </w:rPr>
        <w:t xml:space="preserve">in sklep Upravnega sodišča, opr. št. I U 2186/2024 v letu 2025 </w:t>
      </w:r>
      <w:r w:rsidRPr="00C37E2D">
        <w:rPr>
          <w:rFonts w:eastAsia="Calibri"/>
          <w:bCs/>
        </w:rPr>
        <w:t>vložila predlog za dopustitev revizije, kateremu je bilo ugodeno glede enega revizijskega vprašanja in sicer:</w:t>
      </w:r>
    </w:p>
    <w:p w14:paraId="6E5AAADC" w14:textId="77777777" w:rsidR="00695AE2" w:rsidRPr="00C37E2D" w:rsidRDefault="00695AE2" w:rsidP="00695AE2">
      <w:pPr>
        <w:spacing w:line="240" w:lineRule="auto"/>
        <w:jc w:val="both"/>
        <w:rPr>
          <w:rFonts w:eastAsia="Calibri"/>
          <w:bCs/>
          <w:i/>
          <w:iCs/>
        </w:rPr>
      </w:pPr>
      <w:r w:rsidRPr="00C37E2D">
        <w:rPr>
          <w:rFonts w:eastAsia="Calibri"/>
          <w:bCs/>
          <w:i/>
          <w:iCs/>
        </w:rPr>
        <w:t>»Ali je Upravno sodišče pravilno uporabilo 37. člen ZUS- 1 s tem, ko je štelo, da ima sklep o uvedbi postopka takšne pomanjkljivosti, da ga ni mogoče preizkusiti, čeprav vsebuje navedbo zahteve s prilogami, izrek, obrazložitev (z navedbo dejanskega stanja), zakonske pogoje za uvedbo postopka po ZUreP-3 ter ugotovitev, da je zahteva popolna, in je s takim postopanjem stranko z interesom prikrajšalo/onemogočilo za pravico do izjave iz 22. člena Ustave RS ter jamstva iz prvega odstavka 23. člena Ustave RS, še posebej upoštevaje določbe členov 209., 210., 220. in 221. ZUreP-3, ki ne predpisujejo kontradiktornega oziroma posebnega ugotovitvenega postopka pred izdajo sklepa o uvedbi postopka?«</w:t>
      </w:r>
    </w:p>
    <w:p w14:paraId="2759B854" w14:textId="77777777" w:rsidR="00695AE2" w:rsidRPr="00C37E2D" w:rsidRDefault="00695AE2" w:rsidP="00695AE2">
      <w:pPr>
        <w:spacing w:line="240" w:lineRule="auto"/>
        <w:jc w:val="both"/>
        <w:rPr>
          <w:rFonts w:eastAsia="Calibri"/>
          <w:bCs/>
        </w:rPr>
      </w:pPr>
    </w:p>
    <w:p w14:paraId="3801327A" w14:textId="77777777" w:rsidR="00695AE2" w:rsidRPr="00C37E2D" w:rsidRDefault="00695AE2" w:rsidP="00695AE2">
      <w:pPr>
        <w:spacing w:line="240" w:lineRule="auto"/>
        <w:jc w:val="both"/>
        <w:rPr>
          <w:rFonts w:eastAsia="Calibri"/>
          <w:bCs/>
        </w:rPr>
      </w:pPr>
      <w:r w:rsidRPr="00C37E2D">
        <w:rPr>
          <w:rFonts w:eastAsia="Calibri"/>
          <w:bCs/>
        </w:rPr>
        <w:t>V reviziji je Državno odvetništvo RS poudarilo, da upravna enota oziroma tožena stranka ni odločila o pravici, obveznosti ali pravni koristi tožnika, temveč je zgolj prepisala/naznanila zakonsko posledico iz četrtega odstavka 210. člena ZUreP-3, ki bi nastopila tudi v primeru, če izpodbijani sklep 2. točke izreka sploh ne bi vseboval. Upravičencu v zahtevi tovrstne omejitve namreč sploh ni potrebno predlagati, pa ta kljub temu nastane. O posledicah iz četrtega odstavka 210. člena ZUreP-3 se torej sploh ne odloča. Odločitev tožene stranke, ki je bistvo odpravljenega sklepa, tako v celoti temelji na določbi prvega odstavka 210. člena ZUreP-3, ki pa po že opisanem stališču Vrhovnega sodišča RS, kot izhaja iz zadeve I Up 199/2017, predstavlja pravno podlago za sklep, ki nima ne narave sklepa iz 5. člena ZUS-1 ne narave upravnega akta iz 2. člena ZUS-1 in to ne glede na posledice, ki jih prinese.</w:t>
      </w:r>
    </w:p>
    <w:p w14:paraId="20FA427F" w14:textId="77777777" w:rsidR="00695AE2" w:rsidRPr="00C37E2D" w:rsidRDefault="00695AE2" w:rsidP="00695AE2">
      <w:pPr>
        <w:spacing w:line="240" w:lineRule="auto"/>
        <w:jc w:val="both"/>
        <w:rPr>
          <w:rFonts w:eastAsia="Calibri"/>
          <w:bCs/>
        </w:rPr>
      </w:pPr>
    </w:p>
    <w:p w14:paraId="3BD5C340" w14:textId="77777777" w:rsidR="00695AE2" w:rsidRPr="00C37E2D" w:rsidRDefault="00695AE2" w:rsidP="00695AE2">
      <w:pPr>
        <w:spacing w:line="240" w:lineRule="auto"/>
        <w:jc w:val="both"/>
        <w:rPr>
          <w:rFonts w:eastAsia="Calibri"/>
          <w:bCs/>
        </w:rPr>
      </w:pPr>
      <w:r w:rsidRPr="00C37E2D">
        <w:rPr>
          <w:rFonts w:eastAsia="Calibri"/>
          <w:bCs/>
        </w:rPr>
        <w:t xml:space="preserve">V času priprave tega poročila o delu Vrhovno sodišče RS o reviziji še ni odločilo. </w:t>
      </w:r>
    </w:p>
    <w:p w14:paraId="12B0422C" w14:textId="77777777" w:rsidR="00695AE2" w:rsidRPr="000F6D5D" w:rsidRDefault="00695AE2" w:rsidP="00695AE2">
      <w:pPr>
        <w:pStyle w:val="Jasna"/>
        <w:rPr>
          <w:sz w:val="32"/>
          <w:szCs w:val="32"/>
          <w:lang w:eastAsia="sl-SI"/>
        </w:rPr>
      </w:pPr>
    </w:p>
    <w:p w14:paraId="0EE7563F" w14:textId="77777777" w:rsidR="00695AE2" w:rsidRPr="00212987" w:rsidRDefault="00695AE2" w:rsidP="00695AE2">
      <w:pPr>
        <w:pStyle w:val="Naslov2"/>
      </w:pPr>
      <w:bookmarkStart w:id="1164" w:name="_Toc223094117"/>
      <w:r w:rsidRPr="00212987">
        <w:t>Upravne zadeve</w:t>
      </w:r>
      <w:bookmarkEnd w:id="1164"/>
      <w:r w:rsidRPr="00212987">
        <w:t xml:space="preserve"> </w:t>
      </w:r>
    </w:p>
    <w:p w14:paraId="5BE47492" w14:textId="77777777" w:rsidR="00695AE2" w:rsidRPr="00212987" w:rsidRDefault="00695AE2" w:rsidP="00695AE2">
      <w:pPr>
        <w:pStyle w:val="Jasna"/>
        <w:rPr>
          <w:sz w:val="32"/>
          <w:szCs w:val="32"/>
          <w:lang w:eastAsia="sl-SI"/>
        </w:rPr>
      </w:pPr>
    </w:p>
    <w:p w14:paraId="6658DC07" w14:textId="77777777" w:rsidR="00695AE2" w:rsidRPr="00212987" w:rsidRDefault="00695AE2" w:rsidP="00695AE2">
      <w:pPr>
        <w:pStyle w:val="Naslov3"/>
        <w:rPr>
          <w:lang w:eastAsia="sl-SI"/>
        </w:rPr>
      </w:pPr>
      <w:bookmarkStart w:id="1165" w:name="_Toc223094118"/>
      <w:r w:rsidRPr="00212987">
        <w:rPr>
          <w:lang w:eastAsia="sl-SI"/>
        </w:rPr>
        <w:t>Upravni spori s področja varstva človekovih pravic (Covid 19)</w:t>
      </w:r>
      <w:bookmarkEnd w:id="1165"/>
      <w:r w:rsidRPr="00212987">
        <w:rPr>
          <w:lang w:eastAsia="sl-SI"/>
        </w:rPr>
        <w:t xml:space="preserve"> </w:t>
      </w:r>
    </w:p>
    <w:p w14:paraId="79FDF452" w14:textId="77777777" w:rsidR="00695AE2" w:rsidRPr="00212987" w:rsidRDefault="00695AE2" w:rsidP="00695AE2">
      <w:pPr>
        <w:pStyle w:val="Jasna"/>
        <w:rPr>
          <w:sz w:val="28"/>
          <w:szCs w:val="28"/>
          <w:lang w:eastAsia="sl-SI"/>
        </w:rPr>
      </w:pPr>
    </w:p>
    <w:p w14:paraId="1E92F0B1" w14:textId="77777777" w:rsidR="00695AE2" w:rsidRDefault="00695AE2" w:rsidP="00695AE2">
      <w:pPr>
        <w:spacing w:line="240" w:lineRule="auto"/>
        <w:jc w:val="both"/>
        <w:rPr>
          <w:rFonts w:eastAsia="Times New Roman"/>
          <w:b/>
          <w:iCs/>
          <w:color w:val="007466"/>
          <w:lang w:eastAsia="sl-SI"/>
        </w:rPr>
      </w:pPr>
      <w:r>
        <w:rPr>
          <w:rFonts w:eastAsia="Times New Roman"/>
          <w:b/>
          <w:iCs/>
          <w:color w:val="007466"/>
          <w:lang w:eastAsia="sl-SI"/>
        </w:rPr>
        <w:t xml:space="preserve">Sodba </w:t>
      </w:r>
      <w:r w:rsidRPr="00714219">
        <w:rPr>
          <w:rFonts w:eastAsia="Times New Roman"/>
          <w:b/>
          <w:iCs/>
          <w:color w:val="007466"/>
          <w:lang w:eastAsia="sl-SI"/>
        </w:rPr>
        <w:t>Vrhovnega sodišča RS, opr.</w:t>
      </w:r>
      <w:r>
        <w:rPr>
          <w:rFonts w:eastAsia="Times New Roman"/>
          <w:b/>
          <w:iCs/>
          <w:color w:val="007466"/>
          <w:lang w:eastAsia="sl-SI"/>
        </w:rPr>
        <w:t xml:space="preserve"> </w:t>
      </w:r>
      <w:r w:rsidRPr="00714219">
        <w:rPr>
          <w:rFonts w:eastAsia="Times New Roman"/>
          <w:b/>
          <w:iCs/>
          <w:color w:val="007466"/>
          <w:lang w:eastAsia="sl-SI"/>
        </w:rPr>
        <w:t xml:space="preserve">št. I Up 20/2025 </w:t>
      </w:r>
      <w:r>
        <w:rPr>
          <w:rFonts w:eastAsia="Times New Roman"/>
          <w:b/>
          <w:iCs/>
          <w:color w:val="007466"/>
          <w:lang w:eastAsia="sl-SI"/>
        </w:rPr>
        <w:t xml:space="preserve">z dne </w:t>
      </w:r>
      <w:r w:rsidRPr="00714219">
        <w:rPr>
          <w:rFonts w:eastAsia="Times New Roman"/>
          <w:b/>
          <w:color w:val="007466"/>
          <w:lang w:eastAsia="sl-SI"/>
        </w:rPr>
        <w:t>7. 5. 2025</w:t>
      </w:r>
      <w:r w:rsidRPr="00714219">
        <w:rPr>
          <w:rFonts w:eastAsia="Times New Roman"/>
          <w:bCs/>
          <w:color w:val="007466"/>
          <w:lang w:eastAsia="sl-SI"/>
        </w:rPr>
        <w:t xml:space="preserve"> </w:t>
      </w:r>
      <w:r w:rsidRPr="00714219">
        <w:rPr>
          <w:rFonts w:eastAsia="Times New Roman"/>
          <w:b/>
          <w:iCs/>
          <w:color w:val="007466"/>
          <w:lang w:eastAsia="sl-SI"/>
        </w:rPr>
        <w:t>– pritožba tožeče stranke zoper sodbo Upravnega sodišča, opr. št. I U 1584/2022 z dne 22. 11. 202</w:t>
      </w:r>
      <w:r>
        <w:rPr>
          <w:rFonts w:eastAsia="Times New Roman"/>
          <w:b/>
          <w:iCs/>
          <w:color w:val="007466"/>
          <w:lang w:eastAsia="sl-SI"/>
        </w:rPr>
        <w:t>4</w:t>
      </w:r>
    </w:p>
    <w:p w14:paraId="0628765E" w14:textId="77777777" w:rsidR="00695AE2" w:rsidRDefault="00695AE2" w:rsidP="00695AE2">
      <w:pPr>
        <w:spacing w:line="240" w:lineRule="auto"/>
        <w:jc w:val="both"/>
        <w:rPr>
          <w:rFonts w:eastAsia="Times New Roman"/>
          <w:b/>
          <w:iCs/>
          <w:color w:val="007466"/>
          <w:lang w:eastAsia="sl-SI"/>
        </w:rPr>
      </w:pPr>
    </w:p>
    <w:p w14:paraId="5951B33D" w14:textId="77777777" w:rsidR="00695AE2" w:rsidRPr="00714219" w:rsidRDefault="00695AE2" w:rsidP="00695AE2">
      <w:pPr>
        <w:spacing w:line="240" w:lineRule="auto"/>
        <w:jc w:val="both"/>
        <w:rPr>
          <w:rFonts w:eastAsia="Times New Roman"/>
          <w:bCs/>
          <w:color w:val="000000"/>
          <w:lang w:eastAsia="sl-SI"/>
        </w:rPr>
      </w:pPr>
      <w:r w:rsidRPr="00714219">
        <w:rPr>
          <w:rFonts w:eastAsia="Times New Roman"/>
          <w:bCs/>
          <w:color w:val="000000"/>
          <w:lang w:eastAsia="sl-SI"/>
        </w:rPr>
        <w:t>Vrhovno sodišče</w:t>
      </w:r>
      <w:r>
        <w:rPr>
          <w:rFonts w:eastAsia="Times New Roman"/>
          <w:bCs/>
          <w:color w:val="000000"/>
          <w:lang w:eastAsia="sl-SI"/>
        </w:rPr>
        <w:t xml:space="preserve"> RS</w:t>
      </w:r>
      <w:r w:rsidRPr="00714219">
        <w:rPr>
          <w:rFonts w:eastAsia="Times New Roman"/>
          <w:bCs/>
          <w:color w:val="000000"/>
          <w:lang w:eastAsia="sl-SI"/>
        </w:rPr>
        <w:t xml:space="preserve"> je pritožbi tožeče stranke (učenci O</w:t>
      </w:r>
      <w:r>
        <w:rPr>
          <w:rFonts w:eastAsia="Times New Roman"/>
          <w:bCs/>
          <w:color w:val="000000"/>
          <w:lang w:eastAsia="sl-SI"/>
        </w:rPr>
        <w:t>š</w:t>
      </w:r>
      <w:r w:rsidRPr="00714219">
        <w:rPr>
          <w:rFonts w:eastAsia="Times New Roman"/>
          <w:bCs/>
          <w:color w:val="000000"/>
          <w:lang w:eastAsia="sl-SI"/>
        </w:rPr>
        <w:t xml:space="preserve"> Domžale) ugodilo ter sodbo </w:t>
      </w:r>
      <w:r>
        <w:rPr>
          <w:rFonts w:eastAsia="Times New Roman"/>
          <w:bCs/>
          <w:color w:val="000000"/>
          <w:lang w:eastAsia="sl-SI"/>
        </w:rPr>
        <w:t>U</w:t>
      </w:r>
      <w:r w:rsidRPr="00714219">
        <w:rPr>
          <w:rFonts w:eastAsia="Times New Roman"/>
          <w:bCs/>
          <w:color w:val="000000"/>
          <w:lang w:eastAsia="sl-SI"/>
        </w:rPr>
        <w:t>pravnega sodišča spremenilo tako, da je ugotovilo, da je bila zahteva tožene stranke po trikrat tedenskem testiranju kot pogoju za izvajanje dolžnosti vzgoje in izobraževanje nezakonita in je s tem kršila pravico tožeče stranke do osnovnošolskega izobraževanja iz 57. člena Ustave</w:t>
      </w:r>
      <w:r>
        <w:rPr>
          <w:rFonts w:eastAsia="Times New Roman"/>
          <w:bCs/>
          <w:color w:val="000000"/>
          <w:lang w:eastAsia="sl-SI"/>
        </w:rPr>
        <w:t xml:space="preserve"> RS</w:t>
      </w:r>
      <w:r w:rsidRPr="00714219">
        <w:rPr>
          <w:rFonts w:eastAsia="Times New Roman"/>
          <w:bCs/>
          <w:color w:val="000000"/>
          <w:lang w:eastAsia="sl-SI"/>
        </w:rPr>
        <w:t xml:space="preserve">. </w:t>
      </w:r>
    </w:p>
    <w:p w14:paraId="2E5602C1" w14:textId="77777777" w:rsidR="00695AE2" w:rsidRPr="00714219" w:rsidRDefault="00695AE2" w:rsidP="00695AE2">
      <w:pPr>
        <w:spacing w:line="240" w:lineRule="auto"/>
        <w:ind w:left="130" w:firstLine="4"/>
        <w:jc w:val="both"/>
        <w:rPr>
          <w:rFonts w:eastAsia="Times New Roman"/>
          <w:bCs/>
          <w:color w:val="000000"/>
          <w:lang w:eastAsia="sl-SI"/>
        </w:rPr>
      </w:pPr>
    </w:p>
    <w:p w14:paraId="34B4668D" w14:textId="77777777" w:rsidR="00695AE2" w:rsidRPr="00714219" w:rsidRDefault="00695AE2" w:rsidP="00695AE2">
      <w:pPr>
        <w:spacing w:line="240" w:lineRule="auto"/>
        <w:jc w:val="both"/>
        <w:rPr>
          <w:rFonts w:eastAsia="Times New Roman"/>
          <w:bCs/>
          <w:color w:val="000000"/>
          <w:lang w:eastAsia="sl-SI"/>
        </w:rPr>
      </w:pPr>
      <w:r w:rsidRPr="00714219">
        <w:rPr>
          <w:rFonts w:eastAsia="Times New Roman"/>
          <w:bCs/>
          <w:color w:val="000000"/>
          <w:lang w:eastAsia="sl-SI"/>
        </w:rPr>
        <w:t xml:space="preserve">Vrhovno sodišče </w:t>
      </w:r>
      <w:r>
        <w:rPr>
          <w:rFonts w:eastAsia="Times New Roman"/>
          <w:bCs/>
          <w:color w:val="000000"/>
          <w:lang w:eastAsia="sl-SI"/>
        </w:rPr>
        <w:t xml:space="preserve">RS </w:t>
      </w:r>
      <w:r w:rsidRPr="00714219">
        <w:rPr>
          <w:rFonts w:eastAsia="Times New Roman"/>
          <w:bCs/>
          <w:color w:val="000000"/>
          <w:lang w:eastAsia="sl-SI"/>
        </w:rPr>
        <w:t>je s sodbo</w:t>
      </w:r>
      <w:r>
        <w:rPr>
          <w:rFonts w:eastAsia="Times New Roman"/>
          <w:bCs/>
          <w:color w:val="000000"/>
          <w:lang w:eastAsia="sl-SI"/>
        </w:rPr>
        <w:t xml:space="preserve">, opr. št. </w:t>
      </w:r>
      <w:r w:rsidRPr="00714219">
        <w:rPr>
          <w:rFonts w:eastAsia="Times New Roman"/>
          <w:bCs/>
          <w:color w:val="000000"/>
          <w:lang w:eastAsia="sl-SI"/>
        </w:rPr>
        <w:t xml:space="preserve">I Up 290/2024 z dne </w:t>
      </w:r>
      <w:r>
        <w:rPr>
          <w:rFonts w:eastAsia="Times New Roman"/>
          <w:bCs/>
          <w:color w:val="000000"/>
          <w:lang w:eastAsia="sl-SI"/>
        </w:rPr>
        <w:t xml:space="preserve">7. 5. 2025 </w:t>
      </w:r>
      <w:r w:rsidRPr="00714219">
        <w:rPr>
          <w:rFonts w:eastAsia="Times New Roman"/>
          <w:bCs/>
          <w:color w:val="000000"/>
          <w:lang w:eastAsia="sl-SI"/>
        </w:rPr>
        <w:t>ter predmetno sodbo preseglo svoja (dotedanja) stališča iz sodbe</w:t>
      </w:r>
      <w:r>
        <w:rPr>
          <w:rFonts w:eastAsia="Times New Roman"/>
          <w:bCs/>
          <w:color w:val="000000"/>
          <w:lang w:eastAsia="sl-SI"/>
        </w:rPr>
        <w:t xml:space="preserve">, opr. št. </w:t>
      </w:r>
      <w:r w:rsidRPr="00714219">
        <w:rPr>
          <w:rFonts w:eastAsia="Times New Roman"/>
          <w:bCs/>
          <w:color w:val="000000"/>
          <w:lang w:eastAsia="sl-SI"/>
        </w:rPr>
        <w:t xml:space="preserve">I Up 93/2024 z dne 24. 10. 2024, na katera se v izpodbijani sodbi sklicuje Upravno sodišče, ter je presodilo, da je 8. člen Odloka 174/21 </w:t>
      </w:r>
      <w:r w:rsidRPr="00714219">
        <w:rPr>
          <w:rFonts w:eastAsia="Times New Roman"/>
          <w:bCs/>
          <w:color w:val="000000"/>
          <w:lang w:eastAsia="sl-SI"/>
        </w:rPr>
        <w:lastRenderedPageBreak/>
        <w:t>nedopustno posegel v 57. člen Ustave</w:t>
      </w:r>
      <w:r>
        <w:rPr>
          <w:rFonts w:eastAsia="Times New Roman"/>
          <w:bCs/>
          <w:color w:val="000000"/>
          <w:lang w:eastAsia="sl-SI"/>
        </w:rPr>
        <w:t xml:space="preserve"> RS</w:t>
      </w:r>
      <w:r w:rsidRPr="00714219">
        <w:rPr>
          <w:rFonts w:eastAsia="Times New Roman"/>
          <w:bCs/>
          <w:color w:val="000000"/>
          <w:lang w:eastAsia="sl-SI"/>
        </w:rPr>
        <w:t xml:space="preserve"> in v njem varovano pravico otrok do osnovnošolskega izobraževanja.</w:t>
      </w:r>
    </w:p>
    <w:p w14:paraId="07CF1128" w14:textId="77777777" w:rsidR="00695AE2" w:rsidRPr="00714219" w:rsidRDefault="00695AE2" w:rsidP="00695AE2">
      <w:pPr>
        <w:spacing w:line="240" w:lineRule="auto"/>
        <w:ind w:left="130" w:firstLine="4"/>
        <w:jc w:val="both"/>
        <w:rPr>
          <w:rFonts w:eastAsia="Times New Roman"/>
          <w:bCs/>
          <w:color w:val="000000"/>
          <w:lang w:eastAsia="sl-SI"/>
        </w:rPr>
      </w:pPr>
    </w:p>
    <w:p w14:paraId="2DD1EE85" w14:textId="77777777" w:rsidR="00695AE2" w:rsidRPr="00714219" w:rsidRDefault="00695AE2" w:rsidP="00695AE2">
      <w:pPr>
        <w:spacing w:line="240" w:lineRule="auto"/>
        <w:jc w:val="both"/>
        <w:rPr>
          <w:rFonts w:eastAsia="Times New Roman"/>
          <w:bCs/>
          <w:color w:val="000000"/>
          <w:lang w:eastAsia="sl-SI"/>
        </w:rPr>
      </w:pPr>
      <w:r w:rsidRPr="00714219">
        <w:rPr>
          <w:rFonts w:eastAsia="Times New Roman"/>
          <w:bCs/>
          <w:color w:val="000000"/>
          <w:lang w:eastAsia="sl-SI"/>
        </w:rPr>
        <w:t xml:space="preserve">Vrhovno sodišče </w:t>
      </w:r>
      <w:r>
        <w:rPr>
          <w:rFonts w:eastAsia="Times New Roman"/>
          <w:bCs/>
          <w:color w:val="000000"/>
          <w:lang w:eastAsia="sl-SI"/>
        </w:rPr>
        <w:t xml:space="preserve">RS </w:t>
      </w:r>
      <w:r w:rsidRPr="00714219">
        <w:rPr>
          <w:rFonts w:eastAsia="Times New Roman"/>
          <w:bCs/>
          <w:color w:val="000000"/>
          <w:lang w:eastAsia="sl-SI"/>
        </w:rPr>
        <w:t xml:space="preserve">je tako že v sodbi I Up 290/2024 z dne 7. 5. 2025 pojasnilo, da </w:t>
      </w:r>
      <w:r>
        <w:rPr>
          <w:rFonts w:eastAsia="Times New Roman"/>
          <w:bCs/>
          <w:color w:val="000000"/>
          <w:lang w:eastAsia="sl-SI"/>
        </w:rPr>
        <w:t xml:space="preserve">Zakon o nalezljivih boleznih (v nadaljevanju: </w:t>
      </w:r>
      <w:r w:rsidRPr="00714219">
        <w:rPr>
          <w:rFonts w:eastAsia="Times New Roman"/>
          <w:bCs/>
          <w:color w:val="000000"/>
          <w:lang w:eastAsia="sl-SI"/>
        </w:rPr>
        <w:t>ZNB</w:t>
      </w:r>
      <w:r>
        <w:rPr>
          <w:rFonts w:eastAsia="Times New Roman"/>
          <w:bCs/>
          <w:color w:val="000000"/>
          <w:lang w:eastAsia="sl-SI"/>
        </w:rPr>
        <w:t>)</w:t>
      </w:r>
      <w:r w:rsidRPr="00714219">
        <w:rPr>
          <w:rFonts w:eastAsia="Times New Roman"/>
          <w:bCs/>
          <w:color w:val="000000"/>
          <w:lang w:eastAsia="sl-SI"/>
        </w:rPr>
        <w:t xml:space="preserve"> ni uredil ustavno zahtevanih pogojev za poseg v pravico do osnovnošolskega izobraževanja iz 57. člena Ustave</w:t>
      </w:r>
      <w:r>
        <w:rPr>
          <w:rFonts w:eastAsia="Times New Roman"/>
          <w:bCs/>
          <w:color w:val="000000"/>
          <w:lang w:eastAsia="sl-SI"/>
        </w:rPr>
        <w:t xml:space="preserve"> RS</w:t>
      </w:r>
      <w:r w:rsidRPr="00714219">
        <w:rPr>
          <w:rFonts w:eastAsia="Times New Roman"/>
          <w:bCs/>
          <w:color w:val="000000"/>
          <w:lang w:eastAsia="sl-SI"/>
        </w:rPr>
        <w:t xml:space="preserve">, niti ni določil potrebnega zakonskega pooblastila za sprejetje podzakonskih predpisov. Z odlokom kot podzakonskim predpisom pa glede na stališča Ustavnega sodišča tudi v izjemnih okoliščinah ne smejo biti določeni pogoji, ki otrokom omejujejo dostop do pouka v osnovni šoli, ki jih zakon ne pozna in ne ureja. Zato je Odlok 174/21 v spornem obdobju v četrtem odstavku 8. člena (v povezavi z drugimi določbami) po presoji Vrhovnega sodišča </w:t>
      </w:r>
      <w:r>
        <w:rPr>
          <w:rFonts w:eastAsia="Times New Roman"/>
          <w:bCs/>
          <w:color w:val="000000"/>
          <w:lang w:eastAsia="sl-SI"/>
        </w:rPr>
        <w:t xml:space="preserve">RS </w:t>
      </w:r>
      <w:r w:rsidRPr="00714219">
        <w:rPr>
          <w:rFonts w:eastAsia="Times New Roman"/>
          <w:bCs/>
          <w:color w:val="000000"/>
          <w:lang w:eastAsia="sl-SI"/>
        </w:rPr>
        <w:t xml:space="preserve">nedopustno (brez zakonske podlage, izvirno) določil pogoje za uresničevanje pravice do udeležbe pri pouku in posledično posameznim otrokom nedopustno omejil uresničevanje ustavne pravice. V tej zadevi je bilo po presoji Vrhovnega sodišča </w:t>
      </w:r>
      <w:r>
        <w:rPr>
          <w:rFonts w:eastAsia="Times New Roman"/>
          <w:bCs/>
          <w:color w:val="000000"/>
          <w:lang w:eastAsia="sl-SI"/>
        </w:rPr>
        <w:t xml:space="preserve">RS </w:t>
      </w:r>
      <w:r w:rsidRPr="00714219">
        <w:rPr>
          <w:rFonts w:eastAsia="Times New Roman"/>
          <w:bCs/>
          <w:color w:val="000000"/>
          <w:lang w:eastAsia="sl-SI"/>
        </w:rPr>
        <w:t xml:space="preserve">še posebej sporno, da je bila z Odlokom 174/21 obveznost naložena samim otrokom kot pogoj za njihovo udeležbo pri pouku (samotestiranje otrok s HAG testi). Vrhovno sodišče </w:t>
      </w:r>
      <w:r>
        <w:rPr>
          <w:rFonts w:eastAsia="Times New Roman"/>
          <w:bCs/>
          <w:color w:val="000000"/>
          <w:lang w:eastAsia="sl-SI"/>
        </w:rPr>
        <w:t xml:space="preserve">RS </w:t>
      </w:r>
      <w:r w:rsidRPr="00714219">
        <w:rPr>
          <w:rFonts w:eastAsia="Times New Roman"/>
          <w:bCs/>
          <w:color w:val="000000"/>
          <w:lang w:eastAsia="sl-SI"/>
        </w:rPr>
        <w:t>je zavrnilo tudi argument, da je Ustavno sodišče že presodilo, da je navedeno testiranje v skladu z ZNB, saj v odločbi</w:t>
      </w:r>
      <w:r>
        <w:rPr>
          <w:rFonts w:eastAsia="Times New Roman"/>
          <w:bCs/>
          <w:color w:val="000000"/>
          <w:lang w:eastAsia="sl-SI"/>
        </w:rPr>
        <w:t>, št.</w:t>
      </w:r>
      <w:r w:rsidRPr="00714219">
        <w:rPr>
          <w:rFonts w:eastAsia="Times New Roman"/>
          <w:bCs/>
          <w:color w:val="000000"/>
          <w:lang w:eastAsia="sl-SI"/>
        </w:rPr>
        <w:t xml:space="preserve"> U-I-793/21, U-I-822/21 z dne 17. 2. 2022 ni presojalo sporne določbe 8. člena Odloka 174/21, po vsebini pa tudi ne samotestiranja otrok. Glede na to, da je bila s takim podzakonskim urejanjem pogojev za poseganje v pravico do osnovnošolskega izobraževanja po oceni Vrhovnega sodišča </w:t>
      </w:r>
      <w:r>
        <w:rPr>
          <w:rFonts w:eastAsia="Times New Roman"/>
          <w:bCs/>
          <w:color w:val="000000"/>
          <w:lang w:eastAsia="sl-SI"/>
        </w:rPr>
        <w:t xml:space="preserve">RS </w:t>
      </w:r>
      <w:r w:rsidRPr="00714219">
        <w:rPr>
          <w:rFonts w:eastAsia="Times New Roman"/>
          <w:bCs/>
          <w:color w:val="000000"/>
          <w:lang w:eastAsia="sl-SI"/>
        </w:rPr>
        <w:t xml:space="preserve">očitno presežena meja ustavno dopustnega pooblastila izvršni oblasti, se Vrhovnemu sodišču </w:t>
      </w:r>
      <w:r>
        <w:rPr>
          <w:rFonts w:eastAsia="Times New Roman"/>
          <w:bCs/>
          <w:color w:val="000000"/>
          <w:lang w:eastAsia="sl-SI"/>
        </w:rPr>
        <w:t xml:space="preserve">RS </w:t>
      </w:r>
      <w:r w:rsidRPr="00714219">
        <w:rPr>
          <w:rFonts w:eastAsia="Times New Roman"/>
          <w:bCs/>
          <w:color w:val="000000"/>
          <w:lang w:eastAsia="sl-SI"/>
        </w:rPr>
        <w:t xml:space="preserve">ni bilo treba opredeljevati do nadaljnjih vprašanj (ne)sorazmernosti tega ukrepa ob tehtanju različnih nasproti stoječih si dobrin, med katerimi so bile tudi ustavne pravice otrok, kar bi moral tedaj storiti že demokratično legitimiran zakonodajalec v javni in argumentirani razpravi, ki bi izhajala iz strokovnih ugotovitev. </w:t>
      </w:r>
    </w:p>
    <w:p w14:paraId="69B826A0" w14:textId="77777777" w:rsidR="00695AE2" w:rsidRPr="00AD0FEF" w:rsidRDefault="00695AE2" w:rsidP="00695AE2">
      <w:pPr>
        <w:pStyle w:val="Jasna"/>
        <w:rPr>
          <w:sz w:val="28"/>
          <w:szCs w:val="28"/>
          <w:lang w:eastAsia="sl-SI"/>
        </w:rPr>
      </w:pPr>
    </w:p>
    <w:p w14:paraId="58AEBECF" w14:textId="77777777" w:rsidR="00695AE2" w:rsidRPr="00AD0FEF" w:rsidRDefault="00695AE2" w:rsidP="00695AE2">
      <w:pPr>
        <w:pStyle w:val="Naslov3"/>
        <w:rPr>
          <w:lang w:eastAsia="sl-SI"/>
        </w:rPr>
      </w:pPr>
      <w:bookmarkStart w:id="1166" w:name="_Toc223094119"/>
      <w:r w:rsidRPr="00AD0FEF">
        <w:rPr>
          <w:lang w:eastAsia="sl-SI"/>
        </w:rPr>
        <w:t>Upravni spori glede BPP</w:t>
      </w:r>
      <w:bookmarkEnd w:id="1166"/>
    </w:p>
    <w:p w14:paraId="42DB009D" w14:textId="77777777" w:rsidR="00695AE2" w:rsidRPr="00AD0FEF" w:rsidRDefault="00695AE2" w:rsidP="00695AE2">
      <w:pPr>
        <w:pStyle w:val="Jasna"/>
        <w:rPr>
          <w:sz w:val="28"/>
          <w:szCs w:val="28"/>
          <w:lang w:val="sk-SK"/>
        </w:rPr>
      </w:pPr>
    </w:p>
    <w:p w14:paraId="66B352B6" w14:textId="77777777" w:rsidR="00695AE2" w:rsidRPr="00714219" w:rsidRDefault="00695AE2" w:rsidP="00695AE2">
      <w:pPr>
        <w:spacing w:line="240" w:lineRule="auto"/>
        <w:jc w:val="both"/>
        <w:rPr>
          <w:rFonts w:eastAsia="Calibri"/>
          <w:b/>
          <w:color w:val="007466"/>
        </w:rPr>
      </w:pPr>
      <w:r w:rsidRPr="00714219">
        <w:rPr>
          <w:rFonts w:eastAsia="Calibri"/>
          <w:b/>
          <w:color w:val="007466"/>
        </w:rPr>
        <w:t xml:space="preserve">Sodba Upravnega sodišča, opr. št. IV U 172/2024 z dne 5. 2. 2025 </w:t>
      </w:r>
    </w:p>
    <w:p w14:paraId="0878FB7E" w14:textId="77777777" w:rsidR="00695AE2" w:rsidRPr="00714219" w:rsidRDefault="00695AE2" w:rsidP="00695AE2">
      <w:pPr>
        <w:spacing w:line="240" w:lineRule="auto"/>
        <w:jc w:val="both"/>
        <w:rPr>
          <w:rFonts w:eastAsia="Calibri"/>
          <w:bCs/>
        </w:rPr>
      </w:pPr>
    </w:p>
    <w:p w14:paraId="2454CF6A" w14:textId="77777777" w:rsidR="00695AE2" w:rsidRPr="00714219" w:rsidRDefault="00695AE2" w:rsidP="00695AE2">
      <w:pPr>
        <w:spacing w:line="240" w:lineRule="auto"/>
        <w:jc w:val="both"/>
        <w:rPr>
          <w:rFonts w:eastAsia="Calibri"/>
          <w:bCs/>
        </w:rPr>
      </w:pPr>
      <w:r>
        <w:rPr>
          <w:rFonts w:eastAsia="Calibri"/>
          <w:bCs/>
        </w:rPr>
        <w:t>V zadevi je prosilka z</w:t>
      </w:r>
      <w:r w:rsidRPr="00714219">
        <w:rPr>
          <w:rFonts w:eastAsia="Calibri"/>
          <w:bCs/>
        </w:rPr>
        <w:t>apro</w:t>
      </w:r>
      <w:r>
        <w:rPr>
          <w:rFonts w:eastAsia="Calibri"/>
          <w:bCs/>
        </w:rPr>
        <w:t>sila</w:t>
      </w:r>
      <w:r w:rsidRPr="00714219">
        <w:rPr>
          <w:rFonts w:eastAsia="Calibri"/>
          <w:bCs/>
        </w:rPr>
        <w:t xml:space="preserve"> za BPP za sestavo in vložitev ustavne pritožbe zaradi kršenja njenih človekovih pravic in svoboščin, in sicer pravice enakosti pred zakonom po 14. členu, pravic</w:t>
      </w:r>
      <w:r>
        <w:rPr>
          <w:rFonts w:eastAsia="Calibri"/>
          <w:bCs/>
        </w:rPr>
        <w:t>e do</w:t>
      </w:r>
      <w:r w:rsidRPr="00714219">
        <w:rPr>
          <w:rFonts w:eastAsia="Calibri"/>
          <w:bCs/>
        </w:rPr>
        <w:t xml:space="preserve"> enakega varstva pravic po 22. členu, pravic</w:t>
      </w:r>
      <w:r>
        <w:rPr>
          <w:rFonts w:eastAsia="Calibri"/>
          <w:bCs/>
        </w:rPr>
        <w:t>e</w:t>
      </w:r>
      <w:r w:rsidRPr="00714219">
        <w:rPr>
          <w:rFonts w:eastAsia="Calibri"/>
          <w:bCs/>
        </w:rPr>
        <w:t xml:space="preserve"> do sodnega varstva po 23. členu, pravice do povračila škode po  26. členu, pravice do pravnega varstva po 25. členu in pravice do zasebne listine po 33. členu Ustave RS.</w:t>
      </w:r>
      <w:r>
        <w:rPr>
          <w:rFonts w:eastAsia="Calibri"/>
          <w:bCs/>
        </w:rPr>
        <w:t xml:space="preserve"> P</w:t>
      </w:r>
      <w:r w:rsidRPr="00714219">
        <w:rPr>
          <w:rFonts w:eastAsia="Calibri"/>
          <w:bCs/>
        </w:rPr>
        <w:t>rosilka svoje pravice z vloženo zahtevo za varstvo zakonitosti v zvezi z neupravičeno zasežen</w:t>
      </w:r>
      <w:r>
        <w:rPr>
          <w:rFonts w:eastAsia="Calibri"/>
          <w:bCs/>
        </w:rPr>
        <w:t>im</w:t>
      </w:r>
      <w:r w:rsidRPr="00714219">
        <w:rPr>
          <w:rFonts w:eastAsia="Calibri"/>
          <w:bCs/>
        </w:rPr>
        <w:t xml:space="preserve"> premoženj</w:t>
      </w:r>
      <w:r>
        <w:rPr>
          <w:rFonts w:eastAsia="Calibri"/>
          <w:bCs/>
        </w:rPr>
        <w:t>em</w:t>
      </w:r>
      <w:r w:rsidRPr="00714219">
        <w:rPr>
          <w:rFonts w:eastAsia="Calibri"/>
          <w:bCs/>
        </w:rPr>
        <w:t xml:space="preserve"> </w:t>
      </w:r>
      <w:r>
        <w:rPr>
          <w:rFonts w:eastAsia="Calibri"/>
          <w:bCs/>
        </w:rPr>
        <w:t>(denarnih sredstev</w:t>
      </w:r>
      <w:r w:rsidRPr="00714219">
        <w:rPr>
          <w:rFonts w:eastAsia="Calibri"/>
          <w:bCs/>
        </w:rPr>
        <w:t xml:space="preserve"> v skupni višini 129.530,00</w:t>
      </w:r>
      <w:r>
        <w:rPr>
          <w:rFonts w:eastAsia="Calibri"/>
          <w:bCs/>
        </w:rPr>
        <w:t xml:space="preserve"> evrov) </w:t>
      </w:r>
      <w:r w:rsidRPr="00714219">
        <w:rPr>
          <w:rFonts w:eastAsia="Calibri"/>
          <w:bCs/>
        </w:rPr>
        <w:t>v kazenskem postopku ni mogla uveljavljati. Kot druga oseba v kazenskem postopku, kateri je bilo odvzeto njeno osebno premoženje, ki ga je prejela s strani staršev z namenom rešitve stanovanjskega problema</w:t>
      </w:r>
      <w:r>
        <w:rPr>
          <w:rFonts w:eastAsia="Calibri"/>
          <w:bCs/>
        </w:rPr>
        <w:t>,</w:t>
      </w:r>
      <w:r w:rsidRPr="00714219">
        <w:rPr>
          <w:rFonts w:eastAsia="Calibri"/>
          <w:bCs/>
        </w:rPr>
        <w:t xml:space="preserve"> je bila zagotovo oškodovana.</w:t>
      </w:r>
      <w:r>
        <w:rPr>
          <w:rFonts w:eastAsia="Calibri"/>
          <w:bCs/>
        </w:rPr>
        <w:t xml:space="preserve"> Sodišče navaja, da bi morala p</w:t>
      </w:r>
      <w:r w:rsidRPr="00714219">
        <w:rPr>
          <w:rFonts w:eastAsia="Calibri"/>
          <w:bCs/>
        </w:rPr>
        <w:t>rosilka v prošnji za BPP navesti tudi dejstva in okoliščine, na podlagi katerih bi organ BPP lahko ocenil, ali bi prosilka z ustavno pritožbo lahko uspela. Organ odločanja se v obrazložitvi odločbe za dodelitev BPP do pod</w:t>
      </w:r>
      <w:r>
        <w:rPr>
          <w:rFonts w:eastAsia="Calibri"/>
          <w:bCs/>
        </w:rPr>
        <w:t xml:space="preserve"> </w:t>
      </w:r>
      <w:r w:rsidRPr="00714219">
        <w:rPr>
          <w:rFonts w:eastAsia="Calibri"/>
          <w:bCs/>
        </w:rPr>
        <w:t xml:space="preserve">kriterijev »očitne nerazumnosti zadeve« ne opredeljuje, pač pa brez konkretne argumentacije ugotavlja, da zadeva očitno ni nerazumna </w:t>
      </w:r>
      <w:r>
        <w:rPr>
          <w:rFonts w:eastAsia="Calibri"/>
          <w:bCs/>
        </w:rPr>
        <w:t xml:space="preserve">glede </w:t>
      </w:r>
      <w:r w:rsidRPr="00714219">
        <w:rPr>
          <w:rFonts w:eastAsia="Calibri"/>
          <w:bCs/>
        </w:rPr>
        <w:t xml:space="preserve">na navedene zakonske podlage in dejanskega stanja. </w:t>
      </w:r>
      <w:bookmarkStart w:id="1167" w:name="_Hlk220590658"/>
      <w:r>
        <w:rPr>
          <w:rFonts w:eastAsia="Calibri"/>
          <w:bCs/>
        </w:rPr>
        <w:t>Upravno sodišče je o</w:t>
      </w:r>
      <w:r w:rsidRPr="00714219">
        <w:rPr>
          <w:rFonts w:eastAsia="Calibri"/>
          <w:bCs/>
        </w:rPr>
        <w:t>dločb</w:t>
      </w:r>
      <w:r>
        <w:rPr>
          <w:rFonts w:eastAsia="Calibri"/>
          <w:bCs/>
        </w:rPr>
        <w:t>o</w:t>
      </w:r>
      <w:r w:rsidRPr="00714219">
        <w:rPr>
          <w:rFonts w:eastAsia="Calibri"/>
          <w:bCs/>
        </w:rPr>
        <w:t xml:space="preserve"> BPP odpravi</w:t>
      </w:r>
      <w:r>
        <w:rPr>
          <w:rFonts w:eastAsia="Calibri"/>
          <w:bCs/>
        </w:rPr>
        <w:t>lo</w:t>
      </w:r>
      <w:r w:rsidRPr="00714219">
        <w:rPr>
          <w:rFonts w:eastAsia="Calibri"/>
          <w:bCs/>
        </w:rPr>
        <w:t xml:space="preserve"> in vrn</w:t>
      </w:r>
      <w:r>
        <w:rPr>
          <w:rFonts w:eastAsia="Calibri"/>
          <w:bCs/>
        </w:rPr>
        <w:t>ilo zadevo organu BPP</w:t>
      </w:r>
      <w:r w:rsidRPr="00714219">
        <w:rPr>
          <w:rFonts w:eastAsia="Calibri"/>
          <w:bCs/>
        </w:rPr>
        <w:t xml:space="preserve"> v ponovni postopek. </w:t>
      </w:r>
      <w:bookmarkEnd w:id="1167"/>
    </w:p>
    <w:p w14:paraId="64A5E9A6" w14:textId="77777777" w:rsidR="00695AE2" w:rsidRPr="00714219" w:rsidRDefault="00695AE2" w:rsidP="00695AE2">
      <w:pPr>
        <w:spacing w:line="240" w:lineRule="auto"/>
        <w:jc w:val="both"/>
        <w:rPr>
          <w:rFonts w:eastAsia="Calibri"/>
          <w:bCs/>
        </w:rPr>
      </w:pPr>
    </w:p>
    <w:p w14:paraId="4C0184D5" w14:textId="77777777" w:rsidR="00695AE2" w:rsidRPr="00714219" w:rsidRDefault="00695AE2" w:rsidP="00695AE2">
      <w:pPr>
        <w:spacing w:line="240" w:lineRule="auto"/>
        <w:ind w:left="38"/>
        <w:jc w:val="both"/>
        <w:rPr>
          <w:rFonts w:eastAsia="Calibri"/>
          <w:b/>
          <w:color w:val="007466"/>
        </w:rPr>
      </w:pPr>
      <w:r w:rsidRPr="00714219">
        <w:rPr>
          <w:rFonts w:eastAsia="Calibri"/>
          <w:b/>
          <w:color w:val="007466"/>
        </w:rPr>
        <w:t>Sodba Upravnega sodišča, opr. št. IV U 20/2025 z dne 29. 4. 2025</w:t>
      </w:r>
    </w:p>
    <w:p w14:paraId="7151BF0F" w14:textId="77777777" w:rsidR="00695AE2" w:rsidRPr="00714219" w:rsidRDefault="00695AE2" w:rsidP="00695AE2">
      <w:pPr>
        <w:spacing w:line="240" w:lineRule="auto"/>
        <w:ind w:left="38"/>
        <w:jc w:val="both"/>
        <w:rPr>
          <w:rFonts w:eastAsia="Calibri"/>
          <w:bCs/>
        </w:rPr>
      </w:pPr>
    </w:p>
    <w:p w14:paraId="681BA0ED" w14:textId="77777777" w:rsidR="00695AE2" w:rsidRPr="00714219" w:rsidRDefault="00695AE2" w:rsidP="00695AE2">
      <w:pPr>
        <w:spacing w:line="240" w:lineRule="auto"/>
        <w:ind w:left="38"/>
        <w:jc w:val="both"/>
        <w:rPr>
          <w:rFonts w:eastAsia="Calibri"/>
          <w:bCs/>
        </w:rPr>
      </w:pPr>
      <w:r>
        <w:rPr>
          <w:rFonts w:eastAsia="Calibri"/>
          <w:bCs/>
        </w:rPr>
        <w:t>Prosilec je zaprosil za BPP z</w:t>
      </w:r>
      <w:r w:rsidRPr="00714219">
        <w:rPr>
          <w:rFonts w:eastAsia="Calibri"/>
          <w:bCs/>
        </w:rPr>
        <w:t>aradi kazenskega postopka</w:t>
      </w:r>
      <w:r>
        <w:rPr>
          <w:rFonts w:eastAsia="Calibri"/>
          <w:bCs/>
        </w:rPr>
        <w:t xml:space="preserve"> (v katerem je bil </w:t>
      </w:r>
      <w:r w:rsidRPr="00714219">
        <w:rPr>
          <w:rFonts w:eastAsia="Calibri"/>
          <w:bCs/>
        </w:rPr>
        <w:t>spoznan za krivega poskusov dveh k</w:t>
      </w:r>
      <w:r>
        <w:rPr>
          <w:rFonts w:eastAsia="Calibri"/>
          <w:bCs/>
        </w:rPr>
        <w:t xml:space="preserve">aznivih dejanj </w:t>
      </w:r>
      <w:r w:rsidRPr="00714219">
        <w:rPr>
          <w:rFonts w:eastAsia="Calibri"/>
          <w:bCs/>
        </w:rPr>
        <w:t>umorov na zahrbten način in izvršitve k</w:t>
      </w:r>
      <w:r>
        <w:rPr>
          <w:rFonts w:eastAsia="Calibri"/>
          <w:bCs/>
        </w:rPr>
        <w:t xml:space="preserve">aznivega dejanja </w:t>
      </w:r>
      <w:r w:rsidRPr="00714219">
        <w:rPr>
          <w:rFonts w:eastAsia="Calibri"/>
          <w:bCs/>
        </w:rPr>
        <w:t xml:space="preserve"> grožnje</w:t>
      </w:r>
      <w:r>
        <w:rPr>
          <w:rFonts w:eastAsia="Calibri"/>
          <w:bCs/>
        </w:rPr>
        <w:t xml:space="preserve"> in mu je</w:t>
      </w:r>
      <w:r w:rsidRPr="00714219">
        <w:rPr>
          <w:rFonts w:eastAsia="Calibri"/>
          <w:bCs/>
        </w:rPr>
        <w:t xml:space="preserve"> sodišče izreklo enotno kazen 23 let zapora</w:t>
      </w:r>
      <w:r>
        <w:rPr>
          <w:rFonts w:eastAsia="Calibri"/>
          <w:bCs/>
        </w:rPr>
        <w:t>), in sicer</w:t>
      </w:r>
      <w:r w:rsidRPr="00714219">
        <w:rPr>
          <w:rFonts w:eastAsia="Calibri"/>
          <w:bCs/>
        </w:rPr>
        <w:t xml:space="preserve"> za pravno svetovanje in zastopanje pred ESČP. Kot izhaja iz prošnje prosilca, so mu bile zaradi nedelovanja države kršene človekove pravice, smiselno uveljavlja kršitev načela </w:t>
      </w:r>
      <w:r>
        <w:rPr>
          <w:rFonts w:eastAsia="Calibri"/>
          <w:bCs/>
        </w:rPr>
        <w:t xml:space="preserve">iz </w:t>
      </w:r>
      <w:r w:rsidRPr="00714219">
        <w:rPr>
          <w:rFonts w:eastAsia="Calibri"/>
          <w:bCs/>
        </w:rPr>
        <w:t>6 č</w:t>
      </w:r>
      <w:r>
        <w:rPr>
          <w:rFonts w:eastAsia="Calibri"/>
          <w:bCs/>
        </w:rPr>
        <w:t>lena</w:t>
      </w:r>
      <w:r w:rsidRPr="00714219">
        <w:rPr>
          <w:rFonts w:eastAsia="Calibri"/>
          <w:bCs/>
        </w:rPr>
        <w:t xml:space="preserve"> EKČP (pravica do poštenega sojenja ) in 13. čl</w:t>
      </w:r>
      <w:r>
        <w:rPr>
          <w:rFonts w:eastAsia="Calibri"/>
          <w:bCs/>
        </w:rPr>
        <w:t>ena</w:t>
      </w:r>
      <w:r w:rsidRPr="00714219">
        <w:rPr>
          <w:rFonts w:eastAsia="Calibri"/>
          <w:bCs/>
        </w:rPr>
        <w:t xml:space="preserve"> EKČP (pravica do učinkovitega pravnega sredstva). Organ BPP je ugotovil, da </w:t>
      </w:r>
      <w:r>
        <w:rPr>
          <w:rFonts w:eastAsia="Calibri"/>
          <w:bCs/>
        </w:rPr>
        <w:t xml:space="preserve">je </w:t>
      </w:r>
      <w:r w:rsidRPr="00714219">
        <w:rPr>
          <w:rFonts w:eastAsia="Calibri"/>
          <w:bCs/>
        </w:rPr>
        <w:t>prosilec izčrpal vsa redna in izredna pr</w:t>
      </w:r>
      <w:r>
        <w:rPr>
          <w:rFonts w:eastAsia="Calibri"/>
          <w:bCs/>
        </w:rPr>
        <w:t>avna</w:t>
      </w:r>
      <w:r w:rsidRPr="00714219">
        <w:rPr>
          <w:rFonts w:eastAsia="Calibri"/>
          <w:bCs/>
        </w:rPr>
        <w:t xml:space="preserve"> sredstva in da 4-mesečni rok za vložitev pritožbe na ESČP še ni potekel, prav tako izpolnjuje vse osnovne oz</w:t>
      </w:r>
      <w:r>
        <w:rPr>
          <w:rFonts w:eastAsia="Calibri"/>
          <w:bCs/>
        </w:rPr>
        <w:t>iroma</w:t>
      </w:r>
      <w:r w:rsidRPr="00714219">
        <w:rPr>
          <w:rFonts w:eastAsia="Calibri"/>
          <w:bCs/>
        </w:rPr>
        <w:t xml:space="preserve"> formalne pogoje, zato mu je dodelil BPP. </w:t>
      </w:r>
    </w:p>
    <w:p w14:paraId="06F99551" w14:textId="77777777" w:rsidR="00695AE2" w:rsidRPr="00714219" w:rsidRDefault="00695AE2" w:rsidP="00695AE2">
      <w:pPr>
        <w:spacing w:line="240" w:lineRule="auto"/>
        <w:ind w:left="38"/>
        <w:jc w:val="both"/>
        <w:rPr>
          <w:rFonts w:eastAsia="Calibri"/>
          <w:bCs/>
        </w:rPr>
      </w:pPr>
    </w:p>
    <w:p w14:paraId="2FE20983" w14:textId="77777777" w:rsidR="00695AE2" w:rsidRPr="00714219" w:rsidRDefault="00695AE2" w:rsidP="00695AE2">
      <w:pPr>
        <w:spacing w:line="240" w:lineRule="auto"/>
        <w:ind w:left="38"/>
        <w:jc w:val="both"/>
        <w:rPr>
          <w:rFonts w:eastAsia="Calibri"/>
          <w:bCs/>
        </w:rPr>
      </w:pPr>
      <w:r>
        <w:rPr>
          <w:rFonts w:eastAsia="Calibri"/>
          <w:bCs/>
        </w:rPr>
        <w:t>Upravno sodišče je o</w:t>
      </w:r>
      <w:r w:rsidRPr="00714219">
        <w:rPr>
          <w:rFonts w:eastAsia="Calibri"/>
          <w:bCs/>
        </w:rPr>
        <w:t>dločb</w:t>
      </w:r>
      <w:r>
        <w:rPr>
          <w:rFonts w:eastAsia="Calibri"/>
          <w:bCs/>
        </w:rPr>
        <w:t>o</w:t>
      </w:r>
      <w:r w:rsidRPr="00714219">
        <w:rPr>
          <w:rFonts w:eastAsia="Calibri"/>
          <w:bCs/>
        </w:rPr>
        <w:t xml:space="preserve"> BPP odpravi</w:t>
      </w:r>
      <w:r>
        <w:rPr>
          <w:rFonts w:eastAsia="Calibri"/>
          <w:bCs/>
        </w:rPr>
        <w:t>lo</w:t>
      </w:r>
      <w:r w:rsidRPr="00714219">
        <w:rPr>
          <w:rFonts w:eastAsia="Calibri"/>
          <w:bCs/>
        </w:rPr>
        <w:t xml:space="preserve"> in vrn</w:t>
      </w:r>
      <w:r>
        <w:rPr>
          <w:rFonts w:eastAsia="Calibri"/>
          <w:bCs/>
        </w:rPr>
        <w:t>ilo zadevo</w:t>
      </w:r>
      <w:r w:rsidRPr="00714219">
        <w:rPr>
          <w:rFonts w:eastAsia="Calibri"/>
          <w:bCs/>
        </w:rPr>
        <w:t xml:space="preserve"> v ponovni postopek. </w:t>
      </w:r>
      <w:r>
        <w:rPr>
          <w:rFonts w:eastAsia="Calibri"/>
          <w:bCs/>
        </w:rPr>
        <w:t>Sodišče je navedlo, da se p</w:t>
      </w:r>
      <w:r w:rsidRPr="00714219">
        <w:rPr>
          <w:rFonts w:eastAsia="Calibri"/>
          <w:bCs/>
        </w:rPr>
        <w:t>ritožba na ESČP lahko vloži, če je posameznik osebno in neposredno prizadet zaradi kakšne kršitve ali jamstva določenega v EKČP in njenih protokolih, kršitev pa je izvršena s strani države pogodbenice (34. člen EKČP). 35. čl</w:t>
      </w:r>
      <w:r>
        <w:rPr>
          <w:rFonts w:eastAsia="Calibri"/>
          <w:bCs/>
        </w:rPr>
        <w:t>en</w:t>
      </w:r>
      <w:r w:rsidRPr="00714219">
        <w:rPr>
          <w:rFonts w:eastAsia="Calibri"/>
          <w:bCs/>
        </w:rPr>
        <w:t xml:space="preserve"> EKČP nadalje določa kriterij sprejemljivosti. Za vložitev pritožbe na ESČP ni dovolj, da se izkoristijo vsa pravna sredstva, temveč je pritožba na ESČP dovoljena samo zaradi kršitve EKČP s protokoli, ne pa tudi pritožba zoper akt države, ki se posamezniku zdi nepošten – </w:t>
      </w:r>
      <w:r>
        <w:rPr>
          <w:rFonts w:eastAsia="Calibri"/>
          <w:bCs/>
        </w:rPr>
        <w:t xml:space="preserve">gre za </w:t>
      </w:r>
      <w:r w:rsidRPr="00714219">
        <w:rPr>
          <w:rFonts w:eastAsia="Calibri"/>
          <w:bCs/>
        </w:rPr>
        <w:t>merila dopustnosti. Nestrinjanje prosilca s predpisom ali aktom ne izpolnjuje primarnega kriterija neposredne in osebne prizadetosti dobrin. Obrazložitev odločbe, s katero se dodeli BPP, ni namenjena le prosilcu in je potrebno pri tem upoštevati tudi javni interes, saj se sredstva, potrebna za izvajanje BPP</w:t>
      </w:r>
      <w:r>
        <w:rPr>
          <w:rFonts w:eastAsia="Calibri"/>
          <w:bCs/>
        </w:rPr>
        <w:t>,</w:t>
      </w:r>
      <w:r w:rsidRPr="00714219">
        <w:rPr>
          <w:rFonts w:eastAsia="Calibri"/>
          <w:bCs/>
        </w:rPr>
        <w:t xml:space="preserve"> zagotovijo iz proračuna R</w:t>
      </w:r>
      <w:r>
        <w:rPr>
          <w:rFonts w:eastAsia="Calibri"/>
          <w:bCs/>
        </w:rPr>
        <w:t>epublike Slovenije</w:t>
      </w:r>
      <w:r w:rsidRPr="00714219">
        <w:rPr>
          <w:rFonts w:eastAsia="Calibri"/>
          <w:bCs/>
        </w:rPr>
        <w:t>, zato za ta sredstva veljajo proračunska načela učinkovitosti in gospodarnosti.</w:t>
      </w:r>
      <w:r>
        <w:rPr>
          <w:rFonts w:eastAsia="Calibri"/>
          <w:bCs/>
        </w:rPr>
        <w:t xml:space="preserve"> </w:t>
      </w:r>
      <w:r w:rsidRPr="00714219">
        <w:rPr>
          <w:rFonts w:eastAsia="Calibri"/>
          <w:bCs/>
        </w:rPr>
        <w:t>Pričakovanja prosilca, da bo ESČP odpravilo zanj sporni akt oz</w:t>
      </w:r>
      <w:r>
        <w:rPr>
          <w:rFonts w:eastAsia="Calibri"/>
          <w:bCs/>
        </w:rPr>
        <w:t>iroma</w:t>
      </w:r>
      <w:r w:rsidRPr="00714219">
        <w:rPr>
          <w:rFonts w:eastAsia="Calibri"/>
          <w:bCs/>
        </w:rPr>
        <w:t xml:space="preserve"> da bo državi naložilo sprejetje akta, so nerealna in izčrpavanje pravnih sredstev ni dovolj za vložitev pritožbe na ESČP.  Sodišče je ugotovilo, da obrazložitev odločbe ne vsebuje konkretizacije do podkriterijev »očitne nerazumnosti zadeve« in »pomembnosti zadeve za socialno-ekonomski položaj prosilca«. </w:t>
      </w:r>
    </w:p>
    <w:p w14:paraId="0D93AC34" w14:textId="77777777" w:rsidR="00695AE2" w:rsidRPr="00714219" w:rsidRDefault="00695AE2" w:rsidP="00695AE2">
      <w:pPr>
        <w:spacing w:line="240" w:lineRule="auto"/>
        <w:ind w:left="38"/>
        <w:jc w:val="both"/>
        <w:rPr>
          <w:rFonts w:eastAsia="Calibri"/>
          <w:bCs/>
        </w:rPr>
      </w:pPr>
    </w:p>
    <w:p w14:paraId="7541F08C" w14:textId="77777777" w:rsidR="00695AE2" w:rsidRPr="00714219" w:rsidRDefault="00695AE2" w:rsidP="00695AE2">
      <w:pPr>
        <w:spacing w:line="240" w:lineRule="auto"/>
        <w:ind w:left="38"/>
        <w:jc w:val="both"/>
        <w:rPr>
          <w:rFonts w:eastAsia="Calibri"/>
          <w:b/>
          <w:color w:val="007466"/>
        </w:rPr>
      </w:pPr>
      <w:r w:rsidRPr="00714219">
        <w:rPr>
          <w:rFonts w:eastAsia="Calibri"/>
          <w:b/>
          <w:color w:val="007466"/>
        </w:rPr>
        <w:t>Sodba Upravnega sodišča, opr. št. IV U 74/2025-7 z dne 23. 7. 2025</w:t>
      </w:r>
    </w:p>
    <w:p w14:paraId="7DB62AC2" w14:textId="77777777" w:rsidR="00695AE2" w:rsidRPr="00714219" w:rsidRDefault="00695AE2" w:rsidP="00695AE2">
      <w:pPr>
        <w:spacing w:line="240" w:lineRule="auto"/>
        <w:ind w:left="38"/>
        <w:jc w:val="both"/>
        <w:rPr>
          <w:rFonts w:eastAsia="Calibri"/>
          <w:bCs/>
        </w:rPr>
      </w:pPr>
    </w:p>
    <w:p w14:paraId="50935713" w14:textId="77777777" w:rsidR="00695AE2" w:rsidRPr="00714219" w:rsidRDefault="00695AE2" w:rsidP="00695AE2">
      <w:pPr>
        <w:spacing w:line="240" w:lineRule="auto"/>
        <w:ind w:left="38"/>
        <w:jc w:val="both"/>
        <w:rPr>
          <w:rFonts w:eastAsia="Calibri"/>
          <w:bCs/>
        </w:rPr>
      </w:pPr>
      <w:r w:rsidRPr="00714219">
        <w:rPr>
          <w:rFonts w:eastAsia="Calibri"/>
          <w:bCs/>
        </w:rPr>
        <w:t xml:space="preserve">zaprošanje za BPP za sestavo in vložitev odgovora na odgovor upnika v izvršilnem postopku. </w:t>
      </w:r>
    </w:p>
    <w:p w14:paraId="3F8064D2" w14:textId="77777777" w:rsidR="00695AE2" w:rsidRPr="00714219" w:rsidRDefault="00695AE2" w:rsidP="00695AE2">
      <w:pPr>
        <w:spacing w:line="240" w:lineRule="auto"/>
        <w:ind w:left="38"/>
        <w:jc w:val="both"/>
        <w:rPr>
          <w:rFonts w:eastAsia="Calibri"/>
          <w:bCs/>
        </w:rPr>
      </w:pPr>
      <w:r w:rsidRPr="00714219">
        <w:rPr>
          <w:rFonts w:eastAsia="Calibri"/>
          <w:bCs/>
        </w:rPr>
        <w:t xml:space="preserve">Jedro: Organ odločanja o BPP je spregledal, da četrta alineja 8. čl. BPP ureja položaj, o se BPP po ZBPP ne dodeljuje. Določba 8. čl. ZBPP taksativno našteva primere, v katerih se BPP prosilcu ne dodeli. Če gre za tak primer, organ BPP ne presoja izpolnjenosti pogojev za dodelitev BPP, ki so določeni v II. in III. Poglavju zakona, temveč že na tej podlagi zavrne prošnja. Po četrti alineji 8. člena ZBPP se BPPne dodeli, kadar je prosilec dolžnik v izvršilnem postopku, začetek na podlagi izvršilnega naslova po zakonu, ki ureja izvršbo (ZIZ), razen če verjetno izkaže obstoj razlogov za ugovor zoper sklep o izvršbi, ki po določbah zakona, ki ureja izvršbo, preprečuje izvršbo. To pomeni, da se prosilcu, ki je dolžnik v izvršilnem postopku, začetem na podlagi izvršilnega naslova, ne dodeli BPP, razen če ne izkaže obstoja katerega od ugovornih razlogov iz 55. člena ZIZ. </w:t>
      </w:r>
    </w:p>
    <w:p w14:paraId="3BA89BDD" w14:textId="77777777" w:rsidR="00695AE2" w:rsidRPr="00714219" w:rsidRDefault="00695AE2" w:rsidP="00695AE2">
      <w:pPr>
        <w:spacing w:line="240" w:lineRule="auto"/>
        <w:ind w:left="38"/>
        <w:jc w:val="both"/>
        <w:rPr>
          <w:rFonts w:eastAsia="Calibri"/>
          <w:bCs/>
        </w:rPr>
      </w:pPr>
    </w:p>
    <w:p w14:paraId="4E704361" w14:textId="77777777" w:rsidR="00695AE2" w:rsidRPr="00714219" w:rsidRDefault="00695AE2" w:rsidP="00695AE2">
      <w:pPr>
        <w:spacing w:line="240" w:lineRule="auto"/>
        <w:ind w:left="38"/>
        <w:jc w:val="both"/>
        <w:rPr>
          <w:rFonts w:eastAsia="Calibri"/>
          <w:b/>
          <w:color w:val="007466"/>
        </w:rPr>
      </w:pPr>
      <w:r w:rsidRPr="00714219">
        <w:rPr>
          <w:rFonts w:eastAsia="Calibri"/>
          <w:b/>
          <w:color w:val="007466"/>
        </w:rPr>
        <w:t xml:space="preserve">Sodba Upravnega sodišča, opr. št. IV U 73/2025-7 z dne 25. 7. 2025  </w:t>
      </w:r>
    </w:p>
    <w:p w14:paraId="43D5AEC3" w14:textId="77777777" w:rsidR="00695AE2" w:rsidRPr="00714219" w:rsidRDefault="00695AE2" w:rsidP="00695AE2">
      <w:pPr>
        <w:spacing w:line="240" w:lineRule="auto"/>
        <w:ind w:left="38"/>
        <w:jc w:val="both"/>
        <w:rPr>
          <w:rFonts w:eastAsia="Calibri"/>
          <w:bCs/>
        </w:rPr>
      </w:pPr>
    </w:p>
    <w:p w14:paraId="779E5676" w14:textId="77777777" w:rsidR="00695AE2" w:rsidRPr="00714219" w:rsidRDefault="00695AE2" w:rsidP="00695AE2">
      <w:pPr>
        <w:spacing w:line="240" w:lineRule="auto"/>
        <w:ind w:left="38"/>
        <w:jc w:val="both"/>
        <w:rPr>
          <w:rFonts w:eastAsia="Calibri"/>
          <w:bCs/>
        </w:rPr>
      </w:pPr>
      <w:r>
        <w:rPr>
          <w:rFonts w:eastAsia="Calibri"/>
          <w:bCs/>
        </w:rPr>
        <w:t>Prosilec je zaprosil za BPP</w:t>
      </w:r>
      <w:r w:rsidRPr="00714219">
        <w:rPr>
          <w:rFonts w:eastAsia="Calibri"/>
          <w:bCs/>
        </w:rPr>
        <w:t xml:space="preserve"> zaradi vložitve pritožbe na ESČP</w:t>
      </w:r>
      <w:r>
        <w:rPr>
          <w:rFonts w:eastAsia="Calibri"/>
          <w:bCs/>
        </w:rPr>
        <w:t>;</w:t>
      </w:r>
      <w:r w:rsidRPr="00714219">
        <w:rPr>
          <w:rFonts w:eastAsia="Calibri"/>
          <w:bCs/>
        </w:rPr>
        <w:t xml:space="preserve"> BPP </w:t>
      </w:r>
      <w:r>
        <w:rPr>
          <w:rFonts w:eastAsia="Calibri"/>
          <w:bCs/>
        </w:rPr>
        <w:t xml:space="preserve">je bila dodeljena </w:t>
      </w:r>
      <w:r w:rsidRPr="00714219">
        <w:rPr>
          <w:rFonts w:eastAsia="Calibri"/>
          <w:bCs/>
        </w:rPr>
        <w:t>na podlagi poročila odvetnika (na podlagi predhodno dodeljene BPP za pravno svetovanje). Organ odločanja  je pri dodelitvi BPP ugotovil, da so izčrpana vsa redna in izredna pr</w:t>
      </w:r>
      <w:r>
        <w:rPr>
          <w:rFonts w:eastAsia="Calibri"/>
          <w:bCs/>
        </w:rPr>
        <w:t>avna</w:t>
      </w:r>
      <w:r w:rsidRPr="00714219">
        <w:rPr>
          <w:rFonts w:eastAsia="Calibri"/>
          <w:bCs/>
        </w:rPr>
        <w:t xml:space="preserve"> sredstva </w:t>
      </w:r>
      <w:r w:rsidRPr="00714219">
        <w:rPr>
          <w:rFonts w:eastAsia="Calibri"/>
          <w:bCs/>
        </w:rPr>
        <w:lastRenderedPageBreak/>
        <w:t>ter da rok za pritožbo na ESČP še ni potekel, da je glede na naravo spora zadeva za prosilca življenjskega pomena (izselitev iz doma) in da so bile kršene določene člov</w:t>
      </w:r>
      <w:r>
        <w:rPr>
          <w:rFonts w:eastAsia="Calibri"/>
          <w:bCs/>
        </w:rPr>
        <w:t>ekove</w:t>
      </w:r>
      <w:r w:rsidRPr="00714219">
        <w:rPr>
          <w:rFonts w:eastAsia="Calibri"/>
          <w:bCs/>
        </w:rPr>
        <w:t xml:space="preserve"> pravice in temeljne svoboščine.</w:t>
      </w:r>
    </w:p>
    <w:p w14:paraId="1067F517" w14:textId="77777777" w:rsidR="00695AE2" w:rsidRPr="00714219" w:rsidRDefault="00695AE2" w:rsidP="00695AE2">
      <w:pPr>
        <w:spacing w:line="240" w:lineRule="auto"/>
        <w:ind w:left="38"/>
        <w:jc w:val="both"/>
        <w:rPr>
          <w:rFonts w:eastAsia="Calibri"/>
          <w:bCs/>
        </w:rPr>
      </w:pPr>
    </w:p>
    <w:p w14:paraId="7F322F85" w14:textId="77777777" w:rsidR="00695AE2" w:rsidRPr="00714219" w:rsidRDefault="00695AE2" w:rsidP="00695AE2">
      <w:pPr>
        <w:spacing w:line="240" w:lineRule="auto"/>
        <w:ind w:left="38"/>
        <w:jc w:val="both"/>
        <w:rPr>
          <w:rFonts w:eastAsia="Calibri"/>
          <w:bCs/>
        </w:rPr>
      </w:pPr>
      <w:r>
        <w:rPr>
          <w:rFonts w:eastAsia="Calibri"/>
          <w:bCs/>
        </w:rPr>
        <w:t xml:space="preserve">Upravno sodišče je </w:t>
      </w:r>
      <w:r w:rsidRPr="00714219">
        <w:rPr>
          <w:rFonts w:eastAsia="Calibri"/>
          <w:bCs/>
        </w:rPr>
        <w:t>BPP odločb</w:t>
      </w:r>
      <w:r>
        <w:rPr>
          <w:rFonts w:eastAsia="Calibri"/>
          <w:bCs/>
        </w:rPr>
        <w:t>o</w:t>
      </w:r>
      <w:r w:rsidRPr="00714219">
        <w:rPr>
          <w:rFonts w:eastAsia="Calibri"/>
          <w:bCs/>
        </w:rPr>
        <w:t xml:space="preserve"> razveljavi</w:t>
      </w:r>
      <w:r>
        <w:rPr>
          <w:rFonts w:eastAsia="Calibri"/>
          <w:bCs/>
        </w:rPr>
        <w:t xml:space="preserve">lo </w:t>
      </w:r>
      <w:r w:rsidRPr="00714219">
        <w:rPr>
          <w:rFonts w:eastAsia="Calibri"/>
          <w:bCs/>
        </w:rPr>
        <w:t xml:space="preserve">in </w:t>
      </w:r>
      <w:r>
        <w:rPr>
          <w:rFonts w:eastAsia="Calibri"/>
          <w:bCs/>
        </w:rPr>
        <w:t xml:space="preserve">zadevo </w:t>
      </w:r>
      <w:r w:rsidRPr="00714219">
        <w:rPr>
          <w:rFonts w:eastAsia="Calibri"/>
          <w:bCs/>
        </w:rPr>
        <w:t>vrn</w:t>
      </w:r>
      <w:r>
        <w:rPr>
          <w:rFonts w:eastAsia="Calibri"/>
          <w:bCs/>
        </w:rPr>
        <w:t>ilo</w:t>
      </w:r>
      <w:r w:rsidRPr="00714219">
        <w:rPr>
          <w:rFonts w:eastAsia="Calibri"/>
          <w:bCs/>
        </w:rPr>
        <w:t xml:space="preserve"> organu v ponovno odločanje. </w:t>
      </w:r>
      <w:r>
        <w:rPr>
          <w:rFonts w:eastAsia="Calibri"/>
          <w:bCs/>
        </w:rPr>
        <w:t>Sodišče je navedlo, da bi t</w:t>
      </w:r>
      <w:r w:rsidRPr="00714219">
        <w:rPr>
          <w:rFonts w:eastAsia="Calibri"/>
          <w:bCs/>
        </w:rPr>
        <w:t xml:space="preserve">ožena stranka morala kljub poročilu odvetnika sama opraviti vsebinski preizkus prošnje in presojati možnost uspeha v zvezi s pritožbo na ESČP, in sicer neposredne prizadetosti dobrin, kriterije sprejemljivosti oziroma merila dopustnosti ter svojo odločitev konkretizirano obrazložiti. </w:t>
      </w:r>
    </w:p>
    <w:p w14:paraId="4355FC0D" w14:textId="77777777" w:rsidR="00695AE2" w:rsidRPr="00714219" w:rsidRDefault="00695AE2" w:rsidP="00695AE2">
      <w:pPr>
        <w:pStyle w:val="Jasna"/>
        <w:rPr>
          <w:sz w:val="32"/>
          <w:szCs w:val="32"/>
          <w:lang w:val="sk-SK"/>
        </w:rPr>
      </w:pPr>
    </w:p>
    <w:p w14:paraId="54B34694" w14:textId="77777777" w:rsidR="00695AE2" w:rsidRPr="00714219" w:rsidRDefault="00695AE2" w:rsidP="00695AE2">
      <w:pPr>
        <w:pStyle w:val="Naslov2"/>
      </w:pPr>
      <w:bookmarkStart w:id="1168" w:name="_Toc223094120"/>
      <w:r w:rsidRPr="00714219">
        <w:t>Postopki pred Evropskim sodiščem za človekove pravice (ESČP)</w:t>
      </w:r>
      <w:bookmarkEnd w:id="1168"/>
    </w:p>
    <w:p w14:paraId="7CA77D05" w14:textId="77777777" w:rsidR="00695AE2" w:rsidRPr="00714219" w:rsidRDefault="00695AE2" w:rsidP="00695AE2">
      <w:pPr>
        <w:pStyle w:val="Jasna"/>
        <w:rPr>
          <w:sz w:val="32"/>
          <w:szCs w:val="32"/>
        </w:rPr>
      </w:pPr>
    </w:p>
    <w:p w14:paraId="4074202D" w14:textId="77777777" w:rsidR="00695AE2" w:rsidRPr="00CB5050" w:rsidRDefault="00695AE2" w:rsidP="00695AE2">
      <w:pPr>
        <w:pStyle w:val="Naslov3"/>
      </w:pPr>
      <w:bookmarkStart w:id="1169" w:name="_Toc223094121"/>
      <w:r w:rsidRPr="00CB5050">
        <w:t>Nove zadeve</w:t>
      </w:r>
      <w:bookmarkEnd w:id="1169"/>
    </w:p>
    <w:p w14:paraId="420345D3" w14:textId="77777777" w:rsidR="00695AE2" w:rsidRPr="00CB5050" w:rsidRDefault="00695AE2" w:rsidP="00695AE2">
      <w:pPr>
        <w:spacing w:line="240" w:lineRule="auto"/>
        <w:jc w:val="both"/>
        <w:rPr>
          <w:rFonts w:eastAsia="Aptos"/>
          <w:sz w:val="28"/>
          <w:szCs w:val="28"/>
        </w:rPr>
      </w:pPr>
    </w:p>
    <w:p w14:paraId="129A8393" w14:textId="77777777" w:rsidR="00695AE2" w:rsidRPr="00CB5050" w:rsidRDefault="00695AE2" w:rsidP="00695AE2">
      <w:pPr>
        <w:spacing w:line="240" w:lineRule="auto"/>
        <w:jc w:val="both"/>
        <w:rPr>
          <w:rFonts w:eastAsia="Aptos"/>
        </w:rPr>
      </w:pPr>
      <w:r w:rsidRPr="00CB5050">
        <w:rPr>
          <w:rFonts w:eastAsia="Aptos"/>
        </w:rPr>
        <w:t>Vse v letu 2025 prejete zadeve, ki so bile Republiki Sloveniji vročene v opredelitev glede sprejemljivosti in utemeljenosti pritožbe, vsebujejo pomembna pravna vprašanja, ki bodo po odločitvi ESČP lahko imela pomemben vpliv na zakonodajo in/ali sodno prakso domačih sodišč, zato so v nadaljevanju kratko vsebinsko predstavljene.</w:t>
      </w:r>
    </w:p>
    <w:p w14:paraId="4CB662A9" w14:textId="77777777" w:rsidR="00695AE2" w:rsidRPr="00CB5050" w:rsidRDefault="00695AE2" w:rsidP="00695AE2">
      <w:pPr>
        <w:spacing w:line="240" w:lineRule="auto"/>
        <w:jc w:val="both"/>
        <w:rPr>
          <w:rFonts w:eastAsia="Aptos"/>
          <w:i/>
          <w:iCs/>
          <w:color w:val="202124"/>
        </w:rPr>
      </w:pPr>
    </w:p>
    <w:p w14:paraId="0BF3D972" w14:textId="77777777" w:rsidR="00695AE2" w:rsidRPr="00CB5050" w:rsidRDefault="00695AE2" w:rsidP="00695AE2">
      <w:pPr>
        <w:pStyle w:val="Naslov4"/>
        <w:ind w:left="0" w:firstLine="0"/>
      </w:pPr>
      <w:bookmarkStart w:id="1170" w:name="_Toc223094122"/>
      <w:r w:rsidRPr="00256503">
        <w:rPr>
          <w:i/>
          <w:iCs/>
        </w:rPr>
        <w:t>Gabrijan in drugi proti Sloveniji</w:t>
      </w:r>
      <w:r w:rsidRPr="00CB5050">
        <w:t xml:space="preserve">, št. 19722/24 in </w:t>
      </w:r>
      <w:r w:rsidRPr="00256503">
        <w:rPr>
          <w:i/>
          <w:iCs/>
        </w:rPr>
        <w:t>Kandrič proti Sloveniji</w:t>
      </w:r>
      <w:r w:rsidRPr="00CB5050">
        <w:t>, št. 20307/24 20307/24</w:t>
      </w:r>
      <w:bookmarkEnd w:id="1170"/>
    </w:p>
    <w:p w14:paraId="24E99B0B" w14:textId="77777777" w:rsidR="00695AE2" w:rsidRPr="00CB5050" w:rsidRDefault="00695AE2" w:rsidP="00695AE2">
      <w:pPr>
        <w:spacing w:line="240" w:lineRule="auto"/>
        <w:jc w:val="both"/>
        <w:rPr>
          <w:rFonts w:eastAsia="Aptos"/>
          <w:bCs/>
          <w:iCs/>
        </w:rPr>
      </w:pPr>
    </w:p>
    <w:p w14:paraId="30EDCA6A" w14:textId="77777777" w:rsidR="00695AE2" w:rsidRPr="00CB5050" w:rsidRDefault="00695AE2" w:rsidP="00695AE2">
      <w:pPr>
        <w:spacing w:line="240" w:lineRule="auto"/>
        <w:jc w:val="both"/>
        <w:rPr>
          <w:rFonts w:eastAsia="Aptos"/>
        </w:rPr>
      </w:pPr>
      <w:r w:rsidRPr="00CB5050">
        <w:rPr>
          <w:rFonts w:eastAsia="Aptos"/>
        </w:rPr>
        <w:t>Pritožniki zatrjujejo kršitev pravice do varstva premoženja iz 1. člena Protokola št. 1 h EKČP, do katere naj bi prišlo, ker kot nekdanji imetniki stanovanjske pravice na stanovanjih, ki so bila po drugi svetovni vojni zaplenjena njihovemu lastniku in so zato bila predmet postopka za vračilo na podlagi 145. člena Zakona o izvrševanju kazenskih sankcij (ZIKS), teh stanovanj niso mogli odkupiti pod ugodnimi pogoji Stanovanjskega zakona. Čeprav postopek po ZIKS še ni bil zaključen, so pritožniki z Javnim medobčinskim stanovanjskim skladom Maribor (JMSSM) za stanovanja sklenili prodajne pogodbe, kar pa jim ni omogočilo pridobitve lastninske pravice. V času sklenitve prodajnih pogodb je bil postopek po ZIKS v fazi, ko je bil zahtevek za vrnitev premoženja pravnomočno zavrnjen, vlagatelj zahtevka pa je vložil revizijo. Vrhovno sodišče RS je reviziji ugodilo, razveljavilo sklep o zavrnitvi zahtevka za vračilo ter zadevo vrnilo sodišču prve stopnje v ponovno obravnavo. V ponovljenem postopku je bilo premoženje, med drugim tudi stanovanja, za katera so pritožniki sklenili prodajne pogodbe z JMSSM, vrnjeno prvotnemu lastniku.</w:t>
      </w:r>
    </w:p>
    <w:p w14:paraId="2D7B210C" w14:textId="77777777" w:rsidR="00695AE2" w:rsidRPr="00CB5050" w:rsidRDefault="00695AE2" w:rsidP="00695AE2">
      <w:pPr>
        <w:spacing w:line="240" w:lineRule="auto"/>
        <w:jc w:val="both"/>
        <w:rPr>
          <w:rFonts w:eastAsia="Aptos"/>
        </w:rPr>
      </w:pPr>
    </w:p>
    <w:p w14:paraId="67AF8959" w14:textId="77777777" w:rsidR="00695AE2" w:rsidRPr="00CB5050" w:rsidRDefault="00695AE2" w:rsidP="00695AE2">
      <w:pPr>
        <w:spacing w:line="240" w:lineRule="auto"/>
        <w:jc w:val="both"/>
        <w:rPr>
          <w:rFonts w:eastAsia="Aptos"/>
        </w:rPr>
      </w:pPr>
      <w:r w:rsidRPr="00CB5050">
        <w:rPr>
          <w:rFonts w:eastAsia="Aptos"/>
        </w:rPr>
        <w:t>Pritožniki so predlagali obnovo postopka po ZIKS, vendar so bili njihovi predlogi sprva večkrat zavrženi. Šele po uspehu v postopku pred Ustavnim sodiščem RS je Višje sodišče v Mariboru s sklepom, opr. št. I Cp 1051/2017 z dne 9. 4. 2018, dovolilo obnovo. Po navedbah pritožnikov naj bi sodišče druge stopnje v tem sklepu ugotovilo, da so na podlagi sklenjenih prodajnih pogodb z JMSSM postali lastniki stanovanj po samem zakonu.</w:t>
      </w:r>
    </w:p>
    <w:p w14:paraId="5434F9D1" w14:textId="77777777" w:rsidR="00695AE2" w:rsidRPr="00CB5050" w:rsidRDefault="00695AE2" w:rsidP="00695AE2">
      <w:pPr>
        <w:spacing w:line="240" w:lineRule="auto"/>
        <w:jc w:val="both"/>
        <w:rPr>
          <w:rFonts w:eastAsia="Aptos"/>
        </w:rPr>
      </w:pPr>
    </w:p>
    <w:p w14:paraId="0F60A2A4" w14:textId="77777777" w:rsidR="00695AE2" w:rsidRPr="00CB5050" w:rsidRDefault="00695AE2" w:rsidP="00695AE2">
      <w:pPr>
        <w:spacing w:line="240" w:lineRule="auto"/>
        <w:jc w:val="both"/>
        <w:rPr>
          <w:rFonts w:eastAsia="Aptos"/>
        </w:rPr>
      </w:pPr>
      <w:r w:rsidRPr="00CB5050">
        <w:rPr>
          <w:rFonts w:eastAsia="Aptos"/>
        </w:rPr>
        <w:t xml:space="preserve">Medtem ko je bil obnovitveni postopek za vrnitev premoženja po ZIKS, ki se je vodil na predlog pritožnikov, še v teku, so pritožniki vložili tožbo proti pravnemu nasledniku prvotnega lastnika stanovanj ter družbi, na katero je prenesel vrnjeno premoženje. S tožbo so želeli doseči ugotovitev svojega lastništva nad stanovanji in vpis lastninske pravice v zemljiško knjigo. </w:t>
      </w:r>
      <w:r w:rsidRPr="00CB5050">
        <w:rPr>
          <w:rFonts w:eastAsia="Aptos"/>
        </w:rPr>
        <w:lastRenderedPageBreak/>
        <w:t>Zahtevek pritožnikov je bil v pravdi na več sodnih stopnjah pravnomočno zavrnjen. Po mnenju pritožnikov naj bi sodišče druge stopnje v sklepu z dne 6. 7. 2021 glede njihovega lastništva zavzelo diametralno nasprotno stališče tistemu iz sklepa z dne 9. 4. 2018. Zoper sklep z dne 6. 7. 2021 so pritožniki vložili predlog za dopustitev revizije, ki pa ga je Vrhovno sodišče zavrnilo.</w:t>
      </w:r>
    </w:p>
    <w:p w14:paraId="094C2DA5" w14:textId="77777777" w:rsidR="00695AE2" w:rsidRPr="00CB5050" w:rsidRDefault="00695AE2" w:rsidP="00695AE2">
      <w:pPr>
        <w:spacing w:line="240" w:lineRule="auto"/>
        <w:jc w:val="both"/>
        <w:rPr>
          <w:rFonts w:eastAsia="Aptos"/>
        </w:rPr>
      </w:pPr>
    </w:p>
    <w:p w14:paraId="4A7FD208" w14:textId="77777777" w:rsidR="00695AE2" w:rsidRPr="00CB5050" w:rsidRDefault="00695AE2" w:rsidP="00695AE2">
      <w:pPr>
        <w:spacing w:line="240" w:lineRule="auto"/>
        <w:jc w:val="both"/>
        <w:rPr>
          <w:rFonts w:eastAsia="Aptos"/>
        </w:rPr>
      </w:pPr>
      <w:r w:rsidRPr="00CB5050">
        <w:rPr>
          <w:rFonts w:eastAsia="Aptos"/>
        </w:rPr>
        <w:t>Pritožniki navajajo, da prodajne pogodbe, ki so jih sklenili z JMSSM, niso bile razveljavljene v nobenem postopku. Ne strinjajo se z zaključki sodišč v pravdi, da JMSSM ni nikoli postal lastnik stanovanj in jih zato ni mogel prodati pritožnikom. Pritožniki trdijo, da so zaradi navedenih okoliščin izgubili stanovanja, v katerih so živeli vse življenje – najprej kot imetniki stanovanjske pravice, nato kot kupci in domnevni lastniki. Po dolgotrajnih sodnih postopkih naj bi ostali brez stanovanj, ki so jih kupili in zanje plačali kupnino.</w:t>
      </w:r>
    </w:p>
    <w:p w14:paraId="24A95480" w14:textId="77777777" w:rsidR="00695AE2" w:rsidRPr="00CB5050" w:rsidRDefault="00695AE2" w:rsidP="00695AE2">
      <w:pPr>
        <w:spacing w:line="240" w:lineRule="auto"/>
        <w:jc w:val="both"/>
        <w:rPr>
          <w:rFonts w:eastAsia="Aptos"/>
        </w:rPr>
      </w:pPr>
    </w:p>
    <w:p w14:paraId="0F1B72F1" w14:textId="77777777" w:rsidR="00695AE2" w:rsidRPr="00CB5050" w:rsidRDefault="00695AE2" w:rsidP="00695AE2">
      <w:pPr>
        <w:spacing w:line="240" w:lineRule="auto"/>
        <w:jc w:val="both"/>
        <w:rPr>
          <w:rFonts w:eastAsia="Aptos"/>
        </w:rPr>
      </w:pPr>
      <w:r w:rsidRPr="00CB5050">
        <w:rPr>
          <w:rFonts w:eastAsia="Aptos"/>
        </w:rPr>
        <w:t>ESČP je na Vlado RS naslovilo naslednja vprašanja:</w:t>
      </w:r>
    </w:p>
    <w:p w14:paraId="2B15431F" w14:textId="77777777" w:rsidR="00695AE2" w:rsidRPr="00CB5050" w:rsidRDefault="00695AE2" w:rsidP="00695AE2">
      <w:pPr>
        <w:spacing w:line="240" w:lineRule="auto"/>
        <w:jc w:val="both"/>
        <w:rPr>
          <w:rFonts w:eastAsia="Aptos"/>
        </w:rPr>
      </w:pPr>
    </w:p>
    <w:p w14:paraId="69BCBF3F" w14:textId="77777777" w:rsidR="00695AE2" w:rsidRPr="00CB5050" w:rsidRDefault="00695AE2" w:rsidP="006D16C0">
      <w:pPr>
        <w:numPr>
          <w:ilvl w:val="0"/>
          <w:numId w:val="140"/>
        </w:numPr>
        <w:spacing w:after="160" w:line="240" w:lineRule="auto"/>
        <w:contextualSpacing/>
        <w:jc w:val="both"/>
        <w:rPr>
          <w:rFonts w:eastAsia="Aptos"/>
          <w:i/>
          <w:iCs/>
        </w:rPr>
      </w:pPr>
      <w:r w:rsidRPr="00CB5050">
        <w:rPr>
          <w:rFonts w:eastAsia="Aptos"/>
          <w:i/>
          <w:iCs/>
        </w:rPr>
        <w:t>Ali je prišlo do posega v pravico pritožnikov, določeno v 1. členu Protokola št. 1 h konvenciji?</w:t>
      </w:r>
    </w:p>
    <w:p w14:paraId="0901BC91" w14:textId="77777777" w:rsidR="00695AE2" w:rsidRPr="00CB5050" w:rsidRDefault="00695AE2" w:rsidP="00695AE2">
      <w:pPr>
        <w:spacing w:line="240" w:lineRule="auto"/>
        <w:jc w:val="both"/>
        <w:rPr>
          <w:rFonts w:eastAsia="Aptos"/>
          <w:i/>
          <w:iCs/>
        </w:rPr>
      </w:pPr>
    </w:p>
    <w:p w14:paraId="22ABB0A3" w14:textId="77777777" w:rsidR="00695AE2" w:rsidRPr="00CB5050" w:rsidRDefault="00695AE2" w:rsidP="00695AE2">
      <w:pPr>
        <w:spacing w:line="240" w:lineRule="auto"/>
        <w:ind w:left="709"/>
        <w:jc w:val="both"/>
        <w:rPr>
          <w:rFonts w:eastAsia="Aptos"/>
          <w:i/>
          <w:iCs/>
        </w:rPr>
      </w:pPr>
      <w:r w:rsidRPr="00CB5050">
        <w:rPr>
          <w:rFonts w:eastAsia="Aptos"/>
          <w:i/>
          <w:iCs/>
        </w:rPr>
        <w:t xml:space="preserve">Če je odgovor pritrdilen, ali je bil ta poseg v skladu z zahtevami iz 1. člena Protokola št. 1? Natančneje, ali so domača sodišča, v posebnih okoliščinah primera pritožnikov, vzpostavila potrebno pravično ravnovesje med nasprotujočimi si interesi (glej </w:t>
      </w:r>
      <w:r w:rsidRPr="00CB5050">
        <w:rPr>
          <w:rFonts w:eastAsia="Aptos"/>
        </w:rPr>
        <w:t>Seregin in drugi proti Rusiji</w:t>
      </w:r>
      <w:r w:rsidRPr="00CB5050">
        <w:rPr>
          <w:rFonts w:eastAsia="Aptos"/>
          <w:i/>
          <w:iCs/>
        </w:rPr>
        <w:t xml:space="preserve">, št. 31686/16 in 4 druge, §§ 89-111, 16. marec 2021; </w:t>
      </w:r>
      <w:r w:rsidRPr="00CB5050">
        <w:rPr>
          <w:rFonts w:eastAsia="Aptos"/>
        </w:rPr>
        <w:t>Vukušić proti Hrvaški</w:t>
      </w:r>
      <w:r w:rsidRPr="00CB5050">
        <w:rPr>
          <w:rFonts w:eastAsia="Aptos"/>
          <w:i/>
          <w:iCs/>
        </w:rPr>
        <w:t xml:space="preserve">, št. 69735/11, §§ 60-70, 31. maj 2016; </w:t>
      </w:r>
      <w:r w:rsidRPr="00CB5050">
        <w:rPr>
          <w:rFonts w:eastAsia="Aptos"/>
        </w:rPr>
        <w:t>Gladysheva proti Rusiji</w:t>
      </w:r>
      <w:r w:rsidRPr="00CB5050">
        <w:rPr>
          <w:rFonts w:eastAsia="Aptos"/>
          <w:i/>
          <w:iCs/>
        </w:rPr>
        <w:t xml:space="preserve">, št. 7097/10, §§ 64-83, 6. december 2011; in </w:t>
      </w:r>
      <w:r w:rsidRPr="00CB5050">
        <w:rPr>
          <w:rFonts w:eastAsia="Aptos"/>
        </w:rPr>
        <w:t>Gashi proti Hrvaški</w:t>
      </w:r>
      <w:r w:rsidRPr="00CB5050">
        <w:rPr>
          <w:rFonts w:eastAsia="Aptos"/>
          <w:i/>
          <w:iCs/>
        </w:rPr>
        <w:t>, št. 32457/05, §§ 27-43, 13. december 2007)?</w:t>
      </w:r>
    </w:p>
    <w:p w14:paraId="2FA42C44" w14:textId="77777777" w:rsidR="00695AE2" w:rsidRPr="00CB5050" w:rsidRDefault="00695AE2" w:rsidP="00695AE2">
      <w:pPr>
        <w:spacing w:line="240" w:lineRule="auto"/>
        <w:jc w:val="both"/>
        <w:rPr>
          <w:rFonts w:eastAsia="Aptos"/>
          <w:i/>
          <w:iCs/>
        </w:rPr>
      </w:pPr>
    </w:p>
    <w:p w14:paraId="4842F861" w14:textId="77777777" w:rsidR="00695AE2" w:rsidRPr="00CB5050" w:rsidRDefault="00695AE2" w:rsidP="006D16C0">
      <w:pPr>
        <w:numPr>
          <w:ilvl w:val="0"/>
          <w:numId w:val="140"/>
        </w:numPr>
        <w:spacing w:after="160" w:line="240" w:lineRule="auto"/>
        <w:contextualSpacing/>
        <w:jc w:val="both"/>
        <w:rPr>
          <w:rFonts w:eastAsia="Aptos"/>
          <w:i/>
          <w:iCs/>
        </w:rPr>
      </w:pPr>
      <w:r w:rsidRPr="00CB5050">
        <w:rPr>
          <w:rFonts w:eastAsia="Aptos"/>
          <w:i/>
          <w:iCs/>
        </w:rPr>
        <w:t>Ali lahko pritožniki v ponovno odprtem postopku za vrnitev premoženja pridobijo pravno sredstvo za domnevno kršitev njihove pravice iz 1. člena Protokola št. 1? Ali imajo pritožniki na voljo kakršne koli druge postopke, ki bi predstavljali učinkovito pravno sredstvo v smislu prvega odstavka 35. člena konvencije v zvezi z njihovo pritožbo po 1. členu Protokola št. 1?</w:t>
      </w:r>
    </w:p>
    <w:p w14:paraId="4C3F8C9C" w14:textId="77777777" w:rsidR="00695AE2" w:rsidRPr="00CB5050" w:rsidRDefault="00695AE2" w:rsidP="00695AE2">
      <w:pPr>
        <w:spacing w:line="240" w:lineRule="auto"/>
        <w:contextualSpacing/>
        <w:jc w:val="both"/>
        <w:rPr>
          <w:rFonts w:eastAsia="Aptos"/>
          <w:i/>
          <w:iCs/>
        </w:rPr>
      </w:pPr>
    </w:p>
    <w:p w14:paraId="3D0221AD" w14:textId="77777777" w:rsidR="00695AE2" w:rsidRPr="00CB5050" w:rsidRDefault="00695AE2" w:rsidP="00695AE2">
      <w:pPr>
        <w:pStyle w:val="Naslov4"/>
        <w:rPr>
          <w:szCs w:val="22"/>
        </w:rPr>
      </w:pPr>
      <w:bookmarkStart w:id="1171" w:name="_Toc223094123"/>
      <w:r w:rsidRPr="00256503">
        <w:rPr>
          <w:i/>
          <w:iCs/>
        </w:rPr>
        <w:t>Piščanc in drugi proti Sloveniji</w:t>
      </w:r>
      <w:r w:rsidRPr="00CB5050">
        <w:t>, št. 16658/24</w:t>
      </w:r>
      <w:bookmarkEnd w:id="1171"/>
    </w:p>
    <w:p w14:paraId="15D2BDFF" w14:textId="77777777" w:rsidR="00695AE2" w:rsidRPr="00CB5050" w:rsidRDefault="00695AE2" w:rsidP="00695AE2">
      <w:pPr>
        <w:spacing w:line="240" w:lineRule="auto"/>
        <w:jc w:val="both"/>
        <w:rPr>
          <w:rFonts w:eastAsia="Aptos"/>
        </w:rPr>
      </w:pPr>
    </w:p>
    <w:p w14:paraId="50CF9270" w14:textId="77777777" w:rsidR="00695AE2" w:rsidRPr="00CB5050" w:rsidRDefault="00695AE2" w:rsidP="00695AE2">
      <w:pPr>
        <w:spacing w:line="240" w:lineRule="auto"/>
        <w:jc w:val="both"/>
        <w:rPr>
          <w:rFonts w:eastAsia="Aptos"/>
          <w:bCs/>
        </w:rPr>
      </w:pPr>
      <w:r w:rsidRPr="00CB5050">
        <w:rPr>
          <w:rFonts w:eastAsia="Aptos"/>
          <w:bCs/>
        </w:rPr>
        <w:t>Pritožniki v pritožbi zatrjujejo kršitev pravice do mirnega uživanja premoženja iz 1. člena Protokola št. 1 h konvenciji, kršitev pravice do dostopa do sodišča iz 6. člena ter kršitev pravice do učinkovitega pravnega sredstva iz 13. člena konvencije.</w:t>
      </w:r>
    </w:p>
    <w:p w14:paraId="4631B25F" w14:textId="77777777" w:rsidR="00695AE2" w:rsidRPr="00CB5050" w:rsidRDefault="00695AE2" w:rsidP="00695AE2">
      <w:pPr>
        <w:spacing w:line="240" w:lineRule="auto"/>
        <w:jc w:val="both"/>
        <w:rPr>
          <w:rFonts w:eastAsia="Aptos"/>
          <w:bCs/>
        </w:rPr>
      </w:pPr>
    </w:p>
    <w:p w14:paraId="7B94BEA0" w14:textId="77777777" w:rsidR="00695AE2" w:rsidRPr="00CB5050" w:rsidRDefault="00695AE2" w:rsidP="00695AE2">
      <w:pPr>
        <w:spacing w:line="240" w:lineRule="auto"/>
        <w:jc w:val="both"/>
        <w:rPr>
          <w:rFonts w:eastAsia="Aptos"/>
          <w:bCs/>
        </w:rPr>
      </w:pPr>
      <w:r w:rsidRPr="00CB5050">
        <w:rPr>
          <w:rFonts w:eastAsia="Aptos"/>
          <w:bCs/>
        </w:rPr>
        <w:t>Republika Slovenija je v letu 2011 sprejela Prostorski načrt ureditve Luke Koper, čemur so pritožniki nasprotovali. Nekateri od njih so ga po sprejemu izpodbijali pred Ustavnim sodiščem zaradi spremembe namembnosti zemljišč, katerih lastniki so bili, s pobudo za oceno ustavnosti in zakonitosti. Ustavno sodišče je pobudo zavrglo, ker pritožniki niso izkazali pravnega interesa.</w:t>
      </w:r>
    </w:p>
    <w:p w14:paraId="1461F158" w14:textId="77777777" w:rsidR="00695AE2" w:rsidRPr="00CB5050" w:rsidRDefault="00695AE2" w:rsidP="00695AE2">
      <w:pPr>
        <w:spacing w:line="240" w:lineRule="auto"/>
        <w:jc w:val="both"/>
        <w:rPr>
          <w:rFonts w:eastAsia="Aptos"/>
          <w:bCs/>
        </w:rPr>
      </w:pPr>
    </w:p>
    <w:p w14:paraId="0C748222" w14:textId="77777777" w:rsidR="00695AE2" w:rsidRPr="00CB5050" w:rsidRDefault="00695AE2" w:rsidP="00695AE2">
      <w:pPr>
        <w:spacing w:line="240" w:lineRule="auto"/>
        <w:jc w:val="both"/>
        <w:rPr>
          <w:rFonts w:eastAsia="Aptos"/>
          <w:bCs/>
        </w:rPr>
      </w:pPr>
      <w:r w:rsidRPr="00CB5050">
        <w:rPr>
          <w:rFonts w:eastAsia="Aptos"/>
          <w:bCs/>
        </w:rPr>
        <w:t xml:space="preserve">Pritožniki so nato vložili odškodninsko tožbo zoper državo, s katero so zahtevali milijon evrov odškodnine zaradi zmanjšanja vrednosti njihovih zemljišč, ki je nastala kot posledica sprejetega Prostorskega načrta oziroma spremembe namembnosti zemljišč. Višje sodišče v Ljubljani je zavrnilo tožbeni zahtevek z obrazložitvijo, da bi morali pritožniki na Ustavno </w:t>
      </w:r>
      <w:r w:rsidRPr="00CB5050">
        <w:rPr>
          <w:rFonts w:eastAsia="Aptos"/>
          <w:bCs/>
        </w:rPr>
        <w:lastRenderedPageBreak/>
        <w:t>sodišče pred vložitvijo odškodninske tožbe vložiti pobudo za oceno ustavnosti in zakonitosti Prostorskega načrta. Zoper odločitev višjega sodišča so pritožniki vložili predlog za dopustitev revizije, ki ga je Vrhovno sodišče zavrnilo. Pritožniki so vložili ustavno pritožbo, ki je Ustavno sodišče ni sprejelo v obravnavo z obrazložitvijo, da bi morali pritožniki zoper Prostorski načrt v skladu s sodno prakso Ustavnega sodišča iz leta 2019 vložiti pobudo za oceno ustavnosti in zakonitosti.</w:t>
      </w:r>
    </w:p>
    <w:p w14:paraId="6CB0F890" w14:textId="77777777" w:rsidR="00695AE2" w:rsidRPr="00CB5050" w:rsidRDefault="00695AE2" w:rsidP="00695AE2">
      <w:pPr>
        <w:spacing w:line="240" w:lineRule="auto"/>
        <w:jc w:val="both"/>
        <w:rPr>
          <w:rFonts w:eastAsia="Aptos"/>
          <w:bCs/>
        </w:rPr>
      </w:pPr>
    </w:p>
    <w:p w14:paraId="5C3C9E94" w14:textId="77777777" w:rsidR="00695AE2" w:rsidRPr="00CB5050" w:rsidRDefault="00695AE2" w:rsidP="00695AE2">
      <w:pPr>
        <w:widowControl w:val="0"/>
        <w:spacing w:line="240" w:lineRule="auto"/>
        <w:jc w:val="both"/>
        <w:rPr>
          <w:rFonts w:eastAsia="Aptos"/>
        </w:rPr>
      </w:pPr>
      <w:r w:rsidRPr="00CB5050">
        <w:rPr>
          <w:rFonts w:eastAsia="Aptos"/>
        </w:rPr>
        <w:t>Sodišče je vladi zastavilo naslednja vprašanja:</w:t>
      </w:r>
    </w:p>
    <w:p w14:paraId="1C9C6DC2" w14:textId="77777777" w:rsidR="00695AE2" w:rsidRPr="00CB5050" w:rsidRDefault="00695AE2" w:rsidP="00695AE2">
      <w:pPr>
        <w:widowControl w:val="0"/>
        <w:spacing w:line="240" w:lineRule="auto"/>
        <w:jc w:val="both"/>
        <w:rPr>
          <w:rFonts w:eastAsia="Aptos"/>
          <w:i/>
          <w:iCs/>
        </w:rPr>
      </w:pPr>
    </w:p>
    <w:p w14:paraId="382B64B9" w14:textId="77777777" w:rsidR="00695AE2" w:rsidRPr="00CB5050" w:rsidRDefault="00695AE2" w:rsidP="006D16C0">
      <w:pPr>
        <w:widowControl w:val="0"/>
        <w:numPr>
          <w:ilvl w:val="0"/>
          <w:numId w:val="147"/>
        </w:numPr>
        <w:spacing w:after="160" w:line="240" w:lineRule="auto"/>
        <w:contextualSpacing/>
        <w:jc w:val="both"/>
        <w:rPr>
          <w:rFonts w:eastAsia="Aptos"/>
          <w:i/>
          <w:iCs/>
        </w:rPr>
      </w:pPr>
      <w:r w:rsidRPr="00CB5050">
        <w:rPr>
          <w:rFonts w:eastAsia="Aptos"/>
          <w:i/>
          <w:iCs/>
        </w:rPr>
        <w:t>Ali so imeli pritožniki dostop do sodišča za odločanje o njihovih civilnih pravicah in obveznostih v skladu s prvim odstavkom 6. člena konvencije?</w:t>
      </w:r>
    </w:p>
    <w:p w14:paraId="73C3DE5A" w14:textId="77777777" w:rsidR="00695AE2" w:rsidRPr="00CB5050" w:rsidRDefault="00695AE2" w:rsidP="00695AE2">
      <w:pPr>
        <w:widowControl w:val="0"/>
        <w:spacing w:line="240" w:lineRule="auto"/>
        <w:ind w:left="720"/>
        <w:contextualSpacing/>
        <w:jc w:val="both"/>
        <w:rPr>
          <w:rFonts w:eastAsia="Aptos"/>
          <w:i/>
          <w:iCs/>
        </w:rPr>
      </w:pPr>
    </w:p>
    <w:p w14:paraId="3C361809" w14:textId="77777777" w:rsidR="00695AE2" w:rsidRPr="00CB5050" w:rsidRDefault="00695AE2" w:rsidP="006D16C0">
      <w:pPr>
        <w:widowControl w:val="0"/>
        <w:numPr>
          <w:ilvl w:val="0"/>
          <w:numId w:val="147"/>
        </w:numPr>
        <w:spacing w:after="160" w:line="240" w:lineRule="auto"/>
        <w:contextualSpacing/>
        <w:jc w:val="both"/>
        <w:rPr>
          <w:rFonts w:eastAsia="Aptos"/>
          <w:i/>
          <w:iCs/>
        </w:rPr>
      </w:pPr>
      <w:r w:rsidRPr="00CB5050">
        <w:rPr>
          <w:rFonts w:eastAsia="Aptos"/>
          <w:i/>
          <w:iCs/>
        </w:rPr>
        <w:t>Ali je zaradi izpodbijane uredbe prišlo do posega v premoženjske pravice pritožnikov v smislu 1. člena Protokola št. 1 h konvenciji? Če je do takega posega prišlo, ali je bil ta poseg upravičen na podlagi navedene določbe?</w:t>
      </w:r>
    </w:p>
    <w:p w14:paraId="0244D622" w14:textId="77777777" w:rsidR="00695AE2" w:rsidRPr="00CB5050" w:rsidRDefault="00695AE2" w:rsidP="00695AE2">
      <w:pPr>
        <w:spacing w:line="240" w:lineRule="auto"/>
        <w:ind w:left="720"/>
        <w:contextualSpacing/>
        <w:rPr>
          <w:rFonts w:eastAsia="Aptos"/>
          <w:i/>
          <w:iCs/>
        </w:rPr>
      </w:pPr>
    </w:p>
    <w:p w14:paraId="25D7870F" w14:textId="77777777" w:rsidR="00695AE2" w:rsidRPr="00CB5050" w:rsidRDefault="00695AE2" w:rsidP="00695AE2">
      <w:pPr>
        <w:widowControl w:val="0"/>
        <w:spacing w:line="240" w:lineRule="auto"/>
        <w:ind w:left="709"/>
        <w:jc w:val="both"/>
        <w:rPr>
          <w:rFonts w:eastAsia="Aptos"/>
          <w:i/>
          <w:iCs/>
        </w:rPr>
      </w:pPr>
      <w:r w:rsidRPr="00CB5050">
        <w:rPr>
          <w:rFonts w:eastAsia="Aptos"/>
          <w:i/>
          <w:iCs/>
        </w:rPr>
        <w:t xml:space="preserve">Zlasti: ali je bil poseg zakonit in sorazmeren, ob upoštevanju okoliščin, v katerih je do njega prišlo, ter zahteve, da morajo biti ukrepi, ki posegajo v pravice, zagotovljene s 1. členom Protokola št. 1 h konvenciji, spremljani z zadostnimi postopkovnimi jamstvi proti samovolji (glej </w:t>
      </w:r>
      <w:r w:rsidRPr="00CB5050">
        <w:rPr>
          <w:rFonts w:eastAsia="Aptos"/>
        </w:rPr>
        <w:t>Pintar in drugi proti Sloveniji</w:t>
      </w:r>
      <w:r w:rsidRPr="00CB5050">
        <w:rPr>
          <w:rFonts w:eastAsia="Aptos"/>
          <w:i/>
          <w:iCs/>
        </w:rPr>
        <w:t>, št. 49969/14 in 4 druge, § 97, 14. september 2021)?</w:t>
      </w:r>
    </w:p>
    <w:p w14:paraId="58650079" w14:textId="77777777" w:rsidR="00695AE2" w:rsidRPr="00CB5050" w:rsidRDefault="00695AE2" w:rsidP="00695AE2">
      <w:pPr>
        <w:widowControl w:val="0"/>
        <w:spacing w:line="240" w:lineRule="auto"/>
        <w:jc w:val="both"/>
        <w:rPr>
          <w:rFonts w:eastAsia="Aptos"/>
          <w:i/>
          <w:iCs/>
        </w:rPr>
      </w:pPr>
    </w:p>
    <w:p w14:paraId="35D01160" w14:textId="77777777" w:rsidR="00695AE2" w:rsidRPr="00CB5050" w:rsidRDefault="00695AE2" w:rsidP="006D16C0">
      <w:pPr>
        <w:widowControl w:val="0"/>
        <w:numPr>
          <w:ilvl w:val="0"/>
          <w:numId w:val="147"/>
        </w:numPr>
        <w:spacing w:after="160" w:line="240" w:lineRule="auto"/>
        <w:contextualSpacing/>
        <w:jc w:val="both"/>
        <w:rPr>
          <w:rFonts w:eastAsia="Aptos"/>
          <w:i/>
          <w:iCs/>
        </w:rPr>
      </w:pPr>
      <w:r w:rsidRPr="00CB5050">
        <w:rPr>
          <w:rFonts w:eastAsia="Aptos"/>
          <w:i/>
          <w:iCs/>
        </w:rPr>
        <w:t>Ali so imeli pritožniki na voljo učinkovito domače pravno sredstvo za svoje pritožbene očitke po 1. členu Protokola št. 1 h konvenciji, kot to zahteva 13. člen konvencije?</w:t>
      </w:r>
    </w:p>
    <w:p w14:paraId="0A376D8A" w14:textId="77777777" w:rsidR="00695AE2" w:rsidRPr="00CB5050" w:rsidRDefault="00695AE2" w:rsidP="00695AE2">
      <w:pPr>
        <w:widowControl w:val="0"/>
        <w:spacing w:line="240" w:lineRule="auto"/>
        <w:jc w:val="both"/>
        <w:rPr>
          <w:rFonts w:eastAsia="Aptos"/>
        </w:rPr>
      </w:pPr>
    </w:p>
    <w:p w14:paraId="0B71FC8F" w14:textId="77777777" w:rsidR="00695AE2" w:rsidRPr="00CB5050" w:rsidRDefault="00695AE2" w:rsidP="00695AE2">
      <w:pPr>
        <w:pStyle w:val="Naslov4"/>
        <w:rPr>
          <w:szCs w:val="22"/>
        </w:rPr>
      </w:pPr>
      <w:bookmarkStart w:id="1172" w:name="_Toc223094124"/>
      <w:r w:rsidRPr="00256503">
        <w:rPr>
          <w:i/>
          <w:iCs/>
        </w:rPr>
        <w:t>Vodopivc proti Sloveniji</w:t>
      </w:r>
      <w:r w:rsidRPr="00CB5050">
        <w:rPr>
          <w:iCs/>
        </w:rPr>
        <w:t>,</w:t>
      </w:r>
      <w:r w:rsidRPr="00CB5050">
        <w:t xml:space="preserve"> št. 25369/22</w:t>
      </w:r>
      <w:bookmarkEnd w:id="1172"/>
      <w:r w:rsidRPr="00CB5050">
        <w:t xml:space="preserve"> </w:t>
      </w:r>
    </w:p>
    <w:p w14:paraId="2EF2C0FC" w14:textId="77777777" w:rsidR="00695AE2" w:rsidRPr="00CB5050" w:rsidRDefault="00695AE2" w:rsidP="00695AE2">
      <w:pPr>
        <w:spacing w:line="240" w:lineRule="auto"/>
        <w:jc w:val="both"/>
        <w:rPr>
          <w:rFonts w:eastAsia="Aptos"/>
          <w:b/>
          <w:i/>
        </w:rPr>
      </w:pPr>
    </w:p>
    <w:p w14:paraId="31E23E84"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Pritožnik se pritožuje zaradi zatrjevane kršitve pravice do zasebnosti po 8. členu konvencije.</w:t>
      </w:r>
    </w:p>
    <w:p w14:paraId="4F8525EB" w14:textId="77777777" w:rsidR="00695AE2" w:rsidRPr="00CB5050" w:rsidRDefault="00695AE2" w:rsidP="00695AE2">
      <w:pPr>
        <w:spacing w:line="240" w:lineRule="auto"/>
        <w:jc w:val="both"/>
        <w:rPr>
          <w:rFonts w:eastAsia="Times New Roman"/>
          <w:lang w:eastAsia="sl-SI"/>
        </w:rPr>
      </w:pPr>
    </w:p>
    <w:p w14:paraId="420C8BA7"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Pritožba se nanaša na hrambo telekomunikacijskih podatkov pritožnika (podatkov o prometu in lokaciji) s strani ponudnikov telekomunikacijskih storitev, dostop organov kazenskega pregona do teh podatkov in njihovo uporabo v kazenskem postopku zoper pritožnika. Pritožnik je med kazenskim postopkom večkrat zaprosil za izključitev dokazov v zvezi z zadevnimi telekomunikacijskimi podatki, pri čemer je trdil, da je njihova hramba s strani ponudnikov in uporaba s strani organov nezakonita in v nasprotju z ustavno pravico do varstva osebnih podatkov ter 8. členom konvencije. Sodišče prve stopnje je zavrnilo njegove prošnje, sodišče druge stopnje pa je zavrnilo njegove pritožbe. Pritožil se je pri Vrhovnem sodišču in Ustavnem sodišču RS, ki je 17. januarja 2022 zavrnilo sprejem njegove ustavne pritožbe v obravnavo. Pritožnik se sklicuje na sodbo v zadevi </w:t>
      </w:r>
      <w:r w:rsidRPr="00CB5050">
        <w:rPr>
          <w:rFonts w:eastAsia="Times New Roman"/>
          <w:i/>
          <w:iCs/>
          <w:lang w:eastAsia="sl-SI"/>
        </w:rPr>
        <w:t>Škoberne proti Sloveniji</w:t>
      </w:r>
      <w:r w:rsidRPr="00CB5050">
        <w:rPr>
          <w:rFonts w:eastAsia="Times New Roman"/>
          <w:lang w:eastAsia="sl-SI"/>
        </w:rPr>
        <w:t xml:space="preserve"> (št. 19920/20, 15. februar 2024) in trdi, da je bila pravna podlaga za hrambo telekomunikacijskih podatkov za namene kazenskega postopka </w:t>
      </w:r>
      <w:r w:rsidRPr="00CB5050">
        <w:rPr>
          <w:rFonts w:eastAsia="Times New Roman"/>
          <w:i/>
          <w:iCs/>
          <w:lang w:eastAsia="sl-SI"/>
        </w:rPr>
        <w:t>ab initio</w:t>
      </w:r>
      <w:r w:rsidRPr="00CB5050">
        <w:rPr>
          <w:rFonts w:eastAsia="Times New Roman"/>
          <w:lang w:eastAsia="sl-SI"/>
        </w:rPr>
        <w:t xml:space="preserve"> nezdružljiva z 8. členom konvencije, kar je potrdila tudi razveljavitev določb Zakona o elektronskih komunikacijah iz leta 2012, ki določajo obveznost telekomunikacijskih ponudnikov za hrambo telekomunikacijskih podatkov. Poleg tega je bila njihova uporaba v delu, v katerem so organi kazenskega pregona pridobili podatke iz domnevno "komercialnih zbirk podatkov", v nasprotju z namenom, za katerega so bili shranjeni. Poleg tega se pritožnik pritožuje, da Zakon o kazenskem postopku ni omejil možnosti pridobivanja telekomunikacijskih podatkov s strani organov kazenskega pregona na </w:t>
      </w:r>
      <w:r w:rsidRPr="00CB5050">
        <w:rPr>
          <w:rFonts w:eastAsia="Times New Roman"/>
          <w:lang w:eastAsia="sl-SI"/>
        </w:rPr>
        <w:lastRenderedPageBreak/>
        <w:t>nekatera huda kazniva dejanja, kar naj bi povzročilo nesorazmerno poseganje v pravico pritožnika do zasebnosti, določeno v 8. členu.</w:t>
      </w:r>
    </w:p>
    <w:p w14:paraId="765652FE" w14:textId="77777777" w:rsidR="00695AE2" w:rsidRPr="00CB5050" w:rsidRDefault="00695AE2" w:rsidP="00695AE2">
      <w:pPr>
        <w:spacing w:line="240" w:lineRule="auto"/>
        <w:jc w:val="both"/>
        <w:rPr>
          <w:rFonts w:eastAsia="Times New Roman"/>
          <w:lang w:eastAsia="sl-SI"/>
        </w:rPr>
      </w:pPr>
    </w:p>
    <w:p w14:paraId="68BAC57E"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Sodišče je zastavilo naslednja vprašanja:</w:t>
      </w:r>
    </w:p>
    <w:p w14:paraId="60377047" w14:textId="77777777" w:rsidR="00695AE2" w:rsidRPr="00CB5050" w:rsidRDefault="00695AE2" w:rsidP="00695AE2">
      <w:pPr>
        <w:spacing w:line="240" w:lineRule="auto"/>
        <w:jc w:val="both"/>
        <w:rPr>
          <w:rFonts w:eastAsia="Times New Roman"/>
          <w:lang w:eastAsia="sl-SI"/>
        </w:rPr>
      </w:pPr>
    </w:p>
    <w:p w14:paraId="49DB3726" w14:textId="77777777" w:rsidR="00695AE2" w:rsidRPr="00CB5050" w:rsidRDefault="00695AE2" w:rsidP="006D16C0">
      <w:pPr>
        <w:numPr>
          <w:ilvl w:val="0"/>
          <w:numId w:val="141"/>
        </w:numPr>
        <w:spacing w:after="160" w:line="240" w:lineRule="auto"/>
        <w:contextualSpacing/>
        <w:jc w:val="both"/>
        <w:rPr>
          <w:rFonts w:eastAsia="Times New Roman"/>
          <w:i/>
          <w:iCs/>
          <w:lang w:eastAsia="sl-SI"/>
        </w:rPr>
      </w:pPr>
      <w:r w:rsidRPr="00CB5050">
        <w:rPr>
          <w:rFonts w:eastAsia="Times New Roman"/>
          <w:i/>
          <w:iCs/>
          <w:lang w:eastAsia="sl-SI"/>
        </w:rPr>
        <w:t xml:space="preserve">Kakšna je bila pravna podlaga za hrambo telekomunikacijskih podatkov pritožnika s strani ponudnikov telekomunikacijskih storitev v zadevnih obdobjih? Ali je bila hramba zadevnih podatkov in njihova nadaljnja uporaba v kazenskem postopku v skladu z 8. členom konvencije, zlasti glede na zahteve iz sodbe </w:t>
      </w:r>
      <w:r w:rsidRPr="00CB5050">
        <w:rPr>
          <w:rFonts w:eastAsia="Times New Roman"/>
          <w:lang w:eastAsia="sl-SI"/>
        </w:rPr>
        <w:t>Škoberne proti Sloveniji</w:t>
      </w:r>
      <w:r w:rsidRPr="00CB5050">
        <w:rPr>
          <w:rFonts w:eastAsia="Times New Roman"/>
          <w:i/>
          <w:iCs/>
          <w:lang w:eastAsia="sl-SI"/>
        </w:rPr>
        <w:t xml:space="preserve">, št. 19920/20, </w:t>
      </w:r>
      <w:r w:rsidRPr="00CB5050">
        <w:rPr>
          <w:rFonts w:eastAsia="Aptos"/>
          <w:i/>
          <w:iCs/>
        </w:rPr>
        <w:t xml:space="preserve">§§ </w:t>
      </w:r>
      <w:r w:rsidRPr="00CB5050">
        <w:rPr>
          <w:rFonts w:eastAsia="Times New Roman"/>
          <w:i/>
          <w:iCs/>
          <w:lang w:eastAsia="sl-SI"/>
        </w:rPr>
        <w:t>125-147, 15. februar 2024?</w:t>
      </w:r>
    </w:p>
    <w:p w14:paraId="79DF8119" w14:textId="77777777" w:rsidR="00695AE2" w:rsidRPr="00CB5050" w:rsidRDefault="00695AE2" w:rsidP="00695AE2">
      <w:pPr>
        <w:spacing w:line="240" w:lineRule="auto"/>
        <w:ind w:left="720"/>
        <w:contextualSpacing/>
        <w:jc w:val="both"/>
        <w:rPr>
          <w:rFonts w:eastAsia="Times New Roman"/>
          <w:i/>
          <w:iCs/>
          <w:lang w:eastAsia="sl-SI"/>
        </w:rPr>
      </w:pPr>
    </w:p>
    <w:p w14:paraId="0E688330" w14:textId="77777777" w:rsidR="00695AE2" w:rsidRPr="00CB5050" w:rsidRDefault="00695AE2" w:rsidP="006D16C0">
      <w:pPr>
        <w:numPr>
          <w:ilvl w:val="0"/>
          <w:numId w:val="141"/>
        </w:numPr>
        <w:spacing w:after="160" w:line="240" w:lineRule="auto"/>
        <w:contextualSpacing/>
        <w:jc w:val="both"/>
        <w:rPr>
          <w:rFonts w:eastAsia="Times New Roman"/>
          <w:i/>
          <w:iCs/>
          <w:lang w:eastAsia="sl-SI"/>
        </w:rPr>
      </w:pPr>
      <w:r w:rsidRPr="00CB5050">
        <w:rPr>
          <w:rFonts w:eastAsia="Times New Roman"/>
          <w:i/>
          <w:iCs/>
          <w:lang w:eastAsia="sl-SI"/>
        </w:rPr>
        <w:t xml:space="preserve">Ali je bilo v skladu z 8. členom konvencije glede hrambe in uporabe teh podatkov vzpostavljeno pravično ravnotežje med nasprotujočimi si interesi (glej zgoraj navedeno sodbo Škoberne proti Sloveniji, </w:t>
      </w:r>
      <w:r w:rsidRPr="00CB5050">
        <w:rPr>
          <w:rFonts w:eastAsia="Aptos"/>
          <w:i/>
          <w:iCs/>
        </w:rPr>
        <w:t xml:space="preserve">§ </w:t>
      </w:r>
      <w:r w:rsidRPr="00CB5050">
        <w:rPr>
          <w:rFonts w:eastAsia="Times New Roman"/>
          <w:i/>
          <w:iCs/>
          <w:lang w:eastAsia="sl-SI"/>
        </w:rPr>
        <w:t xml:space="preserve">136)? Stranke so pozvane, naj v odgovoru na to vprašanje vključijo odgovore na naslednja vprašanja: </w:t>
      </w:r>
    </w:p>
    <w:p w14:paraId="5A7D7984" w14:textId="77777777" w:rsidR="00695AE2" w:rsidRPr="00CB5050" w:rsidRDefault="00695AE2" w:rsidP="00695AE2">
      <w:pPr>
        <w:spacing w:line="240" w:lineRule="auto"/>
        <w:ind w:left="709"/>
        <w:jc w:val="both"/>
        <w:rPr>
          <w:rFonts w:eastAsia="Times New Roman"/>
          <w:i/>
          <w:iCs/>
          <w:lang w:eastAsia="sl-SI"/>
        </w:rPr>
      </w:pPr>
      <w:r w:rsidRPr="00CB5050">
        <w:rPr>
          <w:rFonts w:eastAsia="Times New Roman"/>
          <w:i/>
          <w:iCs/>
          <w:lang w:eastAsia="sl-SI"/>
        </w:rPr>
        <w:t xml:space="preserve">(a) Ali sta bila vrsta in obseg teh podatkov v zvezi s telekomunikacijskimi podatki pritožnika, ki naj bi bili shranjeni v 'komercialnih bazah podatkov', to je v pravnem okviru, ki ureja hrambo podatkov v komercialne namene, enaki tistim, ki se hranijo na pravni podlagi, ki jo je Ustavno sodišče pozneje razglasilo za nično? </w:t>
      </w:r>
    </w:p>
    <w:p w14:paraId="1AAB95D2" w14:textId="77777777" w:rsidR="00695AE2" w:rsidRPr="00CB5050" w:rsidRDefault="00695AE2" w:rsidP="00695AE2">
      <w:pPr>
        <w:spacing w:line="240" w:lineRule="auto"/>
        <w:ind w:left="709"/>
        <w:jc w:val="both"/>
        <w:rPr>
          <w:rFonts w:eastAsia="Times New Roman"/>
          <w:i/>
          <w:iCs/>
          <w:lang w:val="pl-PL" w:eastAsia="sl-SI"/>
        </w:rPr>
      </w:pPr>
      <w:r w:rsidRPr="00CB5050">
        <w:rPr>
          <w:rFonts w:eastAsia="Times New Roman"/>
          <w:i/>
          <w:iCs/>
          <w:lang w:val="pl-PL" w:eastAsia="sl-SI"/>
        </w:rPr>
        <w:t xml:space="preserve">(b) Kako je bila v zadevnem času urejena hramba in uporaba telekomunikacijskih podatkov v komercialne namene? </w:t>
      </w:r>
    </w:p>
    <w:p w14:paraId="439F5D19" w14:textId="77777777" w:rsidR="00695AE2" w:rsidRPr="00CB5050" w:rsidRDefault="00695AE2" w:rsidP="00695AE2">
      <w:pPr>
        <w:spacing w:line="240" w:lineRule="auto"/>
        <w:ind w:left="709"/>
        <w:jc w:val="both"/>
        <w:rPr>
          <w:rFonts w:eastAsia="Times New Roman"/>
          <w:i/>
          <w:iCs/>
          <w:lang w:val="pl-PL" w:eastAsia="sl-SI"/>
        </w:rPr>
      </w:pPr>
      <w:r w:rsidRPr="00CB5050">
        <w:rPr>
          <w:rFonts w:eastAsia="Times New Roman"/>
          <w:i/>
          <w:iCs/>
          <w:lang w:val="pl-PL" w:eastAsia="sl-SI"/>
        </w:rPr>
        <w:t xml:space="preserve">(c) Katere vrste podatkov bi lahko hranili v komercialne namene? </w:t>
      </w:r>
    </w:p>
    <w:p w14:paraId="53C370AE" w14:textId="77777777" w:rsidR="00695AE2" w:rsidRPr="00CB5050" w:rsidRDefault="00695AE2" w:rsidP="00695AE2">
      <w:pPr>
        <w:spacing w:line="240" w:lineRule="auto"/>
        <w:ind w:left="709"/>
        <w:jc w:val="both"/>
        <w:rPr>
          <w:rFonts w:eastAsia="Times New Roman"/>
          <w:i/>
          <w:iCs/>
          <w:lang w:val="pl-PL" w:eastAsia="sl-SI"/>
        </w:rPr>
      </w:pPr>
      <w:r w:rsidRPr="00CB5050">
        <w:rPr>
          <w:rFonts w:eastAsia="Times New Roman"/>
          <w:i/>
          <w:iCs/>
          <w:lang w:val="pl-PL" w:eastAsia="sl-SI"/>
        </w:rPr>
        <w:t xml:space="preserve">(d) Ali se podatki o lokaciji lahko hranijo v komercialne namene, in če da, v kakšnem obsegu? </w:t>
      </w:r>
    </w:p>
    <w:p w14:paraId="0BC6B2EF" w14:textId="77777777" w:rsidR="00695AE2" w:rsidRPr="00CB5050" w:rsidRDefault="00695AE2" w:rsidP="00695AE2">
      <w:pPr>
        <w:spacing w:line="240" w:lineRule="auto"/>
        <w:ind w:left="709"/>
        <w:jc w:val="both"/>
        <w:rPr>
          <w:rFonts w:eastAsia="Times New Roman"/>
          <w:i/>
          <w:iCs/>
          <w:lang w:eastAsia="sl-SI"/>
        </w:rPr>
      </w:pPr>
      <w:r w:rsidRPr="00CB5050">
        <w:rPr>
          <w:rFonts w:eastAsia="Times New Roman"/>
          <w:i/>
          <w:iCs/>
          <w:lang w:val="pl-PL" w:eastAsia="sl-SI"/>
        </w:rPr>
        <w:t xml:space="preserve">(e) Ali so bili vzpostavljeni zadostni in ustrezni zaščitni ukrepi v zvezi s hrambo podatkov v komercialne namene in dostopom organov kazenskega pregona do takih podatkov (glej smiselno sodbo </w:t>
      </w:r>
      <w:r w:rsidRPr="00CB5050">
        <w:rPr>
          <w:rFonts w:eastAsia="Times New Roman"/>
          <w:lang w:val="pl-PL" w:eastAsia="sl-SI"/>
        </w:rPr>
        <w:t>Ekimdzhiev in drugi proti Bolgariji</w:t>
      </w:r>
      <w:r w:rsidRPr="00CB5050">
        <w:rPr>
          <w:rFonts w:eastAsia="Times New Roman"/>
          <w:i/>
          <w:iCs/>
          <w:lang w:val="pl-PL" w:eastAsia="sl-SI"/>
        </w:rPr>
        <w:t xml:space="preserve">, št. 70078/12, </w:t>
      </w:r>
      <w:r w:rsidRPr="00CB5050">
        <w:rPr>
          <w:rFonts w:eastAsia="Aptos"/>
          <w:i/>
          <w:iCs/>
        </w:rPr>
        <w:t xml:space="preserve">§§ </w:t>
      </w:r>
      <w:r w:rsidRPr="00CB5050">
        <w:rPr>
          <w:rFonts w:eastAsia="Times New Roman"/>
          <w:i/>
          <w:iCs/>
          <w:lang w:val="pl-PL" w:eastAsia="sl-SI"/>
        </w:rPr>
        <w:t>394-395, 11. januar 2022)?</w:t>
      </w:r>
    </w:p>
    <w:p w14:paraId="60CB27A1" w14:textId="77777777" w:rsidR="00695AE2" w:rsidRPr="00CB5050" w:rsidRDefault="00695AE2" w:rsidP="00695AE2">
      <w:pPr>
        <w:spacing w:line="240" w:lineRule="auto"/>
        <w:jc w:val="both"/>
        <w:rPr>
          <w:rFonts w:eastAsia="Times New Roman"/>
          <w:lang w:eastAsia="sl-SI"/>
        </w:rPr>
      </w:pPr>
    </w:p>
    <w:p w14:paraId="6CBC3D27"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 xml:space="preserve">Po prvotni zavrnitvi predloga prijateljske poravnave je vlada po ponovni podrobni proučitvi zadeve Sodišču sporočila, da želi skleniti prijateljsko poravnavo. Ker je pritožnik sklenitev prijateljske poravnave zavrnil, je vlada 29. septembra 2025 pri Sodišču vložila enostransko izjavo, v kateri je priznala, da je v posebnih okoliščinah tega primera hramba zadevnih podatkov in njihova kasnejša uporaba v kazenskih postopkih kršila zahtevo po "pravičnem ravnotežju" iz 8. člena konvencije, kot je Sodišče priznalo v zadevi </w:t>
      </w:r>
      <w:r w:rsidRPr="00CB5050">
        <w:rPr>
          <w:rFonts w:eastAsia="Times New Roman"/>
          <w:i/>
          <w:iCs/>
          <w:lang w:eastAsia="sl-SI"/>
        </w:rPr>
        <w:t>Škoberne proti Sloveniji</w:t>
      </w:r>
      <w:r w:rsidRPr="00CB5050">
        <w:rPr>
          <w:rFonts w:eastAsia="Times New Roman"/>
          <w:lang w:eastAsia="sl-SI"/>
        </w:rPr>
        <w:t>, št. 19920/20, 15. februar 2024. V enostranski izjavi je Vlada navedla tudi, da je pritožniku pripravljena izplačati odškodnino v skupni višini 4.000 EUR za kritje celotne premoženjske in nepremoženjske škode ter stroškov in izdatkov, nastalih zaradi kršitve 8. člena konvencije.</w:t>
      </w:r>
    </w:p>
    <w:p w14:paraId="0C82F011" w14:textId="77777777" w:rsidR="00695AE2" w:rsidRPr="00CB5050" w:rsidRDefault="00695AE2" w:rsidP="00695AE2">
      <w:pPr>
        <w:spacing w:line="240" w:lineRule="auto"/>
        <w:jc w:val="both"/>
        <w:rPr>
          <w:rFonts w:eastAsia="Aptos"/>
          <w:b/>
          <w:i/>
        </w:rPr>
      </w:pPr>
    </w:p>
    <w:p w14:paraId="16406910" w14:textId="77777777" w:rsidR="00695AE2" w:rsidRDefault="00695AE2" w:rsidP="00695AE2">
      <w:pPr>
        <w:pStyle w:val="Naslov4"/>
      </w:pPr>
      <w:bookmarkStart w:id="1173" w:name="_Toc223094125"/>
      <w:r w:rsidRPr="00256503">
        <w:rPr>
          <w:i/>
          <w:iCs/>
        </w:rPr>
        <w:t>Kolar proti Sloveniji</w:t>
      </w:r>
      <w:r w:rsidRPr="00CB5050">
        <w:rPr>
          <w:iCs/>
        </w:rPr>
        <w:t xml:space="preserve">, </w:t>
      </w:r>
      <w:r w:rsidRPr="00CB5050">
        <w:t>št. 626/25</w:t>
      </w:r>
      <w:bookmarkEnd w:id="1173"/>
    </w:p>
    <w:p w14:paraId="400B36B9" w14:textId="77777777" w:rsidR="00695AE2" w:rsidRPr="00342A7B" w:rsidRDefault="00695AE2" w:rsidP="00695AE2">
      <w:pPr>
        <w:pStyle w:val="Jasna"/>
      </w:pPr>
    </w:p>
    <w:p w14:paraId="093F1B9F" w14:textId="77777777" w:rsidR="00695AE2" w:rsidRDefault="00695AE2" w:rsidP="00695AE2">
      <w:pPr>
        <w:pStyle w:val="Naslov4"/>
      </w:pPr>
      <w:bookmarkStart w:id="1174" w:name="_Toc223094126"/>
      <w:r w:rsidRPr="00256503">
        <w:rPr>
          <w:i/>
          <w:iCs/>
        </w:rPr>
        <w:t>Du Toit proti Sloveniji</w:t>
      </w:r>
      <w:r w:rsidRPr="00CB5050">
        <w:t>, št. 418/25</w:t>
      </w:r>
      <w:bookmarkEnd w:id="1174"/>
    </w:p>
    <w:p w14:paraId="55135004" w14:textId="77777777" w:rsidR="00695AE2" w:rsidRPr="00342A7B" w:rsidRDefault="00695AE2" w:rsidP="00695AE2">
      <w:pPr>
        <w:spacing w:line="240" w:lineRule="auto"/>
      </w:pPr>
    </w:p>
    <w:p w14:paraId="60F19E90" w14:textId="77777777" w:rsidR="00695AE2" w:rsidRDefault="00695AE2" w:rsidP="00695AE2">
      <w:pPr>
        <w:pStyle w:val="Naslov4"/>
      </w:pPr>
      <w:bookmarkStart w:id="1175" w:name="_Toc223094127"/>
      <w:r w:rsidRPr="00CB5050">
        <w:rPr>
          <w:i/>
          <w:iCs/>
        </w:rPr>
        <w:t>Kozole</w:t>
      </w:r>
      <w:r w:rsidRPr="00CB5050">
        <w:t xml:space="preserve"> </w:t>
      </w:r>
      <w:r w:rsidRPr="00CB5050">
        <w:rPr>
          <w:i/>
          <w:iCs/>
        </w:rPr>
        <w:t>proti Sloveniji</w:t>
      </w:r>
      <w:r w:rsidRPr="00CB5050">
        <w:t>, št. 678/25</w:t>
      </w:r>
      <w:bookmarkEnd w:id="1175"/>
    </w:p>
    <w:p w14:paraId="305CF6D8" w14:textId="77777777" w:rsidR="00695AE2" w:rsidRPr="00342A7B" w:rsidRDefault="00695AE2" w:rsidP="00695AE2">
      <w:pPr>
        <w:spacing w:line="240" w:lineRule="auto"/>
      </w:pPr>
    </w:p>
    <w:p w14:paraId="797691F5" w14:textId="77777777" w:rsidR="00695AE2" w:rsidRDefault="00695AE2" w:rsidP="00695AE2">
      <w:pPr>
        <w:pStyle w:val="Naslov4"/>
      </w:pPr>
      <w:bookmarkStart w:id="1176" w:name="_Toc223094128"/>
      <w:r w:rsidRPr="00CB5050">
        <w:rPr>
          <w:i/>
          <w:iCs/>
        </w:rPr>
        <w:t>Čubej</w:t>
      </w:r>
      <w:r w:rsidRPr="00CB5050">
        <w:t xml:space="preserve"> </w:t>
      </w:r>
      <w:r w:rsidRPr="00CB5050">
        <w:rPr>
          <w:i/>
          <w:iCs/>
        </w:rPr>
        <w:t>proti Sloveniji</w:t>
      </w:r>
      <w:r w:rsidRPr="00CB5050">
        <w:t>, št. 1744/25</w:t>
      </w:r>
      <w:bookmarkEnd w:id="1176"/>
    </w:p>
    <w:p w14:paraId="54CA6DDF" w14:textId="77777777" w:rsidR="00695AE2" w:rsidRDefault="00695AE2" w:rsidP="00695AE2">
      <w:pPr>
        <w:spacing w:line="240" w:lineRule="auto"/>
      </w:pPr>
    </w:p>
    <w:p w14:paraId="74E5E63D" w14:textId="77777777" w:rsidR="00695AE2" w:rsidRDefault="00695AE2" w:rsidP="00695AE2">
      <w:pPr>
        <w:pStyle w:val="Naslov4"/>
      </w:pPr>
      <w:bookmarkStart w:id="1177" w:name="_Toc223094129"/>
      <w:r w:rsidRPr="00CB5050">
        <w:rPr>
          <w:i/>
          <w:iCs/>
        </w:rPr>
        <w:lastRenderedPageBreak/>
        <w:t>Može</w:t>
      </w:r>
      <w:r w:rsidRPr="00CB5050">
        <w:t xml:space="preserve"> </w:t>
      </w:r>
      <w:r w:rsidRPr="00CB5050">
        <w:rPr>
          <w:i/>
          <w:iCs/>
        </w:rPr>
        <w:t xml:space="preserve">proti Sloveniji, </w:t>
      </w:r>
      <w:r w:rsidRPr="00CB5050">
        <w:t>št. 12950/25</w:t>
      </w:r>
      <w:bookmarkEnd w:id="1177"/>
    </w:p>
    <w:p w14:paraId="32BEB762" w14:textId="77777777" w:rsidR="00695AE2" w:rsidRDefault="00695AE2" w:rsidP="00695AE2">
      <w:pPr>
        <w:spacing w:line="240" w:lineRule="auto"/>
      </w:pPr>
    </w:p>
    <w:p w14:paraId="598E02F1" w14:textId="77777777" w:rsidR="00695AE2" w:rsidRDefault="00695AE2" w:rsidP="00695AE2">
      <w:pPr>
        <w:pStyle w:val="Naslov4"/>
      </w:pPr>
      <w:bookmarkStart w:id="1178" w:name="_Toc223094130"/>
      <w:r w:rsidRPr="00CB5050">
        <w:rPr>
          <w:i/>
          <w:iCs/>
        </w:rPr>
        <w:t>Oblak</w:t>
      </w:r>
      <w:r w:rsidRPr="00CB5050">
        <w:t xml:space="preserve"> </w:t>
      </w:r>
      <w:r w:rsidRPr="00CB5050">
        <w:rPr>
          <w:i/>
          <w:iCs/>
        </w:rPr>
        <w:t>proti Sloveniji</w:t>
      </w:r>
      <w:r w:rsidRPr="00CB5050">
        <w:t>, št. 1748/25</w:t>
      </w:r>
      <w:bookmarkEnd w:id="1178"/>
    </w:p>
    <w:p w14:paraId="3813B74F" w14:textId="77777777" w:rsidR="00695AE2" w:rsidRPr="00342A7B" w:rsidRDefault="00695AE2" w:rsidP="00695AE2">
      <w:pPr>
        <w:spacing w:line="240" w:lineRule="auto"/>
      </w:pPr>
    </w:p>
    <w:p w14:paraId="676C30C8" w14:textId="77777777" w:rsidR="00695AE2" w:rsidRDefault="00695AE2" w:rsidP="00695AE2">
      <w:pPr>
        <w:pStyle w:val="Naslov4"/>
      </w:pPr>
      <w:bookmarkStart w:id="1179" w:name="_Toc223094131"/>
      <w:r w:rsidRPr="00CB5050">
        <w:rPr>
          <w:i/>
          <w:iCs/>
        </w:rPr>
        <w:t>Pajić</w:t>
      </w:r>
      <w:r w:rsidRPr="00CB5050">
        <w:t xml:space="preserve"> </w:t>
      </w:r>
      <w:r w:rsidRPr="00CB5050">
        <w:rPr>
          <w:i/>
          <w:iCs/>
        </w:rPr>
        <w:t>proti Sloveniji</w:t>
      </w:r>
      <w:r w:rsidRPr="00CB5050">
        <w:t>, št. 1742/25</w:t>
      </w:r>
      <w:bookmarkEnd w:id="1179"/>
    </w:p>
    <w:p w14:paraId="3C9855C1" w14:textId="77777777" w:rsidR="00695AE2" w:rsidRPr="00342A7B" w:rsidRDefault="00695AE2" w:rsidP="00695AE2">
      <w:pPr>
        <w:spacing w:line="240" w:lineRule="auto"/>
      </w:pPr>
    </w:p>
    <w:p w14:paraId="3B1E9293" w14:textId="77777777" w:rsidR="00695AE2" w:rsidRPr="00CB5050" w:rsidRDefault="00695AE2" w:rsidP="00695AE2">
      <w:pPr>
        <w:pStyle w:val="Naslov4"/>
      </w:pPr>
      <w:bookmarkStart w:id="1180" w:name="_Toc223094132"/>
      <w:r w:rsidRPr="00256503">
        <w:rPr>
          <w:i/>
          <w:iCs/>
        </w:rPr>
        <w:t>Supančić proti Sloveniji</w:t>
      </w:r>
      <w:r w:rsidRPr="00CB5050">
        <w:t>, št. 803/25</w:t>
      </w:r>
      <w:bookmarkEnd w:id="1180"/>
    </w:p>
    <w:p w14:paraId="1EE9D37E" w14:textId="77777777" w:rsidR="00695AE2" w:rsidRPr="00CB5050" w:rsidRDefault="00695AE2" w:rsidP="00695AE2">
      <w:pPr>
        <w:spacing w:line="240" w:lineRule="auto"/>
        <w:ind w:firstLine="708"/>
        <w:jc w:val="both"/>
        <w:rPr>
          <w:rFonts w:eastAsia="Aptos"/>
        </w:rPr>
      </w:pPr>
    </w:p>
    <w:p w14:paraId="0B634432" w14:textId="77777777" w:rsidR="00695AE2" w:rsidRPr="00CB5050" w:rsidRDefault="00695AE2" w:rsidP="00695AE2">
      <w:pPr>
        <w:spacing w:line="240" w:lineRule="auto"/>
        <w:jc w:val="both"/>
        <w:rPr>
          <w:rFonts w:eastAsia="Aptos"/>
          <w:bCs/>
          <w:color w:val="000000"/>
        </w:rPr>
      </w:pPr>
      <w:r w:rsidRPr="00CB5050">
        <w:rPr>
          <w:rFonts w:eastAsia="Aptos"/>
          <w:bCs/>
          <w:color w:val="000000"/>
        </w:rPr>
        <w:t>Gre za sklop pritožb, ki se nanašajo na odpustitev zaposlenih v javnem ali zasebnem sektorju v zvezi z ukrepi, povezanih s pandemijo COVID-19, zato so predstavljene skupaj.</w:t>
      </w:r>
    </w:p>
    <w:p w14:paraId="7A3BE736" w14:textId="77777777" w:rsidR="00695AE2" w:rsidRPr="00CB5050" w:rsidRDefault="00695AE2" w:rsidP="00695AE2">
      <w:pPr>
        <w:spacing w:line="240" w:lineRule="auto"/>
        <w:jc w:val="both"/>
        <w:rPr>
          <w:rFonts w:eastAsia="Aptos"/>
          <w:bCs/>
          <w:color w:val="000000"/>
        </w:rPr>
      </w:pPr>
    </w:p>
    <w:p w14:paraId="6721F388" w14:textId="77777777" w:rsidR="00695AE2" w:rsidRPr="00CB5050" w:rsidRDefault="00695AE2" w:rsidP="00695AE2">
      <w:pPr>
        <w:spacing w:line="240" w:lineRule="auto"/>
        <w:jc w:val="both"/>
        <w:rPr>
          <w:rFonts w:eastAsia="Aptos"/>
          <w:bCs/>
          <w:color w:val="000000"/>
        </w:rPr>
      </w:pPr>
      <w:r w:rsidRPr="00CB5050">
        <w:rPr>
          <w:rFonts w:eastAsia="Aptos"/>
          <w:bCs/>
          <w:color w:val="000000"/>
        </w:rPr>
        <w:t>Pritožniki očitajo Sloveniji:</w:t>
      </w:r>
    </w:p>
    <w:p w14:paraId="1C889E6C" w14:textId="77777777" w:rsidR="00695AE2" w:rsidRPr="00CB5050" w:rsidRDefault="00695AE2" w:rsidP="006D16C0">
      <w:pPr>
        <w:numPr>
          <w:ilvl w:val="0"/>
          <w:numId w:val="142"/>
        </w:numPr>
        <w:spacing w:line="240" w:lineRule="auto"/>
        <w:ind w:left="142" w:hanging="142"/>
        <w:jc w:val="both"/>
        <w:rPr>
          <w:rFonts w:eastAsia="Aptos"/>
          <w:bCs/>
          <w:color w:val="000000"/>
        </w:rPr>
      </w:pPr>
      <w:r w:rsidRPr="00CB5050">
        <w:rPr>
          <w:rFonts w:eastAsia="Aptos"/>
          <w:bCs/>
          <w:color w:val="000000"/>
        </w:rPr>
        <w:t>nezakonit in nesorazmeren poseg v pravico do zasebnega življenja zaradi uveljavljanja pogoja cepljenosti, prebolevnosti ali testiranja (v nadaljevanju: pogoj PCT) za dostop do delovnega mesta in s tem kršitev pravice do zasebnosti iz 8. člena konvencije;</w:t>
      </w:r>
    </w:p>
    <w:p w14:paraId="40324BEF" w14:textId="77777777" w:rsidR="00695AE2" w:rsidRPr="00CB5050" w:rsidRDefault="00695AE2" w:rsidP="006D16C0">
      <w:pPr>
        <w:numPr>
          <w:ilvl w:val="0"/>
          <w:numId w:val="142"/>
        </w:numPr>
        <w:spacing w:line="240" w:lineRule="auto"/>
        <w:ind w:left="142" w:hanging="142"/>
        <w:jc w:val="both"/>
        <w:rPr>
          <w:rFonts w:eastAsia="Aptos"/>
          <w:bCs/>
          <w:color w:val="000000"/>
        </w:rPr>
      </w:pPr>
      <w:r w:rsidRPr="00CB5050">
        <w:rPr>
          <w:rFonts w:eastAsia="Aptos"/>
          <w:bCs/>
          <w:color w:val="000000"/>
        </w:rPr>
        <w:t>nezakonit in nesorazmeren poseg v pravico do zasebnega življenja zaradi zbiranja in obdelave osebnih in zdravstvenih podatkov, zaradi česar naj bi jim bil kršen 8. člen konvencije;</w:t>
      </w:r>
    </w:p>
    <w:p w14:paraId="6497DA3A" w14:textId="77777777" w:rsidR="00695AE2" w:rsidRPr="00CB5050" w:rsidRDefault="00695AE2" w:rsidP="006D16C0">
      <w:pPr>
        <w:numPr>
          <w:ilvl w:val="0"/>
          <w:numId w:val="142"/>
        </w:numPr>
        <w:spacing w:line="240" w:lineRule="auto"/>
        <w:ind w:left="142" w:hanging="142"/>
        <w:jc w:val="both"/>
        <w:rPr>
          <w:rFonts w:eastAsia="Aptos"/>
          <w:bCs/>
          <w:color w:val="000000"/>
        </w:rPr>
      </w:pPr>
      <w:r w:rsidRPr="00CB5050">
        <w:rPr>
          <w:rFonts w:eastAsia="Aptos"/>
          <w:bCs/>
          <w:color w:val="000000"/>
        </w:rPr>
        <w:t>kršitev pravice do poštenega sojenja, ker se domača sodišča niso opredelila do njihovih glavnih argumentov in dokazov, zaradi česar naj bi jim bilo poseženo v pravico do poštenega sojenja iz prvega odstavka 6. člena konvencije, in</w:t>
      </w:r>
    </w:p>
    <w:p w14:paraId="309BCB12" w14:textId="77777777" w:rsidR="00695AE2" w:rsidRPr="00CB5050" w:rsidRDefault="00695AE2" w:rsidP="006D16C0">
      <w:pPr>
        <w:numPr>
          <w:ilvl w:val="0"/>
          <w:numId w:val="142"/>
        </w:numPr>
        <w:spacing w:line="240" w:lineRule="auto"/>
        <w:ind w:left="142" w:hanging="142"/>
        <w:jc w:val="both"/>
        <w:rPr>
          <w:rFonts w:eastAsia="Aptos"/>
          <w:bCs/>
          <w:color w:val="000000"/>
        </w:rPr>
      </w:pPr>
      <w:r w:rsidRPr="00CB5050">
        <w:rPr>
          <w:rFonts w:eastAsia="Aptos"/>
          <w:bCs/>
          <w:color w:val="000000"/>
        </w:rPr>
        <w:t>diskriminacijo necepljenih oseb zaradi obveznosti rednega testiranja za dostop do zaposlitve, medtem ko so cepljeni posamezniki imeli prost dostop (prepoved diskriminacije iz 14. člena konvencije).</w:t>
      </w:r>
    </w:p>
    <w:p w14:paraId="63CA4FDF" w14:textId="77777777" w:rsidR="00695AE2" w:rsidRDefault="00695AE2" w:rsidP="00695AE2">
      <w:pPr>
        <w:spacing w:line="240" w:lineRule="auto"/>
        <w:jc w:val="both"/>
        <w:rPr>
          <w:rFonts w:eastAsia="Aptos"/>
          <w:bCs/>
          <w:color w:val="000000"/>
        </w:rPr>
      </w:pPr>
    </w:p>
    <w:p w14:paraId="63671226" w14:textId="77777777" w:rsidR="00695AE2" w:rsidRPr="00CB5050" w:rsidRDefault="00695AE2" w:rsidP="00695AE2">
      <w:pPr>
        <w:spacing w:line="240" w:lineRule="auto"/>
        <w:jc w:val="both"/>
        <w:rPr>
          <w:rFonts w:eastAsia="Aptos"/>
          <w:bCs/>
          <w:color w:val="000000"/>
        </w:rPr>
      </w:pPr>
      <w:r w:rsidRPr="00CB5050">
        <w:rPr>
          <w:rFonts w:eastAsia="Aptos"/>
          <w:bCs/>
          <w:color w:val="000000"/>
        </w:rPr>
        <w:t xml:space="preserve">Po obvestilu Sodišču, da s pritožniki ne bo sklenila prijateljske poravnave, bo Slovenija predložila navedbe o okoliščinah posamezne zadeve in pisno stališče glede dopustnosti in utemeljenosti pritožb ter odgovorila na zastavljena vprašanja Sodišča. </w:t>
      </w:r>
    </w:p>
    <w:p w14:paraId="04302A7A" w14:textId="77777777" w:rsidR="00695AE2" w:rsidRPr="00CB5050" w:rsidRDefault="00695AE2" w:rsidP="00695AE2">
      <w:pPr>
        <w:spacing w:line="240" w:lineRule="auto"/>
        <w:jc w:val="both"/>
        <w:rPr>
          <w:rFonts w:eastAsia="Aptos"/>
          <w:bCs/>
          <w:color w:val="000000"/>
        </w:rPr>
      </w:pPr>
    </w:p>
    <w:p w14:paraId="46DA48A9" w14:textId="77777777" w:rsidR="00695AE2" w:rsidRPr="00CB5050" w:rsidRDefault="00695AE2" w:rsidP="00695AE2">
      <w:pPr>
        <w:spacing w:line="240" w:lineRule="auto"/>
        <w:jc w:val="both"/>
        <w:rPr>
          <w:rFonts w:eastAsia="Aptos"/>
          <w:bCs/>
          <w:color w:val="000000"/>
        </w:rPr>
      </w:pPr>
      <w:r w:rsidRPr="00CB5050">
        <w:rPr>
          <w:rFonts w:eastAsia="Aptos"/>
          <w:bCs/>
          <w:color w:val="000000"/>
        </w:rPr>
        <w:t xml:space="preserve">Sodišče je v pritožbah </w:t>
      </w:r>
      <w:r w:rsidRPr="00CB5050">
        <w:rPr>
          <w:rFonts w:eastAsia="Aptos"/>
          <w:bCs/>
          <w:i/>
          <w:iCs/>
          <w:color w:val="000000"/>
        </w:rPr>
        <w:t>Kolar proti Sloveniji</w:t>
      </w:r>
      <w:r w:rsidRPr="00CB5050">
        <w:rPr>
          <w:rFonts w:eastAsia="Aptos"/>
          <w:bCs/>
          <w:color w:val="000000"/>
        </w:rPr>
        <w:t xml:space="preserve">, št. 656/25, </w:t>
      </w:r>
      <w:r w:rsidRPr="00CB5050">
        <w:rPr>
          <w:rFonts w:eastAsia="Aptos"/>
          <w:bCs/>
          <w:i/>
          <w:iCs/>
          <w:color w:val="000000"/>
        </w:rPr>
        <w:t>Kozole proti Sloveniji</w:t>
      </w:r>
      <w:r w:rsidRPr="00CB5050">
        <w:rPr>
          <w:rFonts w:eastAsia="Aptos"/>
          <w:bCs/>
          <w:color w:val="000000"/>
        </w:rPr>
        <w:t xml:space="preserve">, št. 678/25, </w:t>
      </w:r>
      <w:r w:rsidRPr="00CB5050">
        <w:rPr>
          <w:rFonts w:eastAsia="Aptos"/>
          <w:bCs/>
          <w:i/>
          <w:iCs/>
          <w:color w:val="000000"/>
        </w:rPr>
        <w:t>Supančič proti Sloveniji</w:t>
      </w:r>
      <w:r w:rsidRPr="00CB5050">
        <w:rPr>
          <w:rFonts w:eastAsia="Aptos"/>
          <w:bCs/>
          <w:color w:val="000000"/>
        </w:rPr>
        <w:t xml:space="preserve">, št. 803/25, </w:t>
      </w:r>
      <w:r w:rsidRPr="00CB5050">
        <w:rPr>
          <w:rFonts w:eastAsia="Aptos"/>
          <w:bCs/>
          <w:i/>
          <w:iCs/>
          <w:color w:val="000000"/>
        </w:rPr>
        <w:t>Pajić proti Sloveniji</w:t>
      </w:r>
      <w:r w:rsidRPr="00CB5050">
        <w:rPr>
          <w:rFonts w:eastAsia="Aptos"/>
          <w:bCs/>
          <w:color w:val="000000"/>
        </w:rPr>
        <w:t xml:space="preserve">, št. 1742/25, </w:t>
      </w:r>
      <w:r w:rsidRPr="00CB5050">
        <w:rPr>
          <w:rFonts w:eastAsia="Aptos"/>
          <w:bCs/>
          <w:i/>
          <w:iCs/>
          <w:color w:val="000000"/>
        </w:rPr>
        <w:t>Čubej proti Sloveniji</w:t>
      </w:r>
      <w:r w:rsidRPr="00CB5050">
        <w:rPr>
          <w:rFonts w:eastAsia="Aptos"/>
          <w:bCs/>
          <w:color w:val="000000"/>
        </w:rPr>
        <w:t xml:space="preserve">, št. 1744/25, </w:t>
      </w:r>
      <w:r w:rsidRPr="00CB5050">
        <w:rPr>
          <w:rFonts w:eastAsia="Aptos"/>
          <w:bCs/>
          <w:i/>
          <w:iCs/>
          <w:color w:val="000000"/>
        </w:rPr>
        <w:t>Oblak proti Sloveniji</w:t>
      </w:r>
      <w:r w:rsidRPr="00CB5050">
        <w:rPr>
          <w:rFonts w:eastAsia="Aptos"/>
          <w:bCs/>
          <w:color w:val="000000"/>
        </w:rPr>
        <w:t xml:space="preserve">, št. 1748/25 in </w:t>
      </w:r>
      <w:r w:rsidRPr="00CB5050">
        <w:rPr>
          <w:rFonts w:eastAsia="Aptos"/>
          <w:bCs/>
          <w:i/>
          <w:iCs/>
          <w:color w:val="000000"/>
        </w:rPr>
        <w:t>Može proti Sloveniji</w:t>
      </w:r>
      <w:r w:rsidRPr="00CB5050">
        <w:rPr>
          <w:rFonts w:eastAsia="Aptos"/>
          <w:bCs/>
          <w:color w:val="000000"/>
        </w:rPr>
        <w:t>, št. 12950/25 strankam zastavilo naslednja vprašanja:</w:t>
      </w:r>
    </w:p>
    <w:p w14:paraId="3F225A08" w14:textId="77777777" w:rsidR="00695AE2" w:rsidRPr="00CB5050" w:rsidRDefault="00695AE2" w:rsidP="00695AE2">
      <w:pPr>
        <w:spacing w:line="240" w:lineRule="auto"/>
        <w:jc w:val="both"/>
        <w:rPr>
          <w:rFonts w:eastAsia="Aptos"/>
          <w:bCs/>
          <w:color w:val="000000"/>
        </w:rPr>
      </w:pPr>
    </w:p>
    <w:p w14:paraId="23E4A832" w14:textId="77777777" w:rsidR="00695AE2" w:rsidRPr="00CB5050" w:rsidRDefault="00695AE2" w:rsidP="006D16C0">
      <w:pPr>
        <w:numPr>
          <w:ilvl w:val="0"/>
          <w:numId w:val="143"/>
        </w:numPr>
        <w:spacing w:line="240" w:lineRule="auto"/>
        <w:contextualSpacing/>
        <w:jc w:val="both"/>
        <w:rPr>
          <w:rFonts w:eastAsia="Aptos"/>
          <w:bCs/>
          <w:i/>
          <w:iCs/>
          <w:color w:val="000000"/>
        </w:rPr>
      </w:pPr>
      <w:r w:rsidRPr="00CB5050">
        <w:rPr>
          <w:rFonts w:eastAsia="Aptos"/>
          <w:bCs/>
          <w:i/>
          <w:iCs/>
          <w:color w:val="000000"/>
        </w:rPr>
        <w:t>Ali je prišlo do kršitve 8. člena konvencije glede obveznosti pritožnikov, da spoštujejo zahteve, povezane s pandemijo COVID-19, določene v Odloku iz leta 2021, kot pogoja za opravljanje dela in posledično njihove odpustitve?</w:t>
      </w:r>
    </w:p>
    <w:p w14:paraId="16153DFD" w14:textId="77777777" w:rsidR="00695AE2" w:rsidRPr="00CB5050" w:rsidRDefault="00695AE2" w:rsidP="00695AE2">
      <w:pPr>
        <w:spacing w:line="240" w:lineRule="auto"/>
        <w:jc w:val="both"/>
        <w:rPr>
          <w:rFonts w:eastAsia="Aptos"/>
          <w:bCs/>
          <w:i/>
          <w:iCs/>
          <w:color w:val="000000"/>
        </w:rPr>
      </w:pPr>
    </w:p>
    <w:p w14:paraId="47F7D2C0" w14:textId="77777777" w:rsidR="00695AE2" w:rsidRPr="00CB5050" w:rsidRDefault="00695AE2" w:rsidP="006D16C0">
      <w:pPr>
        <w:numPr>
          <w:ilvl w:val="0"/>
          <w:numId w:val="143"/>
        </w:numPr>
        <w:spacing w:line="240" w:lineRule="auto"/>
        <w:contextualSpacing/>
        <w:jc w:val="both"/>
        <w:rPr>
          <w:rFonts w:eastAsia="Aptos"/>
          <w:bCs/>
          <w:i/>
          <w:iCs/>
          <w:color w:val="000000"/>
        </w:rPr>
      </w:pPr>
      <w:r w:rsidRPr="00CB5050">
        <w:rPr>
          <w:rFonts w:eastAsia="Aptos"/>
          <w:bCs/>
          <w:i/>
          <w:iCs/>
          <w:color w:val="000000"/>
        </w:rPr>
        <w:t>Ali so bili pritožniki diskriminirani v nasprotju s 14. členom konvencije, v povezavi z zgoraj navedeno pritožbo po 8. členu konvencije in/ali 1. členom Protokola št. 12 h konvenciji?</w:t>
      </w:r>
    </w:p>
    <w:p w14:paraId="095CE04D" w14:textId="77777777" w:rsidR="00695AE2" w:rsidRPr="00CB5050" w:rsidRDefault="00695AE2" w:rsidP="00695AE2">
      <w:pPr>
        <w:spacing w:line="240" w:lineRule="auto"/>
        <w:ind w:left="720"/>
        <w:contextualSpacing/>
        <w:rPr>
          <w:rFonts w:eastAsia="Aptos"/>
          <w:bCs/>
          <w:i/>
          <w:iCs/>
          <w:color w:val="000000"/>
        </w:rPr>
      </w:pPr>
    </w:p>
    <w:p w14:paraId="4B15A790" w14:textId="77777777" w:rsidR="00695AE2" w:rsidRPr="00CB5050" w:rsidRDefault="00695AE2" w:rsidP="006D16C0">
      <w:pPr>
        <w:numPr>
          <w:ilvl w:val="0"/>
          <w:numId w:val="143"/>
        </w:numPr>
        <w:spacing w:line="240" w:lineRule="auto"/>
        <w:contextualSpacing/>
        <w:jc w:val="both"/>
        <w:rPr>
          <w:rFonts w:eastAsia="Aptos"/>
          <w:bCs/>
          <w:i/>
          <w:iCs/>
          <w:color w:val="000000"/>
        </w:rPr>
      </w:pPr>
      <w:r w:rsidRPr="00CB5050">
        <w:rPr>
          <w:rFonts w:eastAsia="Aptos"/>
          <w:bCs/>
          <w:i/>
          <w:iCs/>
          <w:color w:val="000000"/>
        </w:rPr>
        <w:t xml:space="preserve">Ali je prišlo do kršitve pravice do spoštovanja zasebnega življenja v nasprotju z 8. členom konvencije glede zbiranja in obdelave osebnih in zdravstvenih podatkov s strani delodajalca? Ali je bila pravna podlaga za zbiranje in obdelavo takih podatkov dovolj jasna in predvidljiva ter opremljena z ustreznimi varovali pred samovoljnim posegom (glej, mutatis mutandis, </w:t>
      </w:r>
      <w:r w:rsidRPr="00CB5050">
        <w:rPr>
          <w:rFonts w:eastAsia="Aptos"/>
          <w:bCs/>
          <w:color w:val="000000"/>
        </w:rPr>
        <w:t>Bykov proti Rusiji [VS]</w:t>
      </w:r>
      <w:r w:rsidRPr="00CB5050">
        <w:rPr>
          <w:rFonts w:eastAsia="Aptos"/>
          <w:bCs/>
          <w:i/>
          <w:iCs/>
          <w:color w:val="000000"/>
        </w:rPr>
        <w:t>, št. 4378/02, § 81, 10. marec 2009)?</w:t>
      </w:r>
    </w:p>
    <w:p w14:paraId="18CA24FE" w14:textId="77777777" w:rsidR="00695AE2" w:rsidRPr="00CB5050" w:rsidRDefault="00695AE2" w:rsidP="00695AE2">
      <w:pPr>
        <w:spacing w:line="240" w:lineRule="auto"/>
        <w:ind w:left="720"/>
        <w:contextualSpacing/>
        <w:rPr>
          <w:rFonts w:eastAsia="Aptos"/>
          <w:bCs/>
          <w:i/>
          <w:iCs/>
          <w:color w:val="000000"/>
        </w:rPr>
      </w:pPr>
    </w:p>
    <w:p w14:paraId="1DF9EA69" w14:textId="77777777" w:rsidR="00695AE2" w:rsidRPr="00CB5050" w:rsidRDefault="00695AE2" w:rsidP="006D16C0">
      <w:pPr>
        <w:numPr>
          <w:ilvl w:val="0"/>
          <w:numId w:val="143"/>
        </w:numPr>
        <w:spacing w:line="240" w:lineRule="auto"/>
        <w:contextualSpacing/>
        <w:jc w:val="both"/>
        <w:rPr>
          <w:rFonts w:eastAsia="Aptos"/>
          <w:bCs/>
          <w:i/>
          <w:iCs/>
          <w:color w:val="000000"/>
        </w:rPr>
      </w:pPr>
      <w:r w:rsidRPr="00CB5050">
        <w:rPr>
          <w:rFonts w:eastAsia="Aptos"/>
          <w:bCs/>
          <w:i/>
          <w:iCs/>
          <w:color w:val="000000"/>
        </w:rPr>
        <w:lastRenderedPageBreak/>
        <w:t>Ali so pritožniki imeli pošteno obravnavo pri odločanju o njihovih civilnih pravicah in obveznostih v skladu s 6. členom konvencije?</w:t>
      </w:r>
    </w:p>
    <w:p w14:paraId="17A27239" w14:textId="77777777" w:rsidR="00695AE2" w:rsidRPr="00CB5050" w:rsidRDefault="00695AE2" w:rsidP="00695AE2">
      <w:pPr>
        <w:spacing w:line="240" w:lineRule="auto"/>
        <w:jc w:val="both"/>
        <w:rPr>
          <w:rFonts w:eastAsia="Aptos"/>
          <w:bCs/>
          <w:color w:val="000000"/>
        </w:rPr>
      </w:pPr>
    </w:p>
    <w:p w14:paraId="4E04B166" w14:textId="77777777" w:rsidR="00695AE2" w:rsidRPr="00CB5050" w:rsidRDefault="00695AE2" w:rsidP="00695AE2">
      <w:pPr>
        <w:spacing w:line="240" w:lineRule="auto"/>
        <w:jc w:val="both"/>
        <w:rPr>
          <w:rFonts w:eastAsia="Aptos"/>
          <w:bCs/>
          <w:color w:val="000000"/>
        </w:rPr>
      </w:pPr>
      <w:r w:rsidRPr="00CB5050">
        <w:rPr>
          <w:rFonts w:eastAsia="Aptos"/>
          <w:bCs/>
          <w:color w:val="000000"/>
        </w:rPr>
        <w:t xml:space="preserve">V pritožbeni zadevi </w:t>
      </w:r>
      <w:r w:rsidRPr="00CB5050">
        <w:rPr>
          <w:rFonts w:eastAsia="Aptos"/>
          <w:bCs/>
          <w:i/>
          <w:iCs/>
          <w:color w:val="000000"/>
        </w:rPr>
        <w:t>Du Toit proti Sloveniji</w:t>
      </w:r>
      <w:r w:rsidRPr="00CB5050">
        <w:rPr>
          <w:rFonts w:eastAsia="Aptos"/>
          <w:bCs/>
          <w:color w:val="000000"/>
        </w:rPr>
        <w:t>, št. 418/25, je Sodišče strankam zastavilo naslednja vprašanja:</w:t>
      </w:r>
    </w:p>
    <w:p w14:paraId="251674D7" w14:textId="77777777" w:rsidR="00695AE2" w:rsidRPr="00CB5050" w:rsidRDefault="00695AE2" w:rsidP="00695AE2">
      <w:pPr>
        <w:spacing w:line="240" w:lineRule="auto"/>
        <w:jc w:val="both"/>
        <w:rPr>
          <w:rFonts w:eastAsia="Aptos"/>
          <w:bCs/>
          <w:color w:val="000000"/>
        </w:rPr>
      </w:pPr>
    </w:p>
    <w:p w14:paraId="698D2D53" w14:textId="77777777" w:rsidR="00695AE2" w:rsidRPr="00CB5050" w:rsidRDefault="00695AE2" w:rsidP="006D16C0">
      <w:pPr>
        <w:numPr>
          <w:ilvl w:val="0"/>
          <w:numId w:val="144"/>
        </w:numPr>
        <w:spacing w:line="240" w:lineRule="auto"/>
        <w:contextualSpacing/>
        <w:jc w:val="both"/>
        <w:rPr>
          <w:rFonts w:eastAsia="Aptos"/>
          <w:bCs/>
          <w:i/>
          <w:iCs/>
          <w:color w:val="000000"/>
        </w:rPr>
      </w:pPr>
      <w:r w:rsidRPr="00CB5050">
        <w:rPr>
          <w:rFonts w:eastAsia="Aptos"/>
          <w:bCs/>
          <w:i/>
          <w:iCs/>
          <w:color w:val="000000"/>
        </w:rPr>
        <w:t>Glede pritožničine obveznosti izpolnjevati zahteve, povezane s pandemijo COVID-19, določene v Odloku iz leta 2021 kot pogoj za opravljanje dela, ter njene posledične odpovedi: ali so domača sodišča vzpostavila pravično ravnotežje med pravico pritožnice do spoštovanja njenega zasebnega življenja in nasprotujočimi interesi, kot to zahteva 8. člen konvencije?</w:t>
      </w:r>
    </w:p>
    <w:p w14:paraId="6810C575" w14:textId="77777777" w:rsidR="00695AE2" w:rsidRPr="00CB5050" w:rsidRDefault="00695AE2" w:rsidP="00695AE2">
      <w:pPr>
        <w:spacing w:line="240" w:lineRule="auto"/>
        <w:ind w:left="720"/>
        <w:contextualSpacing/>
        <w:jc w:val="both"/>
        <w:rPr>
          <w:rFonts w:eastAsia="Aptos"/>
          <w:bCs/>
          <w:i/>
          <w:iCs/>
          <w:color w:val="000000"/>
        </w:rPr>
      </w:pPr>
    </w:p>
    <w:p w14:paraId="66740074" w14:textId="77777777" w:rsidR="00695AE2" w:rsidRPr="00CB5050" w:rsidRDefault="00695AE2" w:rsidP="006D16C0">
      <w:pPr>
        <w:numPr>
          <w:ilvl w:val="0"/>
          <w:numId w:val="144"/>
        </w:numPr>
        <w:spacing w:line="240" w:lineRule="auto"/>
        <w:contextualSpacing/>
        <w:jc w:val="both"/>
        <w:rPr>
          <w:rFonts w:eastAsia="Aptos"/>
          <w:bCs/>
          <w:i/>
          <w:iCs/>
          <w:color w:val="000000"/>
        </w:rPr>
      </w:pPr>
      <w:r w:rsidRPr="00CB5050">
        <w:rPr>
          <w:rFonts w:eastAsia="Aptos"/>
          <w:bCs/>
          <w:i/>
          <w:iCs/>
          <w:color w:val="000000"/>
        </w:rPr>
        <w:t>Ali so domača sodišča ravnala v skladu s 14. členom konvencije v povezavi z zgoraj navedeno pritožbo po 8. členu in/ali s 1. členom Protokola št. 12 h konvenciji?</w:t>
      </w:r>
    </w:p>
    <w:p w14:paraId="0B425203" w14:textId="77777777" w:rsidR="00695AE2" w:rsidRPr="00CB5050" w:rsidRDefault="00695AE2" w:rsidP="00695AE2">
      <w:pPr>
        <w:spacing w:line="240" w:lineRule="auto"/>
        <w:ind w:left="720"/>
        <w:contextualSpacing/>
        <w:jc w:val="both"/>
        <w:rPr>
          <w:rFonts w:eastAsia="Aptos"/>
          <w:bCs/>
          <w:i/>
          <w:iCs/>
          <w:color w:val="000000"/>
        </w:rPr>
      </w:pPr>
    </w:p>
    <w:p w14:paraId="0A50F7D6" w14:textId="77777777" w:rsidR="00695AE2" w:rsidRPr="00CB5050" w:rsidRDefault="00695AE2" w:rsidP="006D16C0">
      <w:pPr>
        <w:numPr>
          <w:ilvl w:val="0"/>
          <w:numId w:val="144"/>
        </w:numPr>
        <w:spacing w:line="240" w:lineRule="auto"/>
        <w:contextualSpacing/>
        <w:jc w:val="both"/>
        <w:rPr>
          <w:rFonts w:eastAsia="Aptos"/>
          <w:bCs/>
          <w:i/>
          <w:iCs/>
          <w:color w:val="000000"/>
        </w:rPr>
      </w:pPr>
      <w:r w:rsidRPr="00CB5050">
        <w:rPr>
          <w:rFonts w:eastAsia="Aptos"/>
          <w:bCs/>
          <w:i/>
          <w:iCs/>
          <w:color w:val="000000"/>
        </w:rPr>
        <w:t xml:space="preserve">Ali je bilo zbiranje in obdelava osebnih podatkov pritožnice ter podatkov, povezanih z njenim zdravjem, s strani njenega delodajalca ustrezno urejeno v domači zakonodaji in spremljano z zadostnimi in ustreznimi varovalkami proti zlorabi (glej </w:t>
      </w:r>
      <w:r w:rsidRPr="00CB5050">
        <w:rPr>
          <w:rFonts w:eastAsia="Aptos"/>
          <w:bCs/>
          <w:color w:val="000000"/>
        </w:rPr>
        <w:t>Bărbulescu proti Romuniji [VS]</w:t>
      </w:r>
      <w:r w:rsidRPr="00CB5050">
        <w:rPr>
          <w:rFonts w:eastAsia="Aptos"/>
          <w:bCs/>
          <w:i/>
          <w:iCs/>
          <w:color w:val="000000"/>
        </w:rPr>
        <w:t xml:space="preserve">, št. 61496/08, §§ 116-123, 5. september 2017)? Ali so odločitve domačih sodišč glede zbiranja in obdelave navedenih podatkov skladne s pozitivnimi obveznostmi varovanja pravice pritožnice do spoštovanja njenega zasebnega življenja, kot jo zagotavlja 8. člen (glej </w:t>
      </w:r>
      <w:r w:rsidRPr="00CB5050">
        <w:rPr>
          <w:rFonts w:eastAsia="Aptos"/>
          <w:bCs/>
          <w:color w:val="000000"/>
        </w:rPr>
        <w:t>López Ribalda in drugi proti Španiji [VS]</w:t>
      </w:r>
      <w:r w:rsidRPr="00CB5050">
        <w:rPr>
          <w:rFonts w:eastAsia="Aptos"/>
          <w:bCs/>
          <w:i/>
          <w:iCs/>
          <w:color w:val="000000"/>
        </w:rPr>
        <w:t>, št. 1874/13 in 8567/13, §§ 118 in 122-137, 17. oktober 2019)?</w:t>
      </w:r>
    </w:p>
    <w:p w14:paraId="5F408FCD" w14:textId="77777777" w:rsidR="00695AE2" w:rsidRPr="00CB5050" w:rsidRDefault="00695AE2" w:rsidP="00695AE2">
      <w:pPr>
        <w:spacing w:line="240" w:lineRule="auto"/>
        <w:ind w:left="720"/>
        <w:contextualSpacing/>
        <w:rPr>
          <w:rFonts w:eastAsia="Aptos"/>
          <w:bCs/>
          <w:i/>
          <w:iCs/>
          <w:color w:val="000000"/>
        </w:rPr>
      </w:pPr>
    </w:p>
    <w:p w14:paraId="4AD99B1E" w14:textId="77777777" w:rsidR="00695AE2" w:rsidRDefault="00695AE2" w:rsidP="006D16C0">
      <w:pPr>
        <w:numPr>
          <w:ilvl w:val="0"/>
          <w:numId w:val="144"/>
        </w:numPr>
        <w:spacing w:line="240" w:lineRule="auto"/>
        <w:contextualSpacing/>
        <w:jc w:val="both"/>
        <w:rPr>
          <w:rFonts w:eastAsia="Aptos"/>
          <w:bCs/>
          <w:i/>
          <w:iCs/>
          <w:color w:val="000000"/>
        </w:rPr>
      </w:pPr>
      <w:r w:rsidRPr="00CB5050">
        <w:rPr>
          <w:rFonts w:eastAsia="Aptos"/>
          <w:bCs/>
          <w:i/>
          <w:iCs/>
          <w:color w:val="000000"/>
        </w:rPr>
        <w:t>Ali je imela pritožnica pošteno obravnavo pri odločanju o njenih civilnih pravicah in obveznostih v skladu s prvim odstavkom 6. člena konvencije?</w:t>
      </w:r>
    </w:p>
    <w:p w14:paraId="19209A1A" w14:textId="77777777" w:rsidR="00695AE2" w:rsidRDefault="00695AE2" w:rsidP="00695AE2">
      <w:pPr>
        <w:pStyle w:val="Odstavekseznama"/>
        <w:rPr>
          <w:rFonts w:eastAsia="Aptos"/>
          <w:bCs/>
          <w:i/>
          <w:iCs/>
          <w:color w:val="000000"/>
        </w:rPr>
      </w:pPr>
    </w:p>
    <w:p w14:paraId="12C4A6DF" w14:textId="77777777" w:rsidR="00695AE2" w:rsidRPr="00CB5050" w:rsidRDefault="00695AE2" w:rsidP="00695AE2">
      <w:pPr>
        <w:spacing w:line="240" w:lineRule="auto"/>
        <w:contextualSpacing/>
        <w:jc w:val="both"/>
        <w:rPr>
          <w:rFonts w:eastAsia="Aptos"/>
          <w:bCs/>
          <w:i/>
          <w:iCs/>
          <w:color w:val="000000"/>
        </w:rPr>
      </w:pPr>
    </w:p>
    <w:p w14:paraId="1D42812C" w14:textId="77777777" w:rsidR="00695AE2" w:rsidRPr="00CB5050" w:rsidRDefault="00695AE2" w:rsidP="00695AE2">
      <w:pPr>
        <w:pStyle w:val="Naslov4"/>
        <w:rPr>
          <w:szCs w:val="22"/>
        </w:rPr>
      </w:pPr>
      <w:bookmarkStart w:id="1181" w:name="_Toc223094133"/>
      <w:r w:rsidRPr="00CB5050">
        <w:rPr>
          <w:i/>
          <w:iCs/>
        </w:rPr>
        <w:t>Planinc proti Sloveniji</w:t>
      </w:r>
      <w:r w:rsidRPr="00CB5050">
        <w:t>, št. 11982/24</w:t>
      </w:r>
      <w:bookmarkEnd w:id="1181"/>
    </w:p>
    <w:p w14:paraId="1B622564" w14:textId="77777777" w:rsidR="00695AE2" w:rsidRPr="00CB5050" w:rsidRDefault="00695AE2" w:rsidP="00695AE2">
      <w:pPr>
        <w:spacing w:line="240" w:lineRule="auto"/>
        <w:jc w:val="both"/>
        <w:rPr>
          <w:rFonts w:eastAsia="Aptos"/>
          <w:b/>
          <w:bCs/>
          <w:i/>
          <w:iCs/>
        </w:rPr>
      </w:pPr>
    </w:p>
    <w:p w14:paraId="1F412DD8"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Pritožnik zatrjuje kršitev pravice do svobode in varnosti iz 5. člena ter pravice do sojenja v razumnem roku iz prvega odstavka 6. člena Konvencije.</w:t>
      </w:r>
    </w:p>
    <w:p w14:paraId="22887A02" w14:textId="77777777" w:rsidR="00695AE2" w:rsidRPr="00CB5050" w:rsidRDefault="00695AE2" w:rsidP="00695AE2">
      <w:pPr>
        <w:suppressAutoHyphens/>
        <w:spacing w:line="240" w:lineRule="auto"/>
        <w:jc w:val="both"/>
        <w:rPr>
          <w:rFonts w:eastAsia="Times New Roman"/>
          <w:bCs/>
          <w:szCs w:val="20"/>
          <w:lang w:eastAsia="sl-SI"/>
        </w:rPr>
      </w:pPr>
    </w:p>
    <w:p w14:paraId="68BD5D97"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Ključni pritožbeni očitek se nanaša na institut t. i. pripora z odložnim rokom (imenovanega tudi »pripor na zalogo«), ki ga je Okrožno sodišče v Mariboru s sklepom opr. št. I Ks 17558/2019 z dne 3. decembra 2019 odredilo zoper pritožnika še v času prestajanja zaporne kazni. Izvršitev pripora je bila predvidena za 3. februar 2020, takoj po izteku kazni zapora.</w:t>
      </w:r>
    </w:p>
    <w:p w14:paraId="43BC52E8" w14:textId="77777777" w:rsidR="00695AE2" w:rsidRPr="00CB5050" w:rsidRDefault="00695AE2" w:rsidP="00695AE2">
      <w:pPr>
        <w:suppressAutoHyphens/>
        <w:spacing w:line="240" w:lineRule="auto"/>
        <w:jc w:val="both"/>
        <w:rPr>
          <w:rFonts w:eastAsia="Times New Roman"/>
          <w:bCs/>
          <w:szCs w:val="20"/>
          <w:lang w:eastAsia="sl-SI"/>
        </w:rPr>
      </w:pPr>
    </w:p>
    <w:p w14:paraId="2AC55B16"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Pritožnik zatrjuje, da takšna oblika pripora ni imela jasne in dostopne zakonske podlage v slovenskem Zakonu o kazenskem postopku, zlasti glede pogojev, trajanja in postopkovnih varovalk, ter da ustaljena sodna praksa ne more nadomestiti formalne zakonske ureditve pri posegih v osebno svobodo. Nadalje navaja, da v obdobju med odreditvijo in izvršitvijo pripora ni bil opravljen sodni nadzor nad obstojem pripornih razlogov, kar naj bi pomenilo tveganje arbitrarnosti in kršitev prvega odstavka 5. člena konvencije.</w:t>
      </w:r>
    </w:p>
    <w:p w14:paraId="7044156F" w14:textId="77777777" w:rsidR="00695AE2" w:rsidRPr="00CB5050" w:rsidRDefault="00695AE2" w:rsidP="00695AE2">
      <w:pPr>
        <w:suppressAutoHyphens/>
        <w:spacing w:line="240" w:lineRule="auto"/>
        <w:jc w:val="both"/>
        <w:rPr>
          <w:rFonts w:eastAsia="Times New Roman"/>
          <w:bCs/>
          <w:szCs w:val="20"/>
          <w:lang w:eastAsia="sl-SI"/>
        </w:rPr>
      </w:pPr>
    </w:p>
    <w:p w14:paraId="7EF7373C"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 xml:space="preserve">V zvezi s postopkoma pred Ustavnim sodiščem Republike Slovenije pritožnik izpostavlja, da je to o njegovih ustavnih pritožbah odločilo šele 7. decembra 2023, torej po več kot treh letih, </w:t>
      </w:r>
      <w:r w:rsidRPr="00CB5050">
        <w:rPr>
          <w:rFonts w:eastAsia="Times New Roman"/>
          <w:bCs/>
          <w:szCs w:val="20"/>
          <w:lang w:eastAsia="sl-SI"/>
        </w:rPr>
        <w:lastRenderedPageBreak/>
        <w:t>kar po njegovem mnenju pomeni kršitev pravice do hitrega sodnega odločanja o zakonitosti odvzema prostosti in tudi kršitev pravice do sojenja v razumnem roku.</w:t>
      </w:r>
    </w:p>
    <w:p w14:paraId="6D0EF8FF" w14:textId="77777777" w:rsidR="00695AE2" w:rsidRPr="00CB5050" w:rsidRDefault="00695AE2" w:rsidP="00695AE2">
      <w:pPr>
        <w:suppressAutoHyphens/>
        <w:spacing w:line="240" w:lineRule="auto"/>
        <w:jc w:val="both"/>
        <w:rPr>
          <w:rFonts w:eastAsia="Times New Roman"/>
          <w:bCs/>
          <w:szCs w:val="20"/>
          <w:lang w:eastAsia="sl-SI"/>
        </w:rPr>
      </w:pPr>
    </w:p>
    <w:p w14:paraId="727346BE"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Ustavno sodišče RS je z odločbo Up-323/20-29 in Up-448/20-27 z dne 7. decembra 2023 zavrnilo ustavni pritožbi zoper sklepe o odreditvi pripora z odložnim rokom, hkrati pa ugotovilo kršitve ustavnih pravic, ker sodišča ob začetku izvrševanja pripora niso preverjala, ali so priporni razlogi še vedno podani. V obrazložitvi je pritrdilo razlagi, da je takšen pripor lahko dopusten na podlagi kombinirane razlage ZKP in ZIKS, ob poudarku, da bi morala biti zakonska ureditev jasnejša in varovalke izrazitejše.</w:t>
      </w:r>
    </w:p>
    <w:p w14:paraId="4B6DEDD2" w14:textId="77777777" w:rsidR="00695AE2" w:rsidRPr="00CB5050" w:rsidRDefault="00695AE2" w:rsidP="00695AE2">
      <w:pPr>
        <w:suppressAutoHyphens/>
        <w:spacing w:line="240" w:lineRule="auto"/>
        <w:jc w:val="both"/>
        <w:rPr>
          <w:rFonts w:eastAsia="Times New Roman"/>
          <w:bCs/>
          <w:szCs w:val="20"/>
          <w:lang w:eastAsia="sl-SI"/>
        </w:rPr>
      </w:pPr>
    </w:p>
    <w:p w14:paraId="53496270"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Ker Slovenija s pritožnikom ni sklenila prijateljske poravnave, bo v pisni vlogi glede sprejemljivosti in utemeljenosti pritožbe odgovorila na naslednji vprašanji Sodišča:</w:t>
      </w:r>
    </w:p>
    <w:p w14:paraId="415231AA" w14:textId="77777777" w:rsidR="00695AE2" w:rsidRPr="00CB5050" w:rsidRDefault="00695AE2" w:rsidP="00695AE2">
      <w:pPr>
        <w:suppressAutoHyphens/>
        <w:spacing w:line="240" w:lineRule="auto"/>
        <w:jc w:val="both"/>
        <w:rPr>
          <w:rFonts w:eastAsia="Times New Roman"/>
          <w:bCs/>
          <w:szCs w:val="20"/>
          <w:lang w:eastAsia="sl-SI"/>
        </w:rPr>
      </w:pPr>
    </w:p>
    <w:p w14:paraId="09480B79" w14:textId="77777777" w:rsidR="00695AE2" w:rsidRPr="00CB5050" w:rsidRDefault="00695AE2" w:rsidP="006D16C0">
      <w:pPr>
        <w:numPr>
          <w:ilvl w:val="0"/>
          <w:numId w:val="145"/>
        </w:numPr>
        <w:suppressAutoHyphens/>
        <w:spacing w:line="240" w:lineRule="auto"/>
        <w:jc w:val="both"/>
        <w:rPr>
          <w:rFonts w:eastAsia="Times New Roman"/>
          <w:bCs/>
          <w:i/>
          <w:iCs/>
          <w:szCs w:val="20"/>
          <w:lang w:eastAsia="sl-SI"/>
        </w:rPr>
      </w:pPr>
      <w:r w:rsidRPr="00CB5050">
        <w:rPr>
          <w:rFonts w:eastAsia="Times New Roman"/>
          <w:bCs/>
          <w:i/>
          <w:iCs/>
          <w:szCs w:val="20"/>
          <w:lang w:eastAsia="sl-SI"/>
        </w:rPr>
        <w:t>Ali je bil pripor, odrejen 3. decembra 2019 in izvršen 3. februarja 2020, v skladu s postopkom, ki ga določa zakon, kot to zahteva prvi odstavek 5. člena konvencije?</w:t>
      </w:r>
    </w:p>
    <w:p w14:paraId="2BECC3BA" w14:textId="77777777" w:rsidR="00695AE2" w:rsidRPr="00CB5050" w:rsidRDefault="00695AE2" w:rsidP="00695AE2">
      <w:pPr>
        <w:suppressAutoHyphens/>
        <w:spacing w:line="240" w:lineRule="auto"/>
        <w:ind w:left="720"/>
        <w:jc w:val="both"/>
        <w:rPr>
          <w:rFonts w:eastAsia="Times New Roman"/>
          <w:bCs/>
          <w:i/>
          <w:iCs/>
          <w:szCs w:val="20"/>
          <w:lang w:eastAsia="sl-SI"/>
        </w:rPr>
      </w:pPr>
    </w:p>
    <w:p w14:paraId="351D74D6" w14:textId="77777777" w:rsidR="00695AE2" w:rsidRPr="00CB5050" w:rsidRDefault="00695AE2" w:rsidP="006D16C0">
      <w:pPr>
        <w:numPr>
          <w:ilvl w:val="0"/>
          <w:numId w:val="145"/>
        </w:numPr>
        <w:suppressAutoHyphens/>
        <w:spacing w:line="240" w:lineRule="auto"/>
        <w:jc w:val="both"/>
        <w:rPr>
          <w:rFonts w:eastAsia="Times New Roman"/>
          <w:bCs/>
          <w:i/>
          <w:iCs/>
          <w:szCs w:val="20"/>
          <w:lang w:eastAsia="sl-SI"/>
        </w:rPr>
      </w:pPr>
      <w:r w:rsidRPr="00CB5050">
        <w:rPr>
          <w:rFonts w:eastAsia="Times New Roman"/>
          <w:bCs/>
          <w:i/>
          <w:iCs/>
          <w:szCs w:val="20"/>
          <w:lang w:eastAsia="sl-SI"/>
        </w:rPr>
        <w:t>Ali je bilo trajanje postopka pred Ustavnim sodiščem Republike Slovenije v obravnavani zadevi v nasprotju z zahtevo po razumnem roku iz prvega odstavka 6. člena konvencije?</w:t>
      </w:r>
    </w:p>
    <w:p w14:paraId="46180D69" w14:textId="77777777" w:rsidR="00695AE2" w:rsidRPr="00CB5050" w:rsidRDefault="00695AE2" w:rsidP="00695AE2">
      <w:pPr>
        <w:suppressAutoHyphens/>
        <w:spacing w:line="240" w:lineRule="auto"/>
        <w:ind w:firstLine="340"/>
        <w:jc w:val="both"/>
        <w:rPr>
          <w:rFonts w:eastAsia="Times New Roman"/>
          <w:bCs/>
          <w:szCs w:val="20"/>
          <w:lang w:eastAsia="sl-SI"/>
        </w:rPr>
      </w:pPr>
    </w:p>
    <w:p w14:paraId="23C73C8E" w14:textId="77777777" w:rsidR="00695AE2" w:rsidRPr="00CB5050" w:rsidRDefault="00695AE2" w:rsidP="00695AE2">
      <w:pPr>
        <w:pStyle w:val="Naslov4"/>
        <w:rPr>
          <w:szCs w:val="22"/>
        </w:rPr>
      </w:pPr>
      <w:bookmarkStart w:id="1182" w:name="_Toc223094134"/>
      <w:r w:rsidRPr="00256503">
        <w:rPr>
          <w:i/>
          <w:iCs/>
        </w:rPr>
        <w:t>Ristić in drugi proti Sloveniji</w:t>
      </w:r>
      <w:r w:rsidRPr="00CB5050">
        <w:t>, št. 16807/24</w:t>
      </w:r>
      <w:bookmarkEnd w:id="1182"/>
    </w:p>
    <w:p w14:paraId="2D6ACB09" w14:textId="77777777" w:rsidR="00695AE2" w:rsidRPr="00CB5050" w:rsidRDefault="00695AE2" w:rsidP="00695AE2">
      <w:pPr>
        <w:spacing w:line="240" w:lineRule="auto"/>
        <w:jc w:val="both"/>
        <w:rPr>
          <w:rFonts w:eastAsia="Aptos"/>
          <w:b/>
          <w:bCs/>
          <w:i/>
          <w:iCs/>
        </w:rPr>
      </w:pPr>
    </w:p>
    <w:p w14:paraId="74FBDBA1" w14:textId="77777777" w:rsidR="00695AE2" w:rsidRPr="00CB5050" w:rsidRDefault="00695AE2" w:rsidP="00695AE2">
      <w:pPr>
        <w:spacing w:line="240" w:lineRule="auto"/>
        <w:jc w:val="both"/>
        <w:rPr>
          <w:rFonts w:eastAsia="Aptos"/>
        </w:rPr>
      </w:pPr>
      <w:r w:rsidRPr="00CB5050">
        <w:rPr>
          <w:rFonts w:eastAsia="Aptos"/>
        </w:rPr>
        <w:t xml:space="preserve">Pritožniki v pritožbi zatrjujejo kršitve prvega odstavka 6. člena (pravica do poštenega sojenja), 8. in 13. člena Konvencije (pravica do spoštovanja zasebnega in družinskega življenja in pravica do učinkovitega pravnega sredstva) ter 1. člena Protokola št. 1 h konvenciji (varstvo premoženja). </w:t>
      </w:r>
    </w:p>
    <w:p w14:paraId="7D2594A3" w14:textId="77777777" w:rsidR="00695AE2" w:rsidRDefault="00695AE2" w:rsidP="00695AE2">
      <w:pPr>
        <w:spacing w:line="240" w:lineRule="auto"/>
        <w:jc w:val="both"/>
        <w:rPr>
          <w:rFonts w:eastAsia="Aptos"/>
        </w:rPr>
      </w:pPr>
    </w:p>
    <w:p w14:paraId="25C439D0" w14:textId="77777777" w:rsidR="00695AE2" w:rsidRPr="00CB5050" w:rsidRDefault="00695AE2" w:rsidP="00695AE2">
      <w:pPr>
        <w:spacing w:line="240" w:lineRule="auto"/>
        <w:jc w:val="both"/>
        <w:rPr>
          <w:rFonts w:eastAsia="Aptos"/>
        </w:rPr>
      </w:pPr>
      <w:r w:rsidRPr="00CB5050">
        <w:rPr>
          <w:rFonts w:eastAsia="Aptos"/>
        </w:rPr>
        <w:t>Pritožniki so družinski člani (oče, mati in hči), ki so več let živeli v Republiki Sloveniji. Februarja 1992 so bili izbrisani iz registra stalnega prebivalstva. Poleti 1992 so zaradi izbrisa zapustili Slovenijo in se vanjo niso več vrnili. Julija 2013 so na podlagi Zakona o urejanju statusa državljanov drugih držav naslednic nekdanje SFRJ v Republiki Sloveniji (Ur. l. RS, št. 76/10 – UPB, v nadaljevanju: ZUSDDD) vložili prošnjo za pridobitev dovoljenja za stalno prebivanje. Njihove prošnje so bile zavrnjene, saj niso uspeli izkazati, da so se v drugem 5-letnem obdobju svoje odsotnosti aktivno poskušali vrniti v Republiko Slovenijo in tu nadaljevati dejansko življenje. Pritožniki v postopkih s pravnimi sredstvi niso bili uspešni. Tudi Ustavno sodišče je zavrnilo njihovo ustavno pritožbo ter presodilo, da ZUSDDD in Zakon o povračilu škode osebam, ki so bile izbrisane iz registra stalnega prebivalstva (Ur. l. RS, št. 99/13, 24/18 – odl. US in 85/18, v nadaljevanju: ZPŠOIRSP), nista v neskladju z Ustavo.</w:t>
      </w:r>
    </w:p>
    <w:p w14:paraId="73EA9921" w14:textId="77777777" w:rsidR="00695AE2" w:rsidRPr="00CB5050" w:rsidRDefault="00695AE2" w:rsidP="00695AE2">
      <w:pPr>
        <w:spacing w:line="240" w:lineRule="auto"/>
        <w:jc w:val="both"/>
        <w:rPr>
          <w:rFonts w:eastAsia="Aptos"/>
        </w:rPr>
      </w:pPr>
    </w:p>
    <w:p w14:paraId="0A018C84" w14:textId="77777777" w:rsidR="00695AE2" w:rsidRPr="00CB5050" w:rsidRDefault="00695AE2" w:rsidP="00695AE2">
      <w:pPr>
        <w:spacing w:line="240" w:lineRule="auto"/>
        <w:jc w:val="both"/>
        <w:rPr>
          <w:rFonts w:eastAsia="Aptos"/>
        </w:rPr>
      </w:pPr>
      <w:r w:rsidRPr="00CB5050">
        <w:rPr>
          <w:rFonts w:eastAsia="Aptos"/>
        </w:rPr>
        <w:t>Ker je vlada ocenila, da poravnava s pritožniki ni možna, je decembra 2025 podala pisna stališča glede sprejemljivosti in utemeljenosti pritožbe ter odgovorila na naslednja vprašanja, ki jih je postavilo Sodišče:</w:t>
      </w:r>
    </w:p>
    <w:p w14:paraId="78784B70" w14:textId="77777777" w:rsidR="00695AE2" w:rsidRPr="00CB5050" w:rsidRDefault="00695AE2" w:rsidP="00695AE2">
      <w:pPr>
        <w:spacing w:line="240" w:lineRule="auto"/>
        <w:jc w:val="both"/>
        <w:rPr>
          <w:rFonts w:eastAsia="Aptos"/>
        </w:rPr>
      </w:pPr>
    </w:p>
    <w:p w14:paraId="39F2FD53" w14:textId="77777777" w:rsidR="00695AE2" w:rsidRDefault="00695AE2" w:rsidP="006D16C0">
      <w:pPr>
        <w:numPr>
          <w:ilvl w:val="1"/>
          <w:numId w:val="145"/>
        </w:numPr>
        <w:spacing w:line="240" w:lineRule="auto"/>
        <w:ind w:left="851"/>
        <w:jc w:val="both"/>
        <w:rPr>
          <w:rFonts w:eastAsia="Aptos"/>
          <w:i/>
          <w:iCs/>
        </w:rPr>
      </w:pPr>
      <w:r w:rsidRPr="00256503">
        <w:rPr>
          <w:rFonts w:eastAsia="Aptos"/>
          <w:i/>
          <w:iCs/>
        </w:rPr>
        <w:t xml:space="preserve">Ali je glede na razloge za zavrnitev prošnje pritožnikov za dovoljenje za stalno prebivanje prišlo do kršitve 8. člena samostojno in v povezavi s 13. členom konvencije (glej </w:t>
      </w:r>
      <w:r w:rsidRPr="00256503">
        <w:rPr>
          <w:rFonts w:eastAsia="Aptos"/>
        </w:rPr>
        <w:t>Kurić in drugi proti Sloveniji [VS]</w:t>
      </w:r>
      <w:r w:rsidRPr="00256503">
        <w:rPr>
          <w:rFonts w:eastAsia="Aptos"/>
          <w:i/>
          <w:iCs/>
        </w:rPr>
        <w:t>, št. 26828/06, §§ 341-362, 393-396, ECHR 2012 (izvlečki))?</w:t>
      </w:r>
    </w:p>
    <w:p w14:paraId="39ED39E3" w14:textId="77777777" w:rsidR="00695AE2" w:rsidRPr="00256503" w:rsidRDefault="00695AE2" w:rsidP="00695AE2">
      <w:pPr>
        <w:spacing w:line="240" w:lineRule="auto"/>
        <w:ind w:left="851"/>
        <w:jc w:val="both"/>
        <w:rPr>
          <w:rFonts w:eastAsia="Aptos"/>
          <w:i/>
          <w:iCs/>
        </w:rPr>
      </w:pPr>
    </w:p>
    <w:p w14:paraId="5CD2800C" w14:textId="77777777" w:rsidR="00695AE2" w:rsidRPr="00CB5050" w:rsidRDefault="00695AE2" w:rsidP="006D16C0">
      <w:pPr>
        <w:numPr>
          <w:ilvl w:val="1"/>
          <w:numId w:val="145"/>
        </w:numPr>
        <w:spacing w:line="240" w:lineRule="auto"/>
        <w:ind w:left="851"/>
        <w:jc w:val="both"/>
        <w:rPr>
          <w:rFonts w:eastAsia="Aptos"/>
          <w:i/>
          <w:iCs/>
        </w:rPr>
      </w:pPr>
      <w:r w:rsidRPr="00CB5050">
        <w:rPr>
          <w:rFonts w:eastAsia="Aptos"/>
          <w:i/>
          <w:iCs/>
        </w:rPr>
        <w:lastRenderedPageBreak/>
        <w:t>Ali se prvi odstavek 6. člena konvencije uporablja za postopke pred Ustavnim sodiščem v tem primeru? Če je tako, ali je bilo pritožnikom v postopku pred Ustavnim sodiščem v skladu s prvim odstavkom 6. člena konvencije zagotovljeno pošteno sojenje pri odločanju o njihovih pravicah in obveznostih?</w:t>
      </w:r>
    </w:p>
    <w:p w14:paraId="12872A3F" w14:textId="77777777" w:rsidR="00695AE2" w:rsidRPr="00CB5050" w:rsidRDefault="00695AE2" w:rsidP="00695AE2">
      <w:pPr>
        <w:spacing w:line="240" w:lineRule="auto"/>
        <w:ind w:left="851" w:hanging="360"/>
        <w:jc w:val="both"/>
        <w:rPr>
          <w:rFonts w:eastAsia="Aptos"/>
          <w:i/>
          <w:iCs/>
        </w:rPr>
      </w:pPr>
    </w:p>
    <w:p w14:paraId="666C7D37" w14:textId="77777777" w:rsidR="00695AE2" w:rsidRPr="00CB5050" w:rsidRDefault="00695AE2" w:rsidP="00695AE2">
      <w:pPr>
        <w:spacing w:line="240" w:lineRule="auto"/>
        <w:ind w:left="851"/>
        <w:jc w:val="both"/>
        <w:rPr>
          <w:rFonts w:eastAsia="Aptos"/>
          <w:i/>
          <w:iCs/>
        </w:rPr>
      </w:pPr>
      <w:r w:rsidRPr="00CB5050">
        <w:rPr>
          <w:rFonts w:eastAsia="Aptos"/>
          <w:i/>
          <w:iCs/>
        </w:rPr>
        <w:t>Stranke naj se opredelijo zlasti do tega, ali je postopek glasovanja pred ustavnim sodiščem – kjer so nekateri sodniki domnevno glasovali v nasprotju s svojimi prepričanji, da bi se izognili zastoju v postopku – vplival na splošno pravičnost postopka pred Ustavnim sodiščem.</w:t>
      </w:r>
    </w:p>
    <w:p w14:paraId="6B0C8803" w14:textId="77777777" w:rsidR="00695AE2" w:rsidRPr="00CB5050" w:rsidRDefault="00695AE2" w:rsidP="00695AE2">
      <w:pPr>
        <w:spacing w:line="240" w:lineRule="auto"/>
        <w:ind w:left="851" w:hanging="360"/>
        <w:jc w:val="both"/>
        <w:rPr>
          <w:rFonts w:eastAsia="Aptos"/>
          <w:i/>
          <w:iCs/>
        </w:rPr>
      </w:pPr>
    </w:p>
    <w:p w14:paraId="5ACABD8B" w14:textId="77777777" w:rsidR="00695AE2" w:rsidRPr="00CB5050" w:rsidRDefault="00695AE2" w:rsidP="006D16C0">
      <w:pPr>
        <w:numPr>
          <w:ilvl w:val="0"/>
          <w:numId w:val="145"/>
        </w:numPr>
        <w:spacing w:line="240" w:lineRule="auto"/>
        <w:ind w:left="851"/>
        <w:contextualSpacing/>
        <w:jc w:val="both"/>
        <w:rPr>
          <w:rFonts w:eastAsia="Aptos"/>
          <w:i/>
          <w:iCs/>
        </w:rPr>
      </w:pPr>
      <w:r w:rsidRPr="00CB5050">
        <w:rPr>
          <w:rFonts w:eastAsia="Aptos"/>
          <w:i/>
          <w:iCs/>
        </w:rPr>
        <w:t>Ali se 1. člen Protokola št. 1 h konvenciji uporablja glede nezmožnosti pritožnikov, da bi zahtevali odškodnino po shemi, vzpostavljeni z ZPŠOIRSP? Če je tako, ali je prišlo do kršitve 1. člena Protokola št. 1 h konvenciji zaradi pomanjkanja dostopa pritožnikov do odškodnine po omenjeni shemi?</w:t>
      </w:r>
    </w:p>
    <w:p w14:paraId="2ED67169" w14:textId="77777777" w:rsidR="00695AE2" w:rsidRPr="00CB5050" w:rsidRDefault="00695AE2" w:rsidP="00695AE2">
      <w:pPr>
        <w:suppressAutoHyphens/>
        <w:spacing w:line="240" w:lineRule="auto"/>
        <w:jc w:val="both"/>
        <w:rPr>
          <w:rFonts w:eastAsia="Aptos"/>
        </w:rPr>
      </w:pPr>
    </w:p>
    <w:p w14:paraId="73C9A2E8" w14:textId="77777777" w:rsidR="00695AE2" w:rsidRPr="00CB5050" w:rsidRDefault="00695AE2" w:rsidP="00695AE2">
      <w:pPr>
        <w:pStyle w:val="Naslov4"/>
        <w:rPr>
          <w:szCs w:val="22"/>
        </w:rPr>
      </w:pPr>
      <w:bookmarkStart w:id="1183" w:name="_Toc223094135"/>
      <w:r w:rsidRPr="00256503">
        <w:rPr>
          <w:i/>
          <w:iCs/>
        </w:rPr>
        <w:t>Marijon proti Sloveniji</w:t>
      </w:r>
      <w:r w:rsidRPr="00CB5050">
        <w:t>, št. 729/24</w:t>
      </w:r>
      <w:bookmarkEnd w:id="1183"/>
    </w:p>
    <w:p w14:paraId="197B8F5A" w14:textId="77777777" w:rsidR="00695AE2" w:rsidRPr="00CB5050" w:rsidRDefault="00695AE2" w:rsidP="00695AE2">
      <w:pPr>
        <w:spacing w:line="240" w:lineRule="auto"/>
        <w:jc w:val="both"/>
        <w:rPr>
          <w:rFonts w:eastAsia="Aptos"/>
        </w:rPr>
      </w:pPr>
    </w:p>
    <w:p w14:paraId="343726EB"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Pritožnica, ki v pritožbi navaja, da je oseba s posebnimi kognitivnimi in psihičnimi potrebami, zatrjuje kršitev 8. člena (pravice do spoštovanja zasebnega in družinskega življenja) in 14. člena (prepoved diskriminacije) konvencije.</w:t>
      </w:r>
    </w:p>
    <w:p w14:paraId="42DCDA31" w14:textId="77777777" w:rsidR="00695AE2" w:rsidRPr="00CB5050" w:rsidRDefault="00695AE2" w:rsidP="00695AE2">
      <w:pPr>
        <w:spacing w:line="240" w:lineRule="auto"/>
        <w:jc w:val="both"/>
        <w:rPr>
          <w:rFonts w:eastAsia="Times New Roman"/>
          <w:bCs/>
          <w:lang w:eastAsia="sl-SI"/>
        </w:rPr>
      </w:pPr>
    </w:p>
    <w:p w14:paraId="2DAB54F5"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Dne 18. 9. 2009 je bila operirana na Univerzitetnem kliničnem centru (UKC) zaradi hernije, po operaciji pa je postala paraplegik. V civilnem postopku je uveljavljala odškodnino zaradi protipravnega ravnanja bolnišnice, pri čemer je </w:t>
      </w:r>
      <w:r w:rsidRPr="00CB5050">
        <w:rPr>
          <w:rFonts w:eastAsia="Times New Roman"/>
          <w:bCs/>
          <w:i/>
          <w:iCs/>
          <w:lang w:eastAsia="sl-SI"/>
        </w:rPr>
        <w:t>med drugim</w:t>
      </w:r>
      <w:r w:rsidRPr="00CB5050">
        <w:rPr>
          <w:rFonts w:eastAsia="Times New Roman"/>
          <w:bCs/>
          <w:lang w:eastAsia="sl-SI"/>
        </w:rPr>
        <w:t xml:space="preserve"> trdila, da bolnišnica pred zdravniškim posegom ni pridobila njene veljavne informirane privolitve. Zdravnik ji namreč pred posegom ni predložil nobenih pisnih in (zadostnih) ustnih informacij o operativnem posegu in z njim povezanih tveganjih, niti ni pridobil njene pisne privolitve za ta poseg. Domača sodišča so njen tožbeni zahtevek zavrnila. Vrhovno sodišče je sicer priznalo, da veljavna zakonodaja za poseg, ki vključuje večja tveganja, zahteva predhodno podajo pisnih in ustnih informacij o posegu ter pisno privolitev. Vendar pa je glede na posebno ranljivost pritožnice menilo, da čeprav je bilo pritožnici pred posegom dano zgolj ustno pojasnilo, to skupaj z njeno prisotnostjo na operaciji in podpisom privolitvenega obrazca za anestezijo, pomeni veljavno privolitev v poseg.</w:t>
      </w:r>
    </w:p>
    <w:p w14:paraId="20E6F59A" w14:textId="77777777" w:rsidR="00695AE2" w:rsidRPr="00CB5050" w:rsidRDefault="00695AE2" w:rsidP="00695AE2">
      <w:pPr>
        <w:spacing w:line="240" w:lineRule="auto"/>
        <w:jc w:val="both"/>
        <w:rPr>
          <w:rFonts w:eastAsia="Times New Roman"/>
          <w:bCs/>
          <w:lang w:eastAsia="sl-SI"/>
        </w:rPr>
      </w:pPr>
    </w:p>
    <w:p w14:paraId="5768CA12"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Ker je vlada ocenila, da poravnava s pritožnico ni možna, je v nadaljevanju podala pisna stališča glede sprejemljivosti in utemeljenosti pritožbe ter odgovorila na postavljena vprašanja ESČP:</w:t>
      </w:r>
    </w:p>
    <w:p w14:paraId="6A1CE60F" w14:textId="77777777" w:rsidR="00695AE2" w:rsidRPr="00CB5050" w:rsidRDefault="00695AE2" w:rsidP="00695AE2">
      <w:pPr>
        <w:spacing w:line="240" w:lineRule="auto"/>
        <w:jc w:val="both"/>
        <w:rPr>
          <w:rFonts w:eastAsia="Times New Roman"/>
          <w:bCs/>
          <w:lang w:eastAsia="sl-SI"/>
        </w:rPr>
      </w:pPr>
    </w:p>
    <w:p w14:paraId="71B2BF43" w14:textId="77777777" w:rsidR="00695AE2" w:rsidRPr="00CB5050" w:rsidRDefault="00695AE2" w:rsidP="006D16C0">
      <w:pPr>
        <w:numPr>
          <w:ilvl w:val="1"/>
          <w:numId w:val="145"/>
        </w:numPr>
        <w:spacing w:line="240" w:lineRule="auto"/>
        <w:ind w:left="709"/>
        <w:contextualSpacing/>
        <w:jc w:val="both"/>
        <w:rPr>
          <w:rFonts w:eastAsia="Times New Roman"/>
          <w:i/>
          <w:iCs/>
          <w:lang w:eastAsia="sl-SI"/>
        </w:rPr>
      </w:pPr>
      <w:r w:rsidRPr="00CB5050">
        <w:rPr>
          <w:rFonts w:eastAsia="Times New Roman"/>
          <w:i/>
          <w:iCs/>
          <w:lang w:eastAsia="sl-SI"/>
        </w:rPr>
        <w:t xml:space="preserve">Ali je bila pritožnici kršena pravica do spoštovanja zasebnega življenja iz 8. člena konvencije zaradi nepridobitve njene pisne informirane privolitve za zdravniški poseg, ki je imel za posledico paraplegijo (glej na primer sodbo z dne 15. januarja 2013 v zadevi </w:t>
      </w:r>
      <w:r w:rsidRPr="00CB5050">
        <w:rPr>
          <w:rFonts w:eastAsia="Times New Roman"/>
          <w:lang w:eastAsia="sl-SI"/>
        </w:rPr>
        <w:t>Csoma proti Romuniji</w:t>
      </w:r>
      <w:r w:rsidRPr="00CB5050">
        <w:rPr>
          <w:rFonts w:eastAsia="Times New Roman"/>
          <w:i/>
          <w:iCs/>
          <w:lang w:eastAsia="sl-SI"/>
        </w:rPr>
        <w:t xml:space="preserve">, št. 8759/05, </w:t>
      </w:r>
      <w:r w:rsidRPr="00CB5050">
        <w:rPr>
          <w:rFonts w:eastAsia="Aptos"/>
          <w:i/>
          <w:iCs/>
        </w:rPr>
        <w:t>§§</w:t>
      </w:r>
      <w:r w:rsidRPr="00CB5050">
        <w:rPr>
          <w:rFonts w:eastAsia="Times New Roman"/>
          <w:i/>
          <w:iCs/>
          <w:lang w:eastAsia="sl-SI"/>
        </w:rPr>
        <w:t xml:space="preserve">41-42 in 48; sodba z dne 13. aprila 2023 v zadevi </w:t>
      </w:r>
      <w:r w:rsidRPr="00CB5050">
        <w:rPr>
          <w:rFonts w:eastAsia="Times New Roman"/>
          <w:lang w:eastAsia="sl-SI"/>
        </w:rPr>
        <w:t>Mayboroda proti Ukrajini</w:t>
      </w:r>
      <w:r w:rsidRPr="00CB5050">
        <w:rPr>
          <w:rFonts w:eastAsia="Times New Roman"/>
          <w:i/>
          <w:iCs/>
          <w:lang w:eastAsia="sl-SI"/>
        </w:rPr>
        <w:t xml:space="preserve">, št. 14709/07, </w:t>
      </w:r>
      <w:r w:rsidRPr="00CB5050">
        <w:rPr>
          <w:rFonts w:eastAsia="Aptos"/>
          <w:i/>
          <w:iCs/>
        </w:rPr>
        <w:t xml:space="preserve">§ </w:t>
      </w:r>
      <w:r w:rsidRPr="00CB5050">
        <w:rPr>
          <w:rFonts w:eastAsia="Times New Roman"/>
          <w:i/>
          <w:iCs/>
          <w:lang w:eastAsia="sl-SI"/>
        </w:rPr>
        <w:t xml:space="preserve">52; in </w:t>
      </w:r>
      <w:r w:rsidRPr="00CB5050">
        <w:rPr>
          <w:rFonts w:eastAsia="Times New Roman"/>
          <w:lang w:eastAsia="sl-SI"/>
        </w:rPr>
        <w:t>Reyes Jimenez proti Španiji</w:t>
      </w:r>
      <w:r w:rsidRPr="00CB5050">
        <w:rPr>
          <w:rFonts w:eastAsia="Times New Roman"/>
          <w:i/>
          <w:iCs/>
          <w:lang w:eastAsia="sl-SI"/>
        </w:rPr>
        <w:t xml:space="preserve">, št. 57020/18, </w:t>
      </w:r>
      <w:r w:rsidRPr="00CB5050">
        <w:rPr>
          <w:rFonts w:eastAsia="Aptos"/>
          <w:i/>
          <w:iCs/>
        </w:rPr>
        <w:t xml:space="preserve">§ </w:t>
      </w:r>
      <w:r w:rsidRPr="00CB5050">
        <w:rPr>
          <w:rFonts w:eastAsia="Times New Roman"/>
          <w:i/>
          <w:iCs/>
          <w:lang w:eastAsia="sl-SI"/>
        </w:rPr>
        <w:t>30, 8. marec 2022)?</w:t>
      </w:r>
    </w:p>
    <w:p w14:paraId="71606A2B" w14:textId="77777777" w:rsidR="00695AE2" w:rsidRPr="00CB5050" w:rsidRDefault="00695AE2" w:rsidP="00695AE2">
      <w:pPr>
        <w:spacing w:line="240" w:lineRule="auto"/>
        <w:jc w:val="both"/>
        <w:rPr>
          <w:rFonts w:eastAsia="Times New Roman"/>
          <w:i/>
          <w:iCs/>
          <w:lang w:eastAsia="sl-SI"/>
        </w:rPr>
      </w:pPr>
    </w:p>
    <w:p w14:paraId="1AD5E524" w14:textId="77777777" w:rsidR="00695AE2" w:rsidRPr="00CB5050" w:rsidRDefault="00695AE2" w:rsidP="00695AE2">
      <w:pPr>
        <w:spacing w:line="240" w:lineRule="auto"/>
        <w:ind w:left="709"/>
        <w:jc w:val="both"/>
        <w:rPr>
          <w:rFonts w:eastAsia="Times New Roman"/>
          <w:i/>
          <w:iCs/>
          <w:lang w:eastAsia="sl-SI"/>
        </w:rPr>
      </w:pPr>
      <w:r w:rsidRPr="00CB5050">
        <w:rPr>
          <w:rFonts w:eastAsia="Times New Roman"/>
          <w:i/>
          <w:iCs/>
          <w:lang w:eastAsia="sl-SI"/>
        </w:rPr>
        <w:t xml:space="preserve">Stranki sta pozvani, naj se izrečeta zlasti o tem, ali je bila pritožnica ustrezno in vnaprej obveščena o naravi in predvidljivih tveganjih medicinskega posega ter ali je dala </w:t>
      </w:r>
      <w:r w:rsidRPr="00CB5050">
        <w:rPr>
          <w:rFonts w:eastAsia="Times New Roman"/>
          <w:i/>
          <w:iCs/>
          <w:lang w:eastAsia="sl-SI"/>
        </w:rPr>
        <w:lastRenderedPageBreak/>
        <w:t>veljavno privolitev. Pojasniti morata tudi, kako je bilo to vprašanje obravnavano v nacionalnih sodnih odločbah, izdanih v obravnavani zadevi.</w:t>
      </w:r>
    </w:p>
    <w:p w14:paraId="1AC450C0" w14:textId="77777777" w:rsidR="00695AE2" w:rsidRPr="00CB5050" w:rsidRDefault="00695AE2" w:rsidP="00695AE2">
      <w:pPr>
        <w:spacing w:line="240" w:lineRule="auto"/>
        <w:ind w:left="709"/>
        <w:jc w:val="both"/>
        <w:rPr>
          <w:rFonts w:eastAsia="Times New Roman"/>
          <w:i/>
          <w:iCs/>
          <w:lang w:eastAsia="sl-SI"/>
        </w:rPr>
      </w:pPr>
    </w:p>
    <w:p w14:paraId="785A91D7" w14:textId="77777777" w:rsidR="00695AE2" w:rsidRPr="00CB5050" w:rsidRDefault="00695AE2" w:rsidP="00695AE2">
      <w:pPr>
        <w:spacing w:line="240" w:lineRule="auto"/>
        <w:ind w:left="709"/>
        <w:jc w:val="both"/>
        <w:rPr>
          <w:rFonts w:eastAsia="Times New Roman"/>
          <w:i/>
          <w:iCs/>
          <w:lang w:eastAsia="sl-SI"/>
        </w:rPr>
      </w:pPr>
      <w:r w:rsidRPr="00CB5050">
        <w:rPr>
          <w:rFonts w:eastAsia="Times New Roman"/>
          <w:i/>
          <w:iCs/>
          <w:lang w:eastAsia="sl-SI"/>
        </w:rPr>
        <w:t>Poleg tega se od strank zahteva, da zagotovijo vsa ustrezna navodila in dokumente v zvezi z informirano privolitvijo za to vrsto postopka (kot so obrazci za informacije in privolitev) ter vse veljavne predpise, ki urejajo izjeme od zahteve po pisnih informacijah in pisni privolitvi, vključno z varnostnimi ukrepi, vzpostavljenimi v takih primerih. Predložiti je treba tudi vse druge dokumente, pomembne za to vprašanje.</w:t>
      </w:r>
    </w:p>
    <w:p w14:paraId="4599D8DF" w14:textId="77777777" w:rsidR="00695AE2" w:rsidRPr="00CB5050" w:rsidRDefault="00695AE2" w:rsidP="00695AE2">
      <w:pPr>
        <w:spacing w:line="240" w:lineRule="auto"/>
        <w:jc w:val="both"/>
        <w:rPr>
          <w:rFonts w:eastAsia="Times New Roman"/>
          <w:i/>
          <w:iCs/>
          <w:lang w:eastAsia="sl-SI"/>
        </w:rPr>
      </w:pPr>
    </w:p>
    <w:p w14:paraId="3A21AEEA" w14:textId="77777777" w:rsidR="00695AE2" w:rsidRPr="00CB5050" w:rsidRDefault="00695AE2" w:rsidP="006D16C0">
      <w:pPr>
        <w:numPr>
          <w:ilvl w:val="0"/>
          <w:numId w:val="146"/>
        </w:numPr>
        <w:spacing w:line="240" w:lineRule="auto"/>
        <w:jc w:val="both"/>
        <w:rPr>
          <w:rFonts w:eastAsia="Times New Roman"/>
          <w:i/>
          <w:iCs/>
          <w:lang w:eastAsia="sl-SI"/>
        </w:rPr>
      </w:pPr>
      <w:r w:rsidRPr="00CB5050">
        <w:rPr>
          <w:rFonts w:eastAsia="Times New Roman"/>
          <w:i/>
          <w:iCs/>
          <w:lang w:eastAsia="sl-SI"/>
        </w:rPr>
        <w:t>Ali je bila pritožnica zaradi svoje kognitivne in psihološke ranljivosti diskriminirana v nasprotju s 14. členom v povezavi z 8. členom konvencije?</w:t>
      </w:r>
    </w:p>
    <w:p w14:paraId="394020EC" w14:textId="77777777" w:rsidR="00695AE2" w:rsidRPr="00CB5050" w:rsidRDefault="00695AE2" w:rsidP="00695AE2">
      <w:pPr>
        <w:spacing w:line="240" w:lineRule="auto"/>
        <w:jc w:val="both"/>
        <w:rPr>
          <w:rFonts w:eastAsia="Times New Roman"/>
          <w:lang w:eastAsia="sl-SI"/>
        </w:rPr>
      </w:pPr>
    </w:p>
    <w:p w14:paraId="6C3BD65F" w14:textId="77777777" w:rsidR="00695AE2" w:rsidRPr="00CB5050" w:rsidRDefault="00695AE2" w:rsidP="00695AE2">
      <w:pPr>
        <w:spacing w:line="240" w:lineRule="auto"/>
        <w:jc w:val="both"/>
        <w:rPr>
          <w:rFonts w:eastAsia="Times New Roman"/>
          <w:bCs/>
          <w:i/>
          <w:lang w:eastAsia="sl-SI"/>
        </w:rPr>
      </w:pPr>
      <w:r w:rsidRPr="00CB5050">
        <w:rPr>
          <w:rFonts w:eastAsia="Times New Roman"/>
          <w:bCs/>
          <w:lang w:eastAsia="sl-SI"/>
        </w:rPr>
        <w:t xml:space="preserve">Pritožnica je vložila zahtevo za pravično zadoščenje za </w:t>
      </w:r>
      <w:bookmarkStart w:id="1184" w:name="_Hlk150773617"/>
      <w:r w:rsidRPr="00CB5050">
        <w:rPr>
          <w:rFonts w:eastAsia="Times New Roman"/>
          <w:bCs/>
          <w:lang w:eastAsia="sl-SI"/>
        </w:rPr>
        <w:t xml:space="preserve">nepremoženjsko škodo v višini 150.000,00 EUR in za premoženjsko škodo v višini 3.763,88 EUR. </w:t>
      </w:r>
      <w:bookmarkEnd w:id="1184"/>
    </w:p>
    <w:p w14:paraId="4E9BF625" w14:textId="77777777" w:rsidR="00695AE2" w:rsidRPr="00CB5050" w:rsidRDefault="00695AE2" w:rsidP="00695AE2">
      <w:pPr>
        <w:spacing w:line="240" w:lineRule="auto"/>
        <w:jc w:val="both"/>
        <w:rPr>
          <w:rFonts w:eastAsia="Aptos"/>
        </w:rPr>
      </w:pPr>
    </w:p>
    <w:p w14:paraId="503EB831" w14:textId="77777777" w:rsidR="00695AE2" w:rsidRPr="00CB5050" w:rsidRDefault="00695AE2" w:rsidP="00695AE2">
      <w:pPr>
        <w:pStyle w:val="Naslov4"/>
        <w:rPr>
          <w:szCs w:val="22"/>
        </w:rPr>
      </w:pPr>
      <w:bookmarkStart w:id="1185" w:name="_Toc223094136"/>
      <w:r w:rsidRPr="00256503">
        <w:rPr>
          <w:i/>
          <w:iCs/>
        </w:rPr>
        <w:t>Giuliatti Bajželj proti Sloveniji</w:t>
      </w:r>
      <w:r w:rsidRPr="00CB5050">
        <w:t>, št. 3316/25</w:t>
      </w:r>
      <w:bookmarkEnd w:id="1185"/>
    </w:p>
    <w:p w14:paraId="112D05F9" w14:textId="77777777" w:rsidR="00695AE2" w:rsidRPr="00CB5050" w:rsidRDefault="00695AE2" w:rsidP="00695AE2">
      <w:pPr>
        <w:spacing w:line="240" w:lineRule="auto"/>
        <w:jc w:val="both"/>
        <w:rPr>
          <w:rFonts w:eastAsia="Aptos"/>
        </w:rPr>
      </w:pPr>
    </w:p>
    <w:p w14:paraId="074AD097" w14:textId="77777777" w:rsidR="00695AE2" w:rsidRPr="00CB5050" w:rsidRDefault="00695AE2" w:rsidP="00695AE2">
      <w:pPr>
        <w:spacing w:line="240" w:lineRule="auto"/>
        <w:jc w:val="both"/>
        <w:rPr>
          <w:rFonts w:eastAsia="Aptos"/>
        </w:rPr>
      </w:pPr>
      <w:r w:rsidRPr="00CB5050">
        <w:rPr>
          <w:rFonts w:eastAsia="Aptos"/>
        </w:rPr>
        <w:t xml:space="preserve">Pritožba se nanaša na zatrjevano kršitev pravice do življenja iz 2. člena ter na kršitev pravice do spoštovanja zasebnega življenja iz 8. člena Konvencije. </w:t>
      </w:r>
    </w:p>
    <w:p w14:paraId="5C30EDFF" w14:textId="77777777" w:rsidR="00695AE2" w:rsidRPr="00CB5050" w:rsidRDefault="00695AE2" w:rsidP="00695AE2">
      <w:pPr>
        <w:spacing w:line="240" w:lineRule="auto"/>
        <w:jc w:val="both"/>
        <w:rPr>
          <w:rFonts w:eastAsia="Aptos"/>
        </w:rPr>
      </w:pPr>
    </w:p>
    <w:p w14:paraId="5C2731DE" w14:textId="77777777" w:rsidR="00695AE2" w:rsidRPr="00CB5050" w:rsidRDefault="00695AE2" w:rsidP="00695AE2">
      <w:pPr>
        <w:spacing w:line="240" w:lineRule="auto"/>
        <w:jc w:val="both"/>
        <w:rPr>
          <w:rFonts w:eastAsia="Aptos"/>
        </w:rPr>
      </w:pPr>
      <w:r w:rsidRPr="00CB5050">
        <w:rPr>
          <w:rFonts w:eastAsia="Aptos"/>
        </w:rPr>
        <w:t>Pritožnica je mati A. B., ki ga je en dan po izginotju priglasila kot pogrešano osebo, oče pa ga je po treh dneh odsotnosti našel mrtvega v osebnem avtomobilu na Rakovi jelši. V preiskavi razlogov za njegovo smrt je pritožnica policiji posredovala številne informacije in dokaze, ki so kazali na sumljive okoliščine sinove smrti, ter aktivno sodelovala s policijo pri preiskavi okoliščin pred in po smrti. Čeprav so okoliščine primera kazale, da bi pritožničin sin lahko umrl zaradi prevelikega odmerka prepovedane droge, je pritožnica zatrjevala, da je sin preminul nasilne smrti, in zoper neznanega storilca podala kazensko ovadbo zaradi storitve kaznivega dejanja uboja.</w:t>
      </w:r>
    </w:p>
    <w:p w14:paraId="66B0F081" w14:textId="77777777" w:rsidR="00695AE2" w:rsidRPr="00CB5050" w:rsidRDefault="00695AE2" w:rsidP="00695AE2">
      <w:pPr>
        <w:spacing w:line="240" w:lineRule="auto"/>
        <w:jc w:val="both"/>
        <w:rPr>
          <w:rFonts w:eastAsia="Aptos"/>
        </w:rPr>
      </w:pPr>
    </w:p>
    <w:p w14:paraId="2D07836B" w14:textId="77777777" w:rsidR="00695AE2" w:rsidRPr="00CB5050" w:rsidRDefault="00695AE2" w:rsidP="00695AE2">
      <w:pPr>
        <w:spacing w:line="240" w:lineRule="auto"/>
        <w:jc w:val="both"/>
        <w:rPr>
          <w:rFonts w:eastAsia="Aptos"/>
        </w:rPr>
      </w:pPr>
      <w:r w:rsidRPr="00CB5050">
        <w:rPr>
          <w:rFonts w:eastAsia="Aptos"/>
        </w:rPr>
        <w:t>Po tem, ko je državni tožilec ovadbo zavrgel, ker ni bil podan utemeljen sum, da je bilo storjeno naznanjeno kaznivo dejanje, sta starša pokojnega prevzela kazenski pregon in kot upravičena tožilca po 165. členu ZKP zahtevala opravo več preiskovalnih dejanj. Izvenobravnavni senat Okrožnega sodišča v Ljubljani je predlog zavrnil, saj so preiskovalna dejanja, ki so predmet predloga po navedeni zakonski določbi, namenjena odkritju storilca kaznivega dejanja, za katerega je že podan utemeljen sum storitve kaznivega dejanja, in ne samemu ugotavljanju utemeljenega suma. Ustavno pritožbo zoper navedeni sklep je Ustavno sodišče zavrnilo.</w:t>
      </w:r>
    </w:p>
    <w:p w14:paraId="144971B2" w14:textId="77777777" w:rsidR="00695AE2" w:rsidRPr="00CB5050" w:rsidRDefault="00695AE2" w:rsidP="00695AE2">
      <w:pPr>
        <w:spacing w:line="240" w:lineRule="auto"/>
        <w:jc w:val="both"/>
        <w:rPr>
          <w:rFonts w:eastAsia="Aptos"/>
        </w:rPr>
      </w:pPr>
    </w:p>
    <w:p w14:paraId="609B7AA0" w14:textId="77777777" w:rsidR="00695AE2" w:rsidRPr="00CB5050" w:rsidRDefault="00695AE2" w:rsidP="00695AE2">
      <w:pPr>
        <w:spacing w:line="240" w:lineRule="auto"/>
        <w:jc w:val="both"/>
        <w:rPr>
          <w:rFonts w:eastAsia="Aptos"/>
        </w:rPr>
      </w:pPr>
      <w:r w:rsidRPr="00CB5050">
        <w:rPr>
          <w:rFonts w:eastAsia="Aptos"/>
        </w:rPr>
        <w:t>Pritožnica v delu pritožbe, ki je bila Sloveniji vročena v odgovor, zatrjuje, da ji je bil kršen procesni vidik pravice do življenja iz 2. člena. Ker še vedno ne pozna razlogov smrti njenega sina, pa tudi trdi, da ji je bilo neupravičeno poseženo v pravico do spoštovanja zasebnega življenja iz 8. člena konvencije.</w:t>
      </w:r>
    </w:p>
    <w:p w14:paraId="47BC3879" w14:textId="77777777" w:rsidR="00695AE2" w:rsidRPr="00CB5050" w:rsidRDefault="00695AE2" w:rsidP="00695AE2">
      <w:pPr>
        <w:spacing w:line="240" w:lineRule="auto"/>
        <w:jc w:val="both"/>
        <w:rPr>
          <w:rFonts w:eastAsia="Times New Roman"/>
          <w:lang w:eastAsia="sl-SI"/>
        </w:rPr>
      </w:pPr>
    </w:p>
    <w:p w14:paraId="1ACF4676"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Vlada ni soglašala s sklenitvijo prijateljske poravnave, zato bo odgovorila na naslednji vprašanji Sodišča:</w:t>
      </w:r>
    </w:p>
    <w:p w14:paraId="1CCEE1CE" w14:textId="77777777" w:rsidR="00695AE2" w:rsidRPr="00CB5050" w:rsidRDefault="00695AE2" w:rsidP="00695AE2">
      <w:pPr>
        <w:spacing w:line="240" w:lineRule="auto"/>
        <w:jc w:val="both"/>
        <w:rPr>
          <w:rFonts w:eastAsia="Times New Roman"/>
          <w:lang w:eastAsia="sl-SI"/>
        </w:rPr>
      </w:pPr>
    </w:p>
    <w:p w14:paraId="47B95382" w14:textId="77777777" w:rsidR="00695AE2" w:rsidRPr="00CB5050" w:rsidRDefault="00695AE2" w:rsidP="006D16C0">
      <w:pPr>
        <w:numPr>
          <w:ilvl w:val="1"/>
          <w:numId w:val="146"/>
        </w:numPr>
        <w:autoSpaceDE w:val="0"/>
        <w:autoSpaceDN w:val="0"/>
        <w:adjustRightInd w:val="0"/>
        <w:spacing w:line="240" w:lineRule="auto"/>
        <w:ind w:left="709"/>
        <w:contextualSpacing/>
        <w:jc w:val="both"/>
        <w:rPr>
          <w:rFonts w:eastAsia="Aptos"/>
          <w:i/>
          <w:color w:val="000000"/>
          <w:szCs w:val="22"/>
        </w:rPr>
      </w:pPr>
      <w:r w:rsidRPr="00CB5050">
        <w:rPr>
          <w:rFonts w:eastAsia="Aptos"/>
          <w:i/>
          <w:iCs/>
          <w:szCs w:val="22"/>
        </w:rPr>
        <w:t xml:space="preserve">Ali je bila preiskava, ki so jo v obravnavanem primeru izvedli domači organi, ob upoštevanju procesnega varstva pravice do življenja in okoliščin smrti pritožničinega </w:t>
      </w:r>
      <w:r w:rsidRPr="00CB5050">
        <w:rPr>
          <w:rFonts w:eastAsia="Aptos"/>
          <w:i/>
          <w:iCs/>
          <w:szCs w:val="22"/>
        </w:rPr>
        <w:lastRenderedPageBreak/>
        <w:t xml:space="preserve">sina v skladu z 2. členom konvencije </w:t>
      </w:r>
      <w:r w:rsidRPr="00CB5050">
        <w:rPr>
          <w:rFonts w:eastAsia="Aptos"/>
          <w:i/>
          <w:color w:val="000000"/>
          <w:szCs w:val="22"/>
        </w:rPr>
        <w:t>(</w:t>
      </w:r>
      <w:r w:rsidRPr="00CB5050">
        <w:rPr>
          <w:rFonts w:eastAsia="Aptos"/>
          <w:iCs/>
          <w:color w:val="000000"/>
          <w:szCs w:val="22"/>
        </w:rPr>
        <w:t>glej Nicolae Virgiliu Tănase proti Romuniji</w:t>
      </w:r>
      <w:r w:rsidRPr="00CB5050">
        <w:rPr>
          <w:rFonts w:eastAsia="Aptos"/>
          <w:i/>
          <w:color w:val="000000"/>
          <w:szCs w:val="22"/>
        </w:rPr>
        <w:t xml:space="preserve"> [VS], št. 41720/13, §§ 157-168, 25. junij 2019)?</w:t>
      </w:r>
    </w:p>
    <w:p w14:paraId="2BC57A7E" w14:textId="77777777" w:rsidR="00695AE2" w:rsidRPr="00CB5050" w:rsidRDefault="00695AE2" w:rsidP="00695AE2">
      <w:pPr>
        <w:autoSpaceDE w:val="0"/>
        <w:autoSpaceDN w:val="0"/>
        <w:adjustRightInd w:val="0"/>
        <w:spacing w:line="240" w:lineRule="auto"/>
        <w:jc w:val="both"/>
        <w:rPr>
          <w:rFonts w:eastAsia="Aptos"/>
          <w:i/>
          <w:color w:val="000000"/>
          <w:szCs w:val="22"/>
        </w:rPr>
      </w:pPr>
    </w:p>
    <w:p w14:paraId="51F90C90" w14:textId="77777777" w:rsidR="00695AE2" w:rsidRPr="00CB5050" w:rsidRDefault="00695AE2" w:rsidP="00695AE2">
      <w:pPr>
        <w:autoSpaceDE w:val="0"/>
        <w:autoSpaceDN w:val="0"/>
        <w:adjustRightInd w:val="0"/>
        <w:spacing w:line="240" w:lineRule="auto"/>
        <w:ind w:left="709"/>
        <w:jc w:val="both"/>
        <w:rPr>
          <w:rFonts w:eastAsia="Aptos"/>
          <w:i/>
          <w:color w:val="000000"/>
          <w:szCs w:val="22"/>
        </w:rPr>
      </w:pPr>
      <w:r w:rsidRPr="00CB5050">
        <w:rPr>
          <w:rFonts w:eastAsia="Aptos"/>
          <w:i/>
          <w:color w:val="000000"/>
          <w:szCs w:val="22"/>
        </w:rPr>
        <w:t>V zvezi s tem naj se stranke izrečejo zlasti o ukrepih, ki so jih domači organi sprejeli za zavarovanje dokazov in preiskavo morebitne vpletenosti tretjih oseb v smrt A. B. Prav tako naj obravnavajo stališče domačih sodišč glede pravnih sredstev, ki so na voljo sorodnikom pokojnika, da v primerih sumljivih smrti zahtevajo, da domača sodišča odredijo preiskovalne ukrepe.</w:t>
      </w:r>
    </w:p>
    <w:p w14:paraId="5A63D384" w14:textId="77777777" w:rsidR="00695AE2" w:rsidRPr="00CB5050" w:rsidRDefault="00695AE2" w:rsidP="00695AE2">
      <w:pPr>
        <w:autoSpaceDE w:val="0"/>
        <w:autoSpaceDN w:val="0"/>
        <w:adjustRightInd w:val="0"/>
        <w:spacing w:line="240" w:lineRule="auto"/>
        <w:jc w:val="both"/>
        <w:rPr>
          <w:rFonts w:eastAsia="Aptos"/>
          <w:i/>
          <w:color w:val="000000"/>
          <w:szCs w:val="22"/>
        </w:rPr>
      </w:pPr>
    </w:p>
    <w:p w14:paraId="42B65BAD" w14:textId="77777777" w:rsidR="00695AE2" w:rsidRPr="00CB5050" w:rsidRDefault="00695AE2" w:rsidP="006D16C0">
      <w:pPr>
        <w:numPr>
          <w:ilvl w:val="1"/>
          <w:numId w:val="146"/>
        </w:numPr>
        <w:autoSpaceDE w:val="0"/>
        <w:autoSpaceDN w:val="0"/>
        <w:adjustRightInd w:val="0"/>
        <w:spacing w:line="240" w:lineRule="auto"/>
        <w:ind w:left="709"/>
        <w:contextualSpacing/>
        <w:jc w:val="both"/>
        <w:rPr>
          <w:rFonts w:eastAsia="Aptos"/>
          <w:i/>
          <w:color w:val="000000"/>
          <w:szCs w:val="22"/>
        </w:rPr>
      </w:pPr>
      <w:r w:rsidRPr="00CB5050">
        <w:rPr>
          <w:rFonts w:eastAsia="Aptos"/>
          <w:i/>
          <w:color w:val="000000"/>
          <w:szCs w:val="22"/>
        </w:rPr>
        <w:t>Ali pritožničini pritožbeni očitki sodijo v okvir njene pravice do spoštovanja zasebnega življenja v smislu 8. člena konvencije? Če je tako, ali je prišlo do kršitve 8. člena konvencije zaradi domnevno neustrezne preiskave smrti A. B.?</w:t>
      </w:r>
    </w:p>
    <w:p w14:paraId="68E7C4D3" w14:textId="77777777" w:rsidR="00695AE2" w:rsidRPr="00CB5050" w:rsidRDefault="00695AE2" w:rsidP="00695AE2">
      <w:pPr>
        <w:autoSpaceDE w:val="0"/>
        <w:autoSpaceDN w:val="0"/>
        <w:adjustRightInd w:val="0"/>
        <w:spacing w:line="240" w:lineRule="auto"/>
        <w:ind w:right="425"/>
        <w:jc w:val="both"/>
        <w:rPr>
          <w:rFonts w:eastAsia="Aptos"/>
          <w:i/>
          <w:color w:val="000000"/>
          <w:szCs w:val="22"/>
        </w:rPr>
      </w:pPr>
    </w:p>
    <w:p w14:paraId="1E76CFB6" w14:textId="77777777" w:rsidR="00695AE2" w:rsidRPr="00CB5050" w:rsidRDefault="00695AE2" w:rsidP="00695AE2">
      <w:pPr>
        <w:pStyle w:val="Naslov4"/>
        <w:rPr>
          <w:szCs w:val="22"/>
        </w:rPr>
      </w:pPr>
      <w:bookmarkStart w:id="1186" w:name="_Toc223094137"/>
      <w:r w:rsidRPr="00CB5050">
        <w:rPr>
          <w:i/>
          <w:iCs/>
        </w:rPr>
        <w:t>Eržen</w:t>
      </w:r>
      <w:r w:rsidRPr="00CB5050">
        <w:t xml:space="preserve"> </w:t>
      </w:r>
      <w:r w:rsidRPr="00CB5050">
        <w:rPr>
          <w:i/>
          <w:iCs/>
        </w:rPr>
        <w:t>proti Sloveniji</w:t>
      </w:r>
      <w:r w:rsidRPr="00CB5050">
        <w:t>, št. 13205/25</w:t>
      </w:r>
      <w:bookmarkEnd w:id="1186"/>
    </w:p>
    <w:p w14:paraId="4F0B32A9" w14:textId="77777777" w:rsidR="00695AE2" w:rsidRPr="00CB5050" w:rsidRDefault="00695AE2" w:rsidP="00695AE2">
      <w:pPr>
        <w:suppressAutoHyphens/>
        <w:spacing w:line="240" w:lineRule="auto"/>
        <w:jc w:val="both"/>
        <w:rPr>
          <w:rFonts w:eastAsia="Times New Roman"/>
          <w:bCs/>
          <w:szCs w:val="20"/>
          <w:lang w:eastAsia="sl-SI"/>
        </w:rPr>
      </w:pPr>
    </w:p>
    <w:p w14:paraId="7BA36A69"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Pritožnik zatrjuje kršitev pravice do mirnega uživanja premoženja iz 1. člena Protokola št. 1 h konvenciji ter kršitev pravice do zaslišanja na sodišču iz prvega odstavka 6. člena konvencije.</w:t>
      </w:r>
    </w:p>
    <w:p w14:paraId="4736495C" w14:textId="77777777" w:rsidR="00695AE2" w:rsidRPr="00CB5050" w:rsidRDefault="00695AE2" w:rsidP="00695AE2">
      <w:pPr>
        <w:suppressAutoHyphens/>
        <w:spacing w:line="240" w:lineRule="auto"/>
        <w:ind w:firstLine="340"/>
        <w:jc w:val="both"/>
        <w:rPr>
          <w:rFonts w:eastAsia="Times New Roman"/>
          <w:bCs/>
          <w:szCs w:val="20"/>
          <w:lang w:eastAsia="sl-SI"/>
        </w:rPr>
      </w:pPr>
    </w:p>
    <w:p w14:paraId="08A93B26"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Do kršitev zatrjevanih pravic naj bi prišlo s sprejetjem Odloka o občinskem prostorskem načrtu Občine Škofja Loka (Ur. l. RS, št. 2/2014), na podlagi katerega je bila predvidena izgradnja nove lokalne ceste po pritožnikovih parcelah. Odlok je predvideval sprejem Podrobnega prostorskega načrta Občine Škofja Loka v nedoločeni prihodnosti, ki bi natančno umestil traso nove ceste v prostor. Kljub temu, da ob sprejemu Odloka trasa lokalne ceste še ni bila natančno določena, pa je Odlok sočasno določil začasne omejitve t. i. varovanega koridorja z omejitvami gradnje na pritožnikovih parcelah.</w:t>
      </w:r>
    </w:p>
    <w:p w14:paraId="5F4EC36C" w14:textId="77777777" w:rsidR="00695AE2" w:rsidRPr="00CB5050" w:rsidRDefault="00695AE2" w:rsidP="00695AE2">
      <w:pPr>
        <w:suppressAutoHyphens/>
        <w:spacing w:line="240" w:lineRule="auto"/>
        <w:ind w:firstLine="340"/>
        <w:jc w:val="both"/>
        <w:rPr>
          <w:rFonts w:eastAsia="Times New Roman"/>
          <w:bCs/>
          <w:szCs w:val="20"/>
          <w:lang w:eastAsia="sl-SI"/>
        </w:rPr>
      </w:pPr>
    </w:p>
    <w:p w14:paraId="6BABDCED" w14:textId="77777777" w:rsidR="00695AE2" w:rsidRPr="00CB5050" w:rsidRDefault="00695AE2" w:rsidP="00695AE2">
      <w:pPr>
        <w:suppressAutoHyphens/>
        <w:spacing w:line="240" w:lineRule="auto"/>
        <w:jc w:val="both"/>
        <w:rPr>
          <w:rFonts w:eastAsia="Times New Roman"/>
          <w:bCs/>
          <w:szCs w:val="20"/>
          <w:lang w:eastAsia="sl-SI"/>
        </w:rPr>
      </w:pPr>
      <w:r w:rsidRPr="00CB5050">
        <w:rPr>
          <w:rFonts w:eastAsia="Times New Roman"/>
          <w:bCs/>
          <w:szCs w:val="20"/>
          <w:lang w:eastAsia="sl-SI"/>
        </w:rPr>
        <w:t xml:space="preserve">Občina Škofja Loka naj bi obdobje »začasnih omejitev« leta 2018 podaljšala za nedoločen čas. Pritožnik zatrjuje, da so omejitve gradnje na njegovih parcelah določene od leta 2014 dalje (pred tem pa tudi v času od 2008 do 2010), zaradi česar zadevnih nepremičnin ne more prodati, oziroma jih lahko uporablja z določenimi omejitvami, kar ima za posledico t. i. </w:t>
      </w:r>
      <w:r w:rsidRPr="00CB5050">
        <w:rPr>
          <w:rFonts w:eastAsia="Times New Roman"/>
          <w:bCs/>
          <w:i/>
          <w:iCs/>
          <w:szCs w:val="20"/>
          <w:lang w:eastAsia="sl-SI"/>
        </w:rPr>
        <w:t xml:space="preserve">de facto </w:t>
      </w:r>
      <w:r w:rsidRPr="00CB5050">
        <w:rPr>
          <w:rFonts w:eastAsia="Times New Roman"/>
          <w:bCs/>
          <w:szCs w:val="20"/>
          <w:lang w:eastAsia="sl-SI"/>
        </w:rPr>
        <w:t>razlastitev brez primerne kompenzacije.</w:t>
      </w:r>
    </w:p>
    <w:p w14:paraId="3B475002" w14:textId="77777777" w:rsidR="00695AE2" w:rsidRPr="00CB5050" w:rsidRDefault="00695AE2" w:rsidP="00695AE2">
      <w:pPr>
        <w:suppressAutoHyphens/>
        <w:spacing w:line="240" w:lineRule="auto"/>
        <w:ind w:firstLine="340"/>
        <w:jc w:val="both"/>
        <w:rPr>
          <w:rFonts w:eastAsia="Times New Roman"/>
          <w:bCs/>
          <w:szCs w:val="20"/>
          <w:lang w:eastAsia="sl-SI"/>
        </w:rPr>
      </w:pPr>
    </w:p>
    <w:p w14:paraId="39D52362" w14:textId="77777777" w:rsidR="00695AE2" w:rsidRPr="00CB5050" w:rsidRDefault="00695AE2" w:rsidP="00695AE2">
      <w:pPr>
        <w:suppressAutoHyphens/>
        <w:spacing w:line="240" w:lineRule="auto"/>
        <w:jc w:val="both"/>
        <w:rPr>
          <w:rFonts w:eastAsia="Times New Roman"/>
          <w:bCs/>
          <w:lang w:eastAsia="sl-SI"/>
        </w:rPr>
      </w:pPr>
      <w:r w:rsidRPr="00CB5050">
        <w:rPr>
          <w:rFonts w:eastAsia="Times New Roman"/>
          <w:bCs/>
          <w:lang w:eastAsia="sl-SI"/>
        </w:rPr>
        <w:t>ESČP je vladi zastavilo naslednja vprašanja:</w:t>
      </w:r>
    </w:p>
    <w:p w14:paraId="40BB4B75" w14:textId="77777777" w:rsidR="00695AE2" w:rsidRPr="00CB5050" w:rsidRDefault="00695AE2" w:rsidP="00695AE2">
      <w:pPr>
        <w:suppressAutoHyphens/>
        <w:spacing w:line="240" w:lineRule="auto"/>
        <w:jc w:val="both"/>
        <w:rPr>
          <w:rFonts w:eastAsia="Times New Roman"/>
          <w:bCs/>
          <w:lang w:eastAsia="sl-SI"/>
        </w:rPr>
      </w:pPr>
    </w:p>
    <w:p w14:paraId="6C4A8DB6" w14:textId="77777777" w:rsidR="00695AE2" w:rsidRPr="00CB5050" w:rsidRDefault="00695AE2" w:rsidP="006D16C0">
      <w:pPr>
        <w:numPr>
          <w:ilvl w:val="2"/>
          <w:numId w:val="146"/>
        </w:numPr>
        <w:suppressAutoHyphens/>
        <w:spacing w:line="240" w:lineRule="auto"/>
        <w:ind w:left="709"/>
        <w:jc w:val="both"/>
        <w:rPr>
          <w:rFonts w:eastAsia="Times New Roman"/>
          <w:bCs/>
          <w:i/>
          <w:iCs/>
          <w:lang w:eastAsia="sl-SI"/>
        </w:rPr>
      </w:pPr>
      <w:r w:rsidRPr="00CB5050">
        <w:rPr>
          <w:rFonts w:eastAsia="Times New Roman"/>
          <w:bCs/>
          <w:i/>
          <w:iCs/>
          <w:lang w:eastAsia="sl-SI"/>
        </w:rPr>
        <w:t xml:space="preserve">Ali je prišlo do posega v pravico pritožnika, zagotovljeno s 1. členom Protokola št. 1 h konvenciji? Če je do posega prišlo, ali je ta poseg pritožniku naložil nesorazmerno individualno breme (glej </w:t>
      </w:r>
      <w:r w:rsidRPr="00CB5050">
        <w:rPr>
          <w:rFonts w:eastAsia="Times New Roman"/>
          <w:bCs/>
          <w:lang w:eastAsia="sl-SI"/>
        </w:rPr>
        <w:t>Hüseyin Kaplan proti Turčiji</w:t>
      </w:r>
      <w:r w:rsidRPr="00CB5050">
        <w:rPr>
          <w:rFonts w:eastAsia="Times New Roman"/>
          <w:bCs/>
          <w:i/>
          <w:iCs/>
          <w:lang w:eastAsia="sl-SI"/>
        </w:rPr>
        <w:t xml:space="preserve">, št. 24508/09, § 47, 1. oktober 2013, in </w:t>
      </w:r>
      <w:r w:rsidRPr="00CB5050">
        <w:rPr>
          <w:rFonts w:eastAsia="Times New Roman"/>
          <w:bCs/>
          <w:lang w:eastAsia="sl-SI"/>
        </w:rPr>
        <w:t>Rosiński proti Poljski</w:t>
      </w:r>
      <w:r w:rsidRPr="00CB5050">
        <w:rPr>
          <w:rFonts w:eastAsia="Times New Roman"/>
          <w:bCs/>
          <w:i/>
          <w:iCs/>
          <w:lang w:eastAsia="sl-SI"/>
        </w:rPr>
        <w:t>, št. 17373/02, § 77, 17. julij 2007)?</w:t>
      </w:r>
    </w:p>
    <w:p w14:paraId="032B6087" w14:textId="77777777" w:rsidR="00695AE2" w:rsidRPr="00CB5050" w:rsidRDefault="00695AE2" w:rsidP="00695AE2">
      <w:pPr>
        <w:suppressAutoHyphens/>
        <w:spacing w:line="240" w:lineRule="auto"/>
        <w:ind w:left="709"/>
        <w:jc w:val="both"/>
        <w:rPr>
          <w:rFonts w:eastAsia="Times New Roman"/>
          <w:bCs/>
          <w:i/>
          <w:iCs/>
          <w:lang w:eastAsia="sl-SI"/>
        </w:rPr>
      </w:pPr>
    </w:p>
    <w:p w14:paraId="3222D39D" w14:textId="77777777" w:rsidR="00695AE2" w:rsidRPr="00CB5050" w:rsidRDefault="00695AE2" w:rsidP="006D16C0">
      <w:pPr>
        <w:numPr>
          <w:ilvl w:val="2"/>
          <w:numId w:val="146"/>
        </w:numPr>
        <w:suppressAutoHyphens/>
        <w:spacing w:line="240" w:lineRule="auto"/>
        <w:ind w:left="709"/>
        <w:jc w:val="both"/>
        <w:rPr>
          <w:rFonts w:eastAsia="Times New Roman"/>
          <w:bCs/>
          <w:i/>
          <w:iCs/>
          <w:lang w:eastAsia="sl-SI"/>
        </w:rPr>
      </w:pPr>
      <w:r w:rsidRPr="00CB5050">
        <w:rPr>
          <w:rFonts w:eastAsia="Times New Roman"/>
          <w:bCs/>
          <w:i/>
          <w:iCs/>
          <w:lang w:eastAsia="sl-SI"/>
        </w:rPr>
        <w:t xml:space="preserve">Ali je imel pritožnik razumno možnost, da svoj primer predloži pristojnim organom z namenom učinkovitega izpodbijanja ukrepov, ki so posegli v njegovo pravico, zagotovljeno s 1. členom Protokola št. 1 h konvenciji (glej mutatis mutandis, </w:t>
      </w:r>
      <w:r w:rsidRPr="00CB5050">
        <w:rPr>
          <w:rFonts w:eastAsia="Times New Roman"/>
          <w:bCs/>
          <w:lang w:eastAsia="sl-SI"/>
        </w:rPr>
        <w:t>G.I.E.M. S.r.l. in drugi proti Italiji [VS]</w:t>
      </w:r>
      <w:r w:rsidRPr="00CB5050">
        <w:rPr>
          <w:rFonts w:eastAsia="Times New Roman"/>
          <w:bCs/>
          <w:i/>
          <w:iCs/>
          <w:lang w:eastAsia="sl-SI"/>
        </w:rPr>
        <w:t>, št. 1828/06 in 2 drugi, § 302, 28. junij 2018, z nadaljnjimi sklici)?</w:t>
      </w:r>
    </w:p>
    <w:p w14:paraId="7D1D0D31" w14:textId="77777777" w:rsidR="00695AE2" w:rsidRPr="00CB5050" w:rsidRDefault="00695AE2" w:rsidP="00695AE2">
      <w:pPr>
        <w:spacing w:line="240" w:lineRule="auto"/>
        <w:ind w:left="709"/>
        <w:contextualSpacing/>
        <w:rPr>
          <w:rFonts w:eastAsia="Aptos"/>
          <w:bCs/>
          <w:i/>
          <w:iCs/>
        </w:rPr>
      </w:pPr>
    </w:p>
    <w:p w14:paraId="5E901BDE" w14:textId="77777777" w:rsidR="00695AE2" w:rsidRPr="00CB5050" w:rsidRDefault="00695AE2" w:rsidP="006D16C0">
      <w:pPr>
        <w:numPr>
          <w:ilvl w:val="2"/>
          <w:numId w:val="146"/>
        </w:numPr>
        <w:suppressAutoHyphens/>
        <w:spacing w:line="240" w:lineRule="auto"/>
        <w:ind w:left="709"/>
        <w:jc w:val="both"/>
        <w:rPr>
          <w:rFonts w:eastAsia="Times New Roman"/>
          <w:bCs/>
          <w:i/>
          <w:iCs/>
          <w:lang w:eastAsia="sl-SI"/>
        </w:rPr>
      </w:pPr>
      <w:r w:rsidRPr="00CB5050">
        <w:rPr>
          <w:rFonts w:eastAsia="Times New Roman"/>
          <w:bCs/>
          <w:i/>
          <w:iCs/>
          <w:lang w:eastAsia="sl-SI"/>
        </w:rPr>
        <w:t>Ali je odsotnost obravnave v obravnavani zadevi pomenila kršitev prvega odstavka 6. člena konvencije?</w:t>
      </w:r>
    </w:p>
    <w:p w14:paraId="5989F248" w14:textId="77777777" w:rsidR="00695AE2" w:rsidRPr="00CB5050" w:rsidRDefault="00695AE2" w:rsidP="00695AE2">
      <w:pPr>
        <w:suppressAutoHyphens/>
        <w:spacing w:line="240" w:lineRule="auto"/>
        <w:ind w:left="709"/>
        <w:jc w:val="both"/>
        <w:rPr>
          <w:rFonts w:eastAsia="Times New Roman"/>
          <w:bCs/>
          <w:lang w:eastAsia="sl-SI"/>
        </w:rPr>
      </w:pPr>
    </w:p>
    <w:p w14:paraId="1C209DCF" w14:textId="77777777" w:rsidR="00695AE2" w:rsidRPr="00CB5050" w:rsidRDefault="00695AE2" w:rsidP="00695AE2">
      <w:pPr>
        <w:pStyle w:val="Naslov4"/>
        <w:rPr>
          <w:szCs w:val="22"/>
        </w:rPr>
      </w:pPr>
      <w:bookmarkStart w:id="1187" w:name="_Toc223094138"/>
      <w:r w:rsidRPr="00CB5050">
        <w:rPr>
          <w:i/>
          <w:iCs/>
        </w:rPr>
        <w:t>Janša</w:t>
      </w:r>
      <w:r w:rsidRPr="00CB5050">
        <w:t xml:space="preserve"> </w:t>
      </w:r>
      <w:r w:rsidRPr="00CB5050">
        <w:rPr>
          <w:i/>
          <w:iCs/>
        </w:rPr>
        <w:t>proti Sloveniji</w:t>
      </w:r>
      <w:r w:rsidRPr="00CB5050">
        <w:t>, št. 21308/24</w:t>
      </w:r>
      <w:bookmarkEnd w:id="1187"/>
    </w:p>
    <w:p w14:paraId="2A52C606" w14:textId="77777777" w:rsidR="00695AE2" w:rsidRPr="00CB5050" w:rsidRDefault="00695AE2" w:rsidP="00695AE2">
      <w:pPr>
        <w:spacing w:line="240" w:lineRule="auto"/>
        <w:jc w:val="both"/>
        <w:rPr>
          <w:rFonts w:eastAsia="Aptos"/>
        </w:rPr>
      </w:pPr>
    </w:p>
    <w:p w14:paraId="44839405" w14:textId="77777777" w:rsidR="00695AE2" w:rsidRPr="00CB5050" w:rsidRDefault="00695AE2" w:rsidP="00695AE2">
      <w:pPr>
        <w:spacing w:line="240" w:lineRule="auto"/>
        <w:jc w:val="both"/>
        <w:rPr>
          <w:rFonts w:eastAsia="Aptos"/>
        </w:rPr>
      </w:pPr>
      <w:r w:rsidRPr="00CB5050">
        <w:rPr>
          <w:rFonts w:eastAsia="Aptos"/>
        </w:rPr>
        <w:t>Pritožba se nanaša na postopek zaradi obrekovanja zoper pritožnika, ki je ugledni slovenski politik, predsednik Slovenske demokratske stranke (SDS) in član opozicije.</w:t>
      </w:r>
    </w:p>
    <w:p w14:paraId="06D2545E" w14:textId="77777777" w:rsidR="00695AE2" w:rsidRPr="00CB5050" w:rsidRDefault="00695AE2" w:rsidP="00695AE2">
      <w:pPr>
        <w:spacing w:line="240" w:lineRule="auto"/>
        <w:jc w:val="both"/>
        <w:rPr>
          <w:rFonts w:eastAsia="Aptos"/>
        </w:rPr>
      </w:pPr>
    </w:p>
    <w:p w14:paraId="4DFB57BD" w14:textId="77777777" w:rsidR="00695AE2" w:rsidRPr="00CB5050" w:rsidRDefault="00695AE2" w:rsidP="00695AE2">
      <w:pPr>
        <w:spacing w:line="240" w:lineRule="auto"/>
        <w:jc w:val="both"/>
        <w:rPr>
          <w:rFonts w:eastAsia="Aptos"/>
        </w:rPr>
      </w:pPr>
      <w:r w:rsidRPr="00CB5050">
        <w:rPr>
          <w:rFonts w:eastAsia="Aptos"/>
        </w:rPr>
        <w:t xml:space="preserve">E. C., znana novinarka RTV Slovenija, in TV Koper je 21. marca 2016 v oddaji Dnevnik poročala, da so ugledne osebnosti SDS člani Facebook skupine “Legija smrti”, ki naj bi bila vpletena v spodbujanje sovraštva. V odgovor je pritožnik istega dne na spletnem družbenem omrežju Twitter (zdaj X) objavil naslednje: »Na neki FB strani javne hiše ponujajo poceni usluge odsluženih prostitutk [E. C.] in [M. P. Š.]. Ena za 30 €, drugo za 35 €. #ZvodnikMilan«. Ker je E. C. menila, da je objava žaljiva, je proti pritožniku sprožila postopek zaradi obrekovanja in zahtevala 6.000 evrov za nepremoženjsko škodo. Ker pritožnik ni odgovoril na tožbo, je Okrajno sodišče v Velenju izdalo zamudno sodbo, s katero je ugodilo zahtevku E. C. Pritožnik je vložil pritožbo zoper zamudno sodbo in med drugim trdil, da je bila kršena njegova pravica do svobode izražanja. Pri ocenjevanju konflikta med pravico E. C., da zaščiti svoj ugled, in pritožnikovo svobodo izražanja, so vse domače sodne instance, ki so presojale zadevo, sprejele, da je bila izpodbijana izjava politični odziv na poročilo E. C. v Dnevniku in da besede, uporabljene v objavi, niso bile mišljene dobesedno, temveč kot metafora. Menile so, da se izraz "prostitutka" ne nanaša na žensko, ki ponuja spolne storitve, temveč na novinarje, ki so bili pod političnim vplivom. Podobno je sklicevanje na "#ZvodnikMilan" namigovalo na nekdanjega predsednika Slovenije, za katerega je pritožnik trdil, da je v zakulisju vplival na medije. Čeprav so domača sodišča sprejela, da je pritožnik izpostavil pomembno javno zadevo v zvezi z nepristranskostjo medijev, so zaključila, da izpodbijana izjava ni imela zadostne dejanske podlage in je bila podana predvsem z namenom, da se E. C. diskreditira kot novinarko in žensko. Poleg tega je Ustavno sodišče še posebej poudarilo, da bi lahko dovoljevanje vplivnemu politiku, da na družbenih omrežjih daje seksistične izjave o novinarki, škodilo njenim osebnostnim pravicam in omejilo svobodo izražanja drugih družbeno angažiranih žensk. Sodba Vrhovnega sodišča je bila sprejeta s tremi glasovi proti dvema, sodba Ustavnega sodišča pa s petimi glasovi proti trem. </w:t>
      </w:r>
    </w:p>
    <w:p w14:paraId="3E61D357" w14:textId="77777777" w:rsidR="00695AE2" w:rsidRPr="00CB5050" w:rsidRDefault="00695AE2" w:rsidP="00695AE2">
      <w:pPr>
        <w:spacing w:line="240" w:lineRule="auto"/>
        <w:jc w:val="both"/>
        <w:rPr>
          <w:rFonts w:eastAsia="Aptos"/>
        </w:rPr>
      </w:pPr>
    </w:p>
    <w:p w14:paraId="49F576BD" w14:textId="77777777" w:rsidR="00695AE2" w:rsidRPr="00CB5050" w:rsidRDefault="00695AE2" w:rsidP="00695AE2">
      <w:pPr>
        <w:spacing w:line="240" w:lineRule="auto"/>
        <w:jc w:val="both"/>
        <w:rPr>
          <w:rFonts w:eastAsia="Aptos"/>
        </w:rPr>
      </w:pPr>
      <w:r w:rsidRPr="00CB5050">
        <w:rPr>
          <w:rFonts w:eastAsia="Aptos"/>
        </w:rPr>
        <w:t>Pritožnik s sklicevanjem na 10. člen konvencije slovenskim sodiščem očita, da so napačno presodila upoštevne vidike zadeve, vključno s političnim ozadjem njegove izjave, njegovim položajem člana opozicije in dejstvom, da se je njegova izjava nanašala na zadevo pomembnega javnega interesa, in sicer na nepristranskost medijev. Pritožnik nadalje trdi, da domača sodišča niso ustrezno upoštevala, da je bila izjava objavljena na Twitterju, platformi, ki je znana po spontani in ekspresivni izmenjavi kratkih mnenj. Poleg tega poudarja, da je E. C. javna osebnost in da je bil izraz "odslužena prostitutka" uporabljen metaforično za opis novinarke, ki je bila v svojem poročanju zaznana kot pristranska, katere strokovne storitve naj bi bile domnevno podvržene finančnemu vplivu.</w:t>
      </w:r>
    </w:p>
    <w:p w14:paraId="68D90B19" w14:textId="77777777" w:rsidR="00695AE2" w:rsidRPr="00CB5050" w:rsidRDefault="00695AE2" w:rsidP="00695AE2">
      <w:pPr>
        <w:spacing w:line="240" w:lineRule="auto"/>
        <w:jc w:val="both"/>
        <w:rPr>
          <w:rFonts w:eastAsia="Aptos"/>
        </w:rPr>
      </w:pPr>
    </w:p>
    <w:p w14:paraId="698BA123" w14:textId="77777777" w:rsidR="00695AE2" w:rsidRPr="00CB5050" w:rsidRDefault="00695AE2" w:rsidP="00695AE2">
      <w:pPr>
        <w:spacing w:line="240" w:lineRule="auto"/>
        <w:jc w:val="both"/>
        <w:rPr>
          <w:rFonts w:eastAsia="Aptos"/>
        </w:rPr>
      </w:pPr>
      <w:r w:rsidRPr="00CB5050">
        <w:rPr>
          <w:rFonts w:eastAsia="Aptos"/>
        </w:rPr>
        <w:t>Sodišče je zastavilo naslednje vprašanje:</w:t>
      </w:r>
    </w:p>
    <w:p w14:paraId="2CB19A80" w14:textId="77777777" w:rsidR="00695AE2" w:rsidRPr="00CB5050" w:rsidRDefault="00695AE2" w:rsidP="00695AE2">
      <w:pPr>
        <w:spacing w:line="240" w:lineRule="auto"/>
        <w:jc w:val="both"/>
        <w:rPr>
          <w:rFonts w:eastAsia="Aptos"/>
        </w:rPr>
      </w:pPr>
    </w:p>
    <w:p w14:paraId="3480F1B9" w14:textId="77777777" w:rsidR="00695AE2" w:rsidRPr="00CB5050" w:rsidRDefault="00695AE2" w:rsidP="00695AE2">
      <w:pPr>
        <w:spacing w:line="240" w:lineRule="auto"/>
        <w:jc w:val="both"/>
        <w:rPr>
          <w:rFonts w:eastAsia="Aptos"/>
          <w:i/>
          <w:iCs/>
        </w:rPr>
      </w:pPr>
      <w:r w:rsidRPr="00CB5050">
        <w:rPr>
          <w:rFonts w:eastAsia="Aptos"/>
          <w:i/>
          <w:iCs/>
        </w:rPr>
        <w:t xml:space="preserve">Ali je bila kršena pravica pritožnika do svobode izražanja, zlasti njegova pravica do širjenja informacij in idej, v nasprotju z 10. členom konvencije (glej na primer </w:t>
      </w:r>
      <w:r w:rsidRPr="00CB5050">
        <w:rPr>
          <w:rFonts w:eastAsia="Aptos"/>
        </w:rPr>
        <w:t>Sanchez proti Franciji [VS]</w:t>
      </w:r>
      <w:r w:rsidRPr="00CB5050">
        <w:rPr>
          <w:rFonts w:eastAsia="Aptos"/>
          <w:i/>
          <w:iCs/>
        </w:rPr>
        <w:t xml:space="preserve">, št. 45581/15, </w:t>
      </w:r>
      <w:r w:rsidRPr="00CB5050">
        <w:rPr>
          <w:rFonts w:eastAsia="Aptos"/>
          <w:i/>
          <w:color w:val="000000"/>
          <w:szCs w:val="22"/>
        </w:rPr>
        <w:t xml:space="preserve">§ </w:t>
      </w:r>
      <w:r w:rsidRPr="00CB5050">
        <w:rPr>
          <w:rFonts w:eastAsia="Aptos"/>
          <w:i/>
          <w:iCs/>
        </w:rPr>
        <w:t xml:space="preserve">147, 15. maj 2023; </w:t>
      </w:r>
      <w:r w:rsidRPr="00CB5050">
        <w:rPr>
          <w:rFonts w:eastAsia="Aptos"/>
        </w:rPr>
        <w:t>Selahattin Demirtaş proti Turčiji (št. 2) [VS]</w:t>
      </w:r>
      <w:r w:rsidRPr="00CB5050">
        <w:rPr>
          <w:rFonts w:eastAsia="Aptos"/>
          <w:i/>
          <w:iCs/>
        </w:rPr>
        <w:t xml:space="preserve">, št. 14305/17, </w:t>
      </w:r>
      <w:r w:rsidRPr="00CB5050">
        <w:rPr>
          <w:rFonts w:eastAsia="Aptos"/>
          <w:i/>
          <w:color w:val="000000"/>
          <w:szCs w:val="22"/>
        </w:rPr>
        <w:t xml:space="preserve">§§ </w:t>
      </w:r>
      <w:r w:rsidRPr="00CB5050">
        <w:rPr>
          <w:rFonts w:eastAsia="Aptos"/>
          <w:i/>
          <w:iCs/>
        </w:rPr>
        <w:t xml:space="preserve">242-245, 22. december 2020; </w:t>
      </w:r>
      <w:r w:rsidRPr="00CB5050">
        <w:rPr>
          <w:rFonts w:eastAsia="Aptos"/>
        </w:rPr>
        <w:t>Karácsony in drugi proti Madžarski [VS]</w:t>
      </w:r>
      <w:r w:rsidRPr="00CB5050">
        <w:rPr>
          <w:rFonts w:eastAsia="Aptos"/>
          <w:i/>
          <w:iCs/>
        </w:rPr>
        <w:t xml:space="preserve">, št. </w:t>
      </w:r>
      <w:r w:rsidRPr="00CB5050">
        <w:rPr>
          <w:rFonts w:eastAsia="Aptos"/>
          <w:i/>
          <w:iCs/>
        </w:rPr>
        <w:lastRenderedPageBreak/>
        <w:t xml:space="preserve">42461/13 in 44357/13, </w:t>
      </w:r>
      <w:r w:rsidRPr="00CB5050">
        <w:rPr>
          <w:rFonts w:eastAsia="Aptos"/>
          <w:i/>
          <w:color w:val="000000"/>
          <w:szCs w:val="22"/>
        </w:rPr>
        <w:t>§ 1</w:t>
      </w:r>
      <w:r w:rsidRPr="00CB5050">
        <w:rPr>
          <w:rFonts w:eastAsia="Aptos"/>
          <w:i/>
          <w:iCs/>
        </w:rPr>
        <w:t xml:space="preserve">37, 17. maj 2016; </w:t>
      </w:r>
      <w:r w:rsidRPr="00CB5050">
        <w:rPr>
          <w:rFonts w:eastAsia="Aptos"/>
        </w:rPr>
        <w:t>Gaspari proti Armeniji (št. 2)</w:t>
      </w:r>
      <w:r w:rsidRPr="00CB5050">
        <w:rPr>
          <w:rFonts w:eastAsia="Aptos"/>
          <w:i/>
          <w:iCs/>
        </w:rPr>
        <w:t xml:space="preserve">, št. 67783/13, </w:t>
      </w:r>
      <w:r w:rsidRPr="00CB5050">
        <w:rPr>
          <w:rFonts w:eastAsia="Aptos"/>
          <w:i/>
          <w:color w:val="000000"/>
          <w:szCs w:val="22"/>
        </w:rPr>
        <w:t xml:space="preserve">§ </w:t>
      </w:r>
      <w:r w:rsidRPr="00CB5050">
        <w:rPr>
          <w:rFonts w:eastAsia="Aptos"/>
          <w:i/>
          <w:iCs/>
        </w:rPr>
        <w:t xml:space="preserve">27, 11. julij 2023, in </w:t>
      </w:r>
      <w:r w:rsidRPr="00CB5050">
        <w:rPr>
          <w:rFonts w:eastAsia="Aptos"/>
        </w:rPr>
        <w:t>Makraduli proti Nekdanji jugoslovanski republiki Makedoniji</w:t>
      </w:r>
      <w:r w:rsidRPr="00CB5050">
        <w:rPr>
          <w:rFonts w:eastAsia="Aptos"/>
          <w:i/>
          <w:iCs/>
        </w:rPr>
        <w:t xml:space="preserve">, št. 64659/11 in 24133/13, </w:t>
      </w:r>
      <w:r w:rsidRPr="00CB5050">
        <w:rPr>
          <w:rFonts w:eastAsia="Aptos"/>
          <w:i/>
          <w:color w:val="000000"/>
          <w:szCs w:val="22"/>
        </w:rPr>
        <w:t xml:space="preserve">§§ </w:t>
      </w:r>
      <w:r w:rsidRPr="00CB5050">
        <w:rPr>
          <w:rFonts w:eastAsia="Aptos"/>
          <w:i/>
          <w:iCs/>
        </w:rPr>
        <w:t>61 in 66, 19. julij 2018)?</w:t>
      </w:r>
    </w:p>
    <w:p w14:paraId="51C61C26" w14:textId="77777777" w:rsidR="00695AE2" w:rsidRPr="00CB5050" w:rsidRDefault="00695AE2" w:rsidP="00695AE2">
      <w:pPr>
        <w:spacing w:line="240" w:lineRule="auto"/>
        <w:jc w:val="both"/>
        <w:rPr>
          <w:rFonts w:eastAsia="Aptos"/>
          <w:i/>
          <w:iCs/>
          <w:sz w:val="28"/>
          <w:szCs w:val="28"/>
        </w:rPr>
      </w:pPr>
    </w:p>
    <w:p w14:paraId="3832C4C2" w14:textId="77777777" w:rsidR="00695AE2" w:rsidRPr="00CB5050" w:rsidRDefault="00695AE2" w:rsidP="00695AE2">
      <w:pPr>
        <w:pStyle w:val="Naslov4"/>
        <w:rPr>
          <w:szCs w:val="22"/>
        </w:rPr>
      </w:pPr>
      <w:bookmarkStart w:id="1188" w:name="_Toc223094139"/>
      <w:r w:rsidRPr="00CB5050">
        <w:rPr>
          <w:i/>
          <w:iCs/>
        </w:rPr>
        <w:t>S. T. proti Sloveniji</w:t>
      </w:r>
      <w:r w:rsidRPr="00CB5050">
        <w:t>, št. 30205/25</w:t>
      </w:r>
      <w:bookmarkEnd w:id="1188"/>
    </w:p>
    <w:p w14:paraId="0EB30FFC" w14:textId="77777777" w:rsidR="00695AE2" w:rsidRPr="00CB5050" w:rsidRDefault="00695AE2" w:rsidP="00695AE2">
      <w:pPr>
        <w:spacing w:line="240" w:lineRule="auto"/>
        <w:jc w:val="both"/>
        <w:rPr>
          <w:rFonts w:eastAsia="Aptos"/>
          <w:i/>
          <w:iCs/>
          <w:sz w:val="28"/>
          <w:szCs w:val="28"/>
        </w:rPr>
      </w:pPr>
    </w:p>
    <w:p w14:paraId="0678F14B"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Pritožnik Sloveniji očita kršitev pravice dostopa do sodišča iz prvega odstavka 6. člena in pravice do spoštovanja zasebnega in družinskega življenja iz 8. člena konvencije.</w:t>
      </w:r>
    </w:p>
    <w:p w14:paraId="68CD8D4E" w14:textId="77777777" w:rsidR="00695AE2" w:rsidRPr="00CB5050" w:rsidRDefault="00695AE2" w:rsidP="00695AE2">
      <w:pPr>
        <w:spacing w:line="240" w:lineRule="auto"/>
        <w:jc w:val="both"/>
        <w:rPr>
          <w:rFonts w:eastAsia="Times New Roman"/>
          <w:lang w:eastAsia="sl-SI"/>
        </w:rPr>
      </w:pPr>
    </w:p>
    <w:p w14:paraId="30B2D8FB"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Ob rojstvu deklice X je bil pritožnik S. T. ob svojem soglasju in soglasju otrokove matere vpisan v matični register kot oče otroka. Čez 4 leta je X proti staršema vložila tožbo na izpodbijanje očetovstva. V sodnem postopku sta X in njena mati zavrnili zahtevo pritožnika za DNK testiranje. Ker zakon takrat ni dovoljeval obveznega testiranja, od X niso pridobili nobenih genetskih dokazov. Kasneje je X poskusila umakniti tožbo, čemur pa je pritožnik nasprotoval, zato se je postopek nadaljeval. V nadaljevanju je pritožnik pripoznal zahtevek, vendar je okrožno sodišče leta 2023 zavrnilo tožbo X. Menilo je, da ni v njeno največjo korist, da pritožnik preneha biti obravnavan kot njen oče, upoštevaje dejstvo, da ni bilo z gotovostjo ugotovljeno, da ni njen biološki oče. Pritožnik je s pritožbo izpodbijal sodbo sodišča prve stopnje, vendar je sodišče druge stopnje njegovo pritožbo zavrnilo ob stališču, da je v danih okoliščinah interes X za ohranitev obstoječe družinske situacije prevladal nad pravico pritožnika, da se ugotovi obstoj biološke očetovske povezave. Pritožnik je vložil ustavno pritožbo zaradi kršitve pravice do sodnega varstva, kršitve njegovih osebnostnih pravic in pravice do zaščite družinskega življenja. Prav tako je vložil pobudo za presojo ustavnosti relevantnih določb Zakona o pravdnem postopku, ki v času vložitve tožbe niso dovoljevale uporabe prisilnih ukrepov za zagotovitev izvedbe DNK testiranja. Ustavno sodišče je zavrglo pritožnikova pravna sredstva ob ugotovitvi, da pritožnik nima pravnega interesa.</w:t>
      </w:r>
    </w:p>
    <w:p w14:paraId="583AE162" w14:textId="77777777" w:rsidR="00695AE2" w:rsidRPr="00CB5050" w:rsidRDefault="00695AE2" w:rsidP="00695AE2">
      <w:pPr>
        <w:spacing w:line="240" w:lineRule="auto"/>
        <w:jc w:val="both"/>
        <w:rPr>
          <w:rFonts w:eastAsia="Times New Roman"/>
          <w:lang w:eastAsia="sl-SI"/>
        </w:rPr>
      </w:pPr>
    </w:p>
    <w:p w14:paraId="65E56263"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ESČP je stranki pozvalo, da razmislita o možnosti mirne rešitve spora s prijateljsko poravnavo. Če ta ne bo sklenjena, je stranki pozvalo, da v nadaljevanju odgovorita na naslednja vprašanja:</w:t>
      </w:r>
    </w:p>
    <w:p w14:paraId="2BFC5E7C" w14:textId="77777777" w:rsidR="00695AE2" w:rsidRPr="00CB5050" w:rsidRDefault="00695AE2" w:rsidP="00695AE2">
      <w:pPr>
        <w:spacing w:line="240" w:lineRule="auto"/>
        <w:ind w:left="709"/>
        <w:contextualSpacing/>
        <w:jc w:val="both"/>
        <w:rPr>
          <w:rFonts w:eastAsia="Times New Roman"/>
          <w:i/>
          <w:iCs/>
          <w:lang w:eastAsia="sl-SI"/>
        </w:rPr>
      </w:pPr>
    </w:p>
    <w:p w14:paraId="0BC191D1" w14:textId="77777777" w:rsidR="00695AE2" w:rsidRPr="00CB5050" w:rsidRDefault="00695AE2" w:rsidP="006D16C0">
      <w:pPr>
        <w:numPr>
          <w:ilvl w:val="2"/>
          <w:numId w:val="148"/>
        </w:numPr>
        <w:spacing w:line="240" w:lineRule="auto"/>
        <w:ind w:left="709"/>
        <w:contextualSpacing/>
        <w:jc w:val="both"/>
        <w:rPr>
          <w:rFonts w:eastAsia="Times New Roman"/>
          <w:i/>
          <w:iCs/>
          <w:lang w:eastAsia="sl-SI"/>
        </w:rPr>
      </w:pPr>
      <w:r w:rsidRPr="00CB5050">
        <w:rPr>
          <w:rFonts w:eastAsia="Times New Roman"/>
          <w:i/>
          <w:iCs/>
          <w:lang w:eastAsia="sl-SI"/>
        </w:rPr>
        <w:t>Ali je pritožnik izčrpal vsa učinkovita domača pravna sredstva, kot to zahteva prvi odstavek 35. člen konvencije?</w:t>
      </w:r>
    </w:p>
    <w:p w14:paraId="1C03BF71" w14:textId="77777777" w:rsidR="00695AE2" w:rsidRPr="00CB5050" w:rsidRDefault="00695AE2" w:rsidP="00695AE2">
      <w:pPr>
        <w:spacing w:line="240" w:lineRule="auto"/>
        <w:ind w:left="709"/>
        <w:contextualSpacing/>
        <w:jc w:val="both"/>
        <w:rPr>
          <w:rFonts w:eastAsia="Times New Roman"/>
          <w:i/>
          <w:iCs/>
          <w:lang w:eastAsia="sl-SI"/>
        </w:rPr>
      </w:pPr>
    </w:p>
    <w:p w14:paraId="56D41496" w14:textId="77777777" w:rsidR="00695AE2" w:rsidRPr="00CB5050" w:rsidRDefault="00695AE2" w:rsidP="006D16C0">
      <w:pPr>
        <w:numPr>
          <w:ilvl w:val="2"/>
          <w:numId w:val="148"/>
        </w:numPr>
        <w:spacing w:line="240" w:lineRule="auto"/>
        <w:ind w:left="709"/>
        <w:contextualSpacing/>
        <w:jc w:val="both"/>
        <w:rPr>
          <w:rFonts w:eastAsia="Times New Roman"/>
          <w:i/>
          <w:iCs/>
          <w:lang w:eastAsia="sl-SI"/>
        </w:rPr>
      </w:pPr>
      <w:r w:rsidRPr="00CB5050">
        <w:rPr>
          <w:rFonts w:eastAsia="Times New Roman"/>
          <w:i/>
          <w:iCs/>
          <w:lang w:eastAsia="sl-SI"/>
        </w:rPr>
        <w:t>Ali je bil pritožnikov dostop do Ustavnega sodišča neupravičeno omejen, kar bi pomenilo kršitev njegove pravice dostopa do sodišča zaradi odločitve o njegovih civilnih pravicah in obveznostih po prvem odstavku 6. člena konvencije?</w:t>
      </w:r>
    </w:p>
    <w:p w14:paraId="2126A3B9" w14:textId="77777777" w:rsidR="00695AE2" w:rsidRPr="00CB5050" w:rsidRDefault="00695AE2" w:rsidP="00695AE2">
      <w:pPr>
        <w:spacing w:line="240" w:lineRule="auto"/>
        <w:ind w:left="709"/>
        <w:contextualSpacing/>
        <w:rPr>
          <w:rFonts w:eastAsia="Times New Roman"/>
          <w:i/>
          <w:iCs/>
          <w:lang w:eastAsia="sl-SI"/>
        </w:rPr>
      </w:pPr>
    </w:p>
    <w:p w14:paraId="6263B2E4" w14:textId="77777777" w:rsidR="00695AE2" w:rsidRPr="00CB5050" w:rsidRDefault="00695AE2" w:rsidP="006D16C0">
      <w:pPr>
        <w:numPr>
          <w:ilvl w:val="2"/>
          <w:numId w:val="148"/>
        </w:numPr>
        <w:spacing w:line="240" w:lineRule="auto"/>
        <w:ind w:left="709"/>
        <w:contextualSpacing/>
        <w:jc w:val="both"/>
        <w:rPr>
          <w:rFonts w:eastAsia="Times New Roman"/>
          <w:i/>
          <w:iCs/>
          <w:lang w:eastAsia="sl-SI"/>
        </w:rPr>
      </w:pPr>
      <w:r w:rsidRPr="00CB5050">
        <w:rPr>
          <w:rFonts w:eastAsia="Times New Roman"/>
          <w:i/>
          <w:iCs/>
          <w:lang w:eastAsia="sl-SI"/>
        </w:rPr>
        <w:t xml:space="preserve">Ali je bila kršena pritožnikova pravica do spoštovanja njegovega zasebnega in družinskega življenja po 8. členu konvencije? Zlasti, upoštevaje pozitivne obveznosti države po 8. členu konvencije in dejstvo, da pritožnik v postopku, ki ga je začela X, ni mogel ugotoviti ali ovreči biološkega očetovstva z DNK testiranjem, ali so domača sodišča vzpostavila pravično ravnovesje med konkurirajočimi si interesi in ali so bile v postopku zagotovljene zadovoljive procesne varovalke za zaščito pritožnikovih interesov (glej zadevi </w:t>
      </w:r>
      <w:r w:rsidRPr="00CB5050">
        <w:rPr>
          <w:rFonts w:eastAsia="Times New Roman"/>
          <w:lang w:eastAsia="sl-SI"/>
        </w:rPr>
        <w:t>Mikulić proti Hrvaški</w:t>
      </w:r>
      <w:r w:rsidRPr="00CB5050">
        <w:rPr>
          <w:rFonts w:eastAsia="Times New Roman"/>
          <w:i/>
          <w:iCs/>
          <w:lang w:eastAsia="sl-SI"/>
        </w:rPr>
        <w:t xml:space="preserve">, št. 53176/99, §§ 53 in 59, in </w:t>
      </w:r>
      <w:r w:rsidRPr="00CB5050">
        <w:rPr>
          <w:rFonts w:eastAsia="Times New Roman"/>
          <w:lang w:eastAsia="sl-SI"/>
        </w:rPr>
        <w:t>Koychev proti Bolgariji</w:t>
      </w:r>
      <w:r w:rsidRPr="00CB5050">
        <w:rPr>
          <w:rFonts w:eastAsia="Times New Roman"/>
          <w:i/>
          <w:iCs/>
          <w:lang w:eastAsia="sl-SI"/>
        </w:rPr>
        <w:t>, št. 32495/15, §§ 55-58, in, mutatis mutandis, §§ 60-68)?</w:t>
      </w:r>
    </w:p>
    <w:p w14:paraId="25D2C7FF" w14:textId="77777777" w:rsidR="00695AE2" w:rsidRPr="00CB5050" w:rsidRDefault="00695AE2" w:rsidP="00695AE2">
      <w:pPr>
        <w:spacing w:line="240" w:lineRule="auto"/>
        <w:ind w:left="720"/>
        <w:contextualSpacing/>
        <w:rPr>
          <w:rFonts w:eastAsia="Times New Roman"/>
          <w:i/>
          <w:iCs/>
          <w:lang w:eastAsia="sl-SI"/>
        </w:rPr>
      </w:pPr>
    </w:p>
    <w:p w14:paraId="224F3C15" w14:textId="77777777" w:rsidR="00695AE2" w:rsidRPr="00CB5050" w:rsidRDefault="00695AE2" w:rsidP="00695AE2">
      <w:pPr>
        <w:pStyle w:val="Naslov4"/>
        <w:rPr>
          <w:szCs w:val="22"/>
        </w:rPr>
      </w:pPr>
      <w:bookmarkStart w:id="1189" w:name="_Toc223094140"/>
      <w:r w:rsidRPr="00256503">
        <w:rPr>
          <w:i/>
          <w:iCs/>
        </w:rPr>
        <w:lastRenderedPageBreak/>
        <w:t>Regvar proti Sloveniji</w:t>
      </w:r>
      <w:r w:rsidRPr="00CB5050">
        <w:t>, št. 36538/25</w:t>
      </w:r>
      <w:bookmarkEnd w:id="1189"/>
    </w:p>
    <w:p w14:paraId="54C0BF2E" w14:textId="77777777" w:rsidR="00695AE2" w:rsidRPr="00CB5050" w:rsidRDefault="00695AE2" w:rsidP="00695AE2">
      <w:pPr>
        <w:spacing w:line="240" w:lineRule="auto"/>
        <w:jc w:val="both"/>
        <w:rPr>
          <w:rFonts w:eastAsia="Aptos"/>
          <w:i/>
          <w:iCs/>
        </w:rPr>
      </w:pPr>
    </w:p>
    <w:p w14:paraId="0173217B" w14:textId="77777777" w:rsidR="00695AE2" w:rsidRPr="00CB5050" w:rsidRDefault="00695AE2" w:rsidP="00695AE2">
      <w:pPr>
        <w:spacing w:line="240" w:lineRule="auto"/>
        <w:jc w:val="both"/>
        <w:rPr>
          <w:rFonts w:eastAsia="Aptos"/>
        </w:rPr>
      </w:pPr>
      <w:r w:rsidRPr="00CB5050">
        <w:rPr>
          <w:rFonts w:eastAsia="Aptos"/>
        </w:rPr>
        <w:t>Pritožnica je pravnica in svetovalka za begunce, ki v tej vlogi deluje od leta 2017. Svetovalci za begunce nudijo pravno pomoč prosilcem za mednarodno zaščito v postopkih pred Upravnim in Vrhovnim sodiščem RS. So pravniki, ki so opravili pravniški državni izpit, med njimi tudi nekateri odvetniki, in so imenovani za obdobje petih let, ki se lahko podaljša. Nagrade za opravljeno delo svetovalcev za begunce plačuje Ministrstvo za pravosodje, ki lahko od prosilcev za azil z zadostnimi sredstvi za preživljanje zahteva povračilo stroškov.</w:t>
      </w:r>
    </w:p>
    <w:p w14:paraId="38D81006" w14:textId="77777777" w:rsidR="00695AE2" w:rsidRPr="00CB5050" w:rsidRDefault="00695AE2" w:rsidP="00695AE2">
      <w:pPr>
        <w:spacing w:line="240" w:lineRule="auto"/>
        <w:jc w:val="both"/>
        <w:rPr>
          <w:rFonts w:eastAsia="Aptos"/>
        </w:rPr>
      </w:pPr>
    </w:p>
    <w:p w14:paraId="53EB93B1" w14:textId="77777777" w:rsidR="00695AE2" w:rsidRPr="00CB5050" w:rsidRDefault="00695AE2" w:rsidP="00695AE2">
      <w:pPr>
        <w:spacing w:line="240" w:lineRule="auto"/>
        <w:jc w:val="both"/>
        <w:rPr>
          <w:rFonts w:eastAsia="Aptos"/>
        </w:rPr>
      </w:pPr>
      <w:r w:rsidRPr="00CB5050">
        <w:rPr>
          <w:rFonts w:eastAsia="Aptos"/>
        </w:rPr>
        <w:t>Pritožnica je zastopala več kot 81 prosilcev za mednarodno zaščito v postopkih pred Upravnim in Vrhovnim sodiščem proti odločbam, ki jih je izdalo Ministrstvo za notranje zadeve. Trenutno pred nacionalnimi sodišči zastopa štiri prosilce za mednarodno zaščito.</w:t>
      </w:r>
    </w:p>
    <w:p w14:paraId="0F8DC69E" w14:textId="77777777" w:rsidR="00695AE2" w:rsidRPr="00CB5050" w:rsidRDefault="00695AE2" w:rsidP="00695AE2">
      <w:pPr>
        <w:spacing w:line="240" w:lineRule="auto"/>
        <w:jc w:val="both"/>
        <w:rPr>
          <w:rFonts w:eastAsia="Aptos"/>
        </w:rPr>
      </w:pPr>
    </w:p>
    <w:p w14:paraId="4D0962A8" w14:textId="77777777" w:rsidR="00695AE2" w:rsidRPr="00CB5050" w:rsidRDefault="00695AE2" w:rsidP="00695AE2">
      <w:pPr>
        <w:spacing w:line="240" w:lineRule="auto"/>
        <w:jc w:val="both"/>
        <w:rPr>
          <w:rFonts w:eastAsia="Aptos"/>
        </w:rPr>
      </w:pPr>
      <w:r w:rsidRPr="00CB5050">
        <w:rPr>
          <w:rFonts w:eastAsia="Aptos"/>
        </w:rPr>
        <w:t>Ministrstvo za pravosodje je decembra 2020 objavilo predlog za spremembo Zakona o mednarodni zaščiti, ki je nameraval uvesti novo določbo o posebni obveznosti svetovalcev za begunce, da državnim organom poročajo o določenih pomembnih informacijah v zvezi z osebami, ki jih zastopajo v postopkih. Pritožnica je skupaj z drugimi svetovalci za begunce in nevladno organizacijo, specializirano za to področje, nasprotovala predlaganim spremembam, a brez uspeha. Sprememba Zakona o mednarodni zaščiti je bila sprejeta 26. marca 2021 in je začela veljati 9. novembra 2021. V šesti alineji desetega odstavka 9. člena določa, da lahko minister za pravosodje razreši svetovalca za begunce, če mu je znana prava identiteta prosilca, če razpolaga s prosilčevimi identifikacijskimi dokumenti, če mu je znana dejanska prosilčeva starost, v primeru, ko ta zatrjuje, da je mladoletna oseba, ali so mu znana dejstva, na podlagi katerih prosilec ni upravičen do statusa begunca ali subsidiarne zaščite, a o tem ne obvesti pristojnega organa.</w:t>
      </w:r>
    </w:p>
    <w:p w14:paraId="7C1A96E7" w14:textId="77777777" w:rsidR="00695AE2" w:rsidRPr="00CB5050" w:rsidRDefault="00695AE2" w:rsidP="00695AE2">
      <w:pPr>
        <w:spacing w:line="240" w:lineRule="auto"/>
        <w:jc w:val="both"/>
        <w:rPr>
          <w:rFonts w:eastAsia="Aptos"/>
        </w:rPr>
      </w:pPr>
    </w:p>
    <w:p w14:paraId="231C0DE3" w14:textId="77777777" w:rsidR="00695AE2" w:rsidRPr="00CB5050" w:rsidRDefault="00695AE2" w:rsidP="00695AE2">
      <w:pPr>
        <w:spacing w:line="240" w:lineRule="auto"/>
        <w:jc w:val="both"/>
        <w:rPr>
          <w:rFonts w:eastAsia="Aptos"/>
        </w:rPr>
      </w:pPr>
      <w:r w:rsidRPr="00CB5050">
        <w:rPr>
          <w:rFonts w:eastAsia="Aptos"/>
        </w:rPr>
        <w:t>Junija 2025 je Ustavno sodišče RS na zahtevo skupine poslancev Državnega zbora odločilo o zahtevi za presojo ustavnosti, med drugimi, navedene določbe Zakona o mednarodni zaščiti. Ustavno sodišče RS je menilo, da je odnos med svetovalcem za begunce in prosilcem za mednarodno zaščito takšen, da v skladu s 35. členom Ustave RS (varstvo pravic zasebnosti in osebnostnih pravic) uživa ustavno varstvo. Nadalje je menilo, da se obveznost poročanja nanaša na vsebino dela svetovalca za begunce, saj vključuje razkritje občutljivih informacij, pridobljenih med zagotavljanjem potrebne strokovne pomoči prosilcu za mednarodno zašito. Ob upoštevanju tega in glede na to, da bi bil svetovalec za begunce lahko razrešen zaradi neporočanja takih informacij državnim organom, je Ustavno sodišče sklenilo, da izpodbijana pravna določba pomeni poseg v pravico do zasebnosti, a da je obveznost poročanja ustrezna in potrebna za zagotovitev učinkovitega izvajanja postopkov mednarodne zaščite ter sorazmerna. Odločba Ustavnega sodišča je bila objavljena 16. julija 2025.</w:t>
      </w:r>
    </w:p>
    <w:p w14:paraId="064D7B96" w14:textId="77777777" w:rsidR="00695AE2" w:rsidRPr="00CB5050" w:rsidRDefault="00695AE2" w:rsidP="00695AE2">
      <w:pPr>
        <w:spacing w:line="240" w:lineRule="auto"/>
        <w:jc w:val="both"/>
        <w:rPr>
          <w:rFonts w:eastAsia="Aptos"/>
        </w:rPr>
      </w:pPr>
    </w:p>
    <w:p w14:paraId="658ACCDB" w14:textId="77777777" w:rsidR="00695AE2" w:rsidRPr="00CB5050" w:rsidRDefault="00695AE2" w:rsidP="00695AE2">
      <w:pPr>
        <w:spacing w:line="240" w:lineRule="auto"/>
        <w:jc w:val="both"/>
        <w:rPr>
          <w:rFonts w:eastAsia="Aptos"/>
        </w:rPr>
      </w:pPr>
      <w:r w:rsidRPr="00CB5050">
        <w:rPr>
          <w:rFonts w:eastAsia="Aptos"/>
        </w:rPr>
        <w:t>Pritožnica se pritožuje zaradi kršitve 8. člena konvencije (pravica do spoštovanja družinskega in zasebnega življenja) in trdi, da je neposredna žrtev posegov, ki izhajajo iz obveznosti poročanja. Med drugim zatrjuje, da obveznost poročanja ne zasleduje nobenega zakonitega cilja, nima razumne povezave z zagotavljanjem učinkovitosti postopka mednarodne zaščite, zaradi nezadostne jasnosti, omejitev in predvidljivosti njene uporabe nima ustrezne pravne podlage, ne vsebuje ustreznih postopkovnih jamstev, ima odvračalni učinek zanjo in za druge svetovalce za begunce, in je v svojem bistvu nesorazmerna in s tem v nasprotju z 8. členom konvencije.</w:t>
      </w:r>
    </w:p>
    <w:p w14:paraId="18E1E393" w14:textId="77777777" w:rsidR="00695AE2" w:rsidRPr="00CB5050" w:rsidRDefault="00695AE2" w:rsidP="00695AE2">
      <w:pPr>
        <w:spacing w:line="240" w:lineRule="auto"/>
        <w:jc w:val="both"/>
        <w:rPr>
          <w:rFonts w:eastAsia="Aptos"/>
          <w:i/>
          <w:iCs/>
        </w:rPr>
      </w:pPr>
    </w:p>
    <w:p w14:paraId="2CE4351A" w14:textId="77777777" w:rsidR="00695AE2" w:rsidRPr="00CB5050" w:rsidRDefault="00695AE2" w:rsidP="00695AE2">
      <w:pPr>
        <w:spacing w:line="240" w:lineRule="auto"/>
        <w:jc w:val="both"/>
        <w:rPr>
          <w:rFonts w:eastAsia="Aptos"/>
        </w:rPr>
      </w:pPr>
      <w:r w:rsidRPr="00CB5050">
        <w:rPr>
          <w:rFonts w:eastAsia="Aptos"/>
        </w:rPr>
        <w:t>Sodišče je strankam zastavilo naslednja vprašanja:</w:t>
      </w:r>
    </w:p>
    <w:p w14:paraId="49D5F0D9" w14:textId="77777777" w:rsidR="00695AE2" w:rsidRPr="00CB5050" w:rsidRDefault="00695AE2" w:rsidP="00695AE2">
      <w:pPr>
        <w:spacing w:line="240" w:lineRule="auto"/>
        <w:jc w:val="both"/>
        <w:rPr>
          <w:rFonts w:eastAsia="Aptos"/>
        </w:rPr>
      </w:pPr>
    </w:p>
    <w:p w14:paraId="2F859CD5" w14:textId="77777777" w:rsidR="00695AE2" w:rsidRPr="00CB5050" w:rsidRDefault="00695AE2" w:rsidP="006D16C0">
      <w:pPr>
        <w:numPr>
          <w:ilvl w:val="3"/>
          <w:numId w:val="148"/>
        </w:numPr>
        <w:spacing w:line="240" w:lineRule="auto"/>
        <w:ind w:left="709"/>
        <w:contextualSpacing/>
        <w:jc w:val="both"/>
        <w:rPr>
          <w:rFonts w:eastAsia="Aptos"/>
          <w:i/>
          <w:iCs/>
        </w:rPr>
      </w:pPr>
      <w:r w:rsidRPr="00CB5050">
        <w:rPr>
          <w:rFonts w:eastAsia="Aptos"/>
          <w:i/>
          <w:iCs/>
        </w:rPr>
        <w:t xml:space="preserve">Ali je glede na privilegij odvetniške poklicne zaupnosti (»legal professional privilege«), ki je posebej zaščiten z 8. členom konvencije, obveznost poročanja, kot je določena v šesti alineji desetega odstavka 9. člena Zakona o mednarodni zaščiti, v skladu z drugim odstavkom 8. člena konvencije (primerjaj, </w:t>
      </w:r>
      <w:r w:rsidRPr="00CB5050">
        <w:rPr>
          <w:rFonts w:eastAsia="Aptos"/>
        </w:rPr>
        <w:t>Michaud proti Franciji</w:t>
      </w:r>
      <w:r w:rsidRPr="00CB5050">
        <w:rPr>
          <w:rFonts w:eastAsia="Aptos"/>
          <w:i/>
          <w:iCs/>
        </w:rPr>
        <w:t>, št. 12323/11, §§ 52-53, 92 in 117-130, ESČP 2012)?</w:t>
      </w:r>
    </w:p>
    <w:p w14:paraId="33DE75B7" w14:textId="77777777" w:rsidR="00695AE2" w:rsidRPr="00CB5050" w:rsidRDefault="00695AE2" w:rsidP="00695AE2">
      <w:pPr>
        <w:spacing w:line="240" w:lineRule="auto"/>
        <w:ind w:left="709"/>
        <w:contextualSpacing/>
        <w:jc w:val="both"/>
        <w:rPr>
          <w:rFonts w:eastAsia="Aptos"/>
          <w:i/>
          <w:iCs/>
        </w:rPr>
      </w:pPr>
    </w:p>
    <w:p w14:paraId="7856BB41" w14:textId="77777777" w:rsidR="00695AE2" w:rsidRPr="00CB5050" w:rsidRDefault="00695AE2" w:rsidP="006D16C0">
      <w:pPr>
        <w:numPr>
          <w:ilvl w:val="3"/>
          <w:numId w:val="148"/>
        </w:numPr>
        <w:spacing w:line="240" w:lineRule="auto"/>
        <w:ind w:left="709"/>
        <w:contextualSpacing/>
        <w:jc w:val="both"/>
        <w:rPr>
          <w:rFonts w:eastAsia="Aptos"/>
          <w:i/>
          <w:iCs/>
        </w:rPr>
      </w:pPr>
      <w:r w:rsidRPr="00CB5050">
        <w:rPr>
          <w:rFonts w:eastAsia="Aptos"/>
          <w:i/>
          <w:iCs/>
        </w:rPr>
        <w:t xml:space="preserve">Kateri zaščitni ukrepi, če sploh, obstajajo za zaščito zaupnosti odnosov med svetovalci za begunce in prosilci za azil, ki jih zastopajo (primerjaj, </w:t>
      </w:r>
      <w:r w:rsidRPr="00CB5050">
        <w:rPr>
          <w:rFonts w:eastAsia="Aptos"/>
        </w:rPr>
        <w:t>Michaud</w:t>
      </w:r>
      <w:r w:rsidRPr="00CB5050">
        <w:rPr>
          <w:rFonts w:eastAsia="Aptos"/>
          <w:i/>
          <w:iCs/>
        </w:rPr>
        <w:t>, navedeno zgoraj, §§ 127-130)? Ali obstaja kakšna omejitev glede obsega obveznosti poročanja z namenom zaščite omenjene zaupnosti? V kolikor da, so stranke povabljene, da opredelijo zadevne omejitve.</w:t>
      </w:r>
    </w:p>
    <w:p w14:paraId="325A9B49" w14:textId="77777777" w:rsidR="00695AE2" w:rsidRPr="00CB5050" w:rsidRDefault="00695AE2" w:rsidP="00695AE2">
      <w:pPr>
        <w:spacing w:line="240" w:lineRule="auto"/>
        <w:jc w:val="both"/>
        <w:rPr>
          <w:rFonts w:eastAsia="Aptos"/>
          <w:i/>
          <w:iCs/>
        </w:rPr>
      </w:pPr>
    </w:p>
    <w:p w14:paraId="5903FDEF" w14:textId="77777777" w:rsidR="00695AE2" w:rsidRPr="00CB5050" w:rsidRDefault="00695AE2" w:rsidP="00695AE2">
      <w:pPr>
        <w:spacing w:line="240" w:lineRule="auto"/>
        <w:jc w:val="both"/>
        <w:rPr>
          <w:rFonts w:eastAsia="Aptos"/>
          <w:i/>
          <w:iCs/>
        </w:rPr>
      </w:pPr>
      <w:r w:rsidRPr="00CB5050">
        <w:rPr>
          <w:rFonts w:eastAsia="Aptos"/>
        </w:rPr>
        <w:t>Sodišče je v dopisu navedlo, da bi zadeva lahko postala pomembna zadeva</w:t>
      </w:r>
      <w:r w:rsidRPr="00CB5050">
        <w:rPr>
          <w:rFonts w:eastAsia="Aptos"/>
          <w:i/>
          <w:iCs/>
        </w:rPr>
        <w:t xml:space="preserve"> (»impact case«).</w:t>
      </w:r>
    </w:p>
    <w:p w14:paraId="09319F6E" w14:textId="77777777" w:rsidR="00695AE2" w:rsidRPr="00CB5050" w:rsidRDefault="00695AE2" w:rsidP="00695AE2">
      <w:pPr>
        <w:spacing w:line="240" w:lineRule="auto"/>
        <w:jc w:val="both"/>
        <w:rPr>
          <w:rFonts w:eastAsia="Aptos"/>
          <w:i/>
          <w:iCs/>
          <w:sz w:val="28"/>
          <w:szCs w:val="28"/>
        </w:rPr>
      </w:pPr>
    </w:p>
    <w:p w14:paraId="4FBDFE20" w14:textId="77777777" w:rsidR="00695AE2" w:rsidRPr="00CB5050" w:rsidRDefault="00695AE2" w:rsidP="00695AE2">
      <w:pPr>
        <w:pStyle w:val="Naslov3"/>
      </w:pPr>
      <w:bookmarkStart w:id="1190" w:name="_Toc223094141"/>
      <w:r w:rsidRPr="00CB5050">
        <w:t>Pomembnejše zaključene zadeve</w:t>
      </w:r>
      <w:bookmarkEnd w:id="1190"/>
    </w:p>
    <w:p w14:paraId="46CAF02F" w14:textId="77777777" w:rsidR="00695AE2" w:rsidRPr="00342A7B" w:rsidRDefault="00695AE2" w:rsidP="00695AE2">
      <w:pPr>
        <w:pStyle w:val="Jasna"/>
        <w:rPr>
          <w:sz w:val="28"/>
          <w:szCs w:val="28"/>
        </w:rPr>
      </w:pPr>
    </w:p>
    <w:p w14:paraId="726D1DC1" w14:textId="77777777" w:rsidR="00695AE2" w:rsidRPr="00CB5050" w:rsidRDefault="00695AE2" w:rsidP="00695AE2">
      <w:pPr>
        <w:pStyle w:val="Naslov4"/>
      </w:pPr>
      <w:bookmarkStart w:id="1191" w:name="_Toc223094142"/>
      <w:r w:rsidRPr="00CB5050">
        <w:t>Sodba, s katero je bila ugotovljena kršitev konvencije</w:t>
      </w:r>
      <w:bookmarkEnd w:id="1191"/>
    </w:p>
    <w:p w14:paraId="5F1B576B" w14:textId="77777777" w:rsidR="00695AE2" w:rsidRPr="00CB5050" w:rsidRDefault="00695AE2" w:rsidP="00695AE2">
      <w:pPr>
        <w:spacing w:line="240" w:lineRule="auto"/>
        <w:jc w:val="both"/>
        <w:rPr>
          <w:rFonts w:eastAsia="Aptos"/>
          <w:b/>
          <w:color w:val="007466"/>
        </w:rPr>
      </w:pPr>
    </w:p>
    <w:p w14:paraId="36F589B3" w14:textId="77777777" w:rsidR="00695AE2" w:rsidRPr="00CB5050" w:rsidRDefault="00695AE2" w:rsidP="00695AE2">
      <w:pPr>
        <w:pStyle w:val="Naslov5"/>
        <w:rPr>
          <w:szCs w:val="22"/>
          <w:shd w:val="clear" w:color="auto" w:fill="FFFFFF"/>
        </w:rPr>
      </w:pPr>
      <w:bookmarkStart w:id="1192" w:name="_Toc223094143"/>
      <w:r w:rsidRPr="00CB5050">
        <w:rPr>
          <w:i/>
        </w:rPr>
        <w:t>Gorše proti Sloveniji</w:t>
      </w:r>
      <w:r w:rsidRPr="00CB5050">
        <w:t xml:space="preserve">, št. </w:t>
      </w:r>
      <w:r w:rsidRPr="00CB5050">
        <w:rPr>
          <w:shd w:val="clear" w:color="auto" w:fill="FFFFFF"/>
        </w:rPr>
        <w:t>47186/21</w:t>
      </w:r>
      <w:bookmarkEnd w:id="1192"/>
    </w:p>
    <w:p w14:paraId="04B06C1A" w14:textId="77777777" w:rsidR="00695AE2" w:rsidRPr="00CB5050" w:rsidRDefault="00695AE2" w:rsidP="00695AE2">
      <w:pPr>
        <w:spacing w:line="240" w:lineRule="auto"/>
        <w:ind w:left="142" w:hanging="142"/>
        <w:jc w:val="both"/>
        <w:rPr>
          <w:rFonts w:eastAsia="Aptos"/>
          <w:shd w:val="clear" w:color="auto" w:fill="FFFFFF"/>
        </w:rPr>
      </w:pPr>
    </w:p>
    <w:p w14:paraId="7F2FCD46"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ESČP je dne 6. marca 2025 izdalo sodbo, s katero je ugotovilo, da je Republika Slovenija pritožniku kršila pravico do nepristranskega sodišča iz prvega odstavka 6. člena in domnevo nedolžnosti iz drugega odstavka 6. člena Konvencije. Pritožniku je prisodilo 2.400,00 EUR iz naslova nepremoženjske škode ter 2.196,00 EUR za sodne stroške in izdatke.</w:t>
      </w:r>
    </w:p>
    <w:p w14:paraId="67E30098" w14:textId="77777777" w:rsidR="00695AE2" w:rsidRPr="00CB5050" w:rsidRDefault="00695AE2" w:rsidP="00695AE2">
      <w:pPr>
        <w:suppressAutoHyphens/>
        <w:spacing w:line="240" w:lineRule="auto"/>
        <w:ind w:firstLine="340"/>
        <w:jc w:val="both"/>
        <w:rPr>
          <w:rFonts w:eastAsia="Times New Roman"/>
          <w:lang w:eastAsia="sl-SI"/>
        </w:rPr>
      </w:pPr>
    </w:p>
    <w:p w14:paraId="0A9AC554"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Pritožnik je bil odvetnik in stečajni upravitelj z licenco. Obtožen je bil kaznivih dejanj poslovne goljufije, zlorabe uradnega položaja in pranja denarja, ki so izhajala iz njegovega dela kot likvidacijskega upravitelja družbe H. K. V zvezi z istimi dogodki je bilo obtoženih več oseb. Soobtoženi P. K. in S. S. sta z državnim tožilcem sklenili sporazum o priznanju krivde. Pritožnik je v pritožbi zatrjeval, da se je prvostopenjski sodnik J. G. o njegovi krivdi opredelil v sodbah, izdanih zoper P. K. in S. S., in sicer za kaznivo dejanje pomoči h kaznivemu dejanju zlorabe uradnega položaja, ki se je očitalo pritožniku, in za kaznivo dejanje pranja denarja, storjeno v sostorilstvu s pritožnikom. Sodnik J. G. je namreč v izreku teh sodb pritožnika izrecno navajal kot storilca kaznivega dejanja, do položaja pritožnika kot storilca kaznivega dejanja pa se je opredelil tudi v obrazložitvi sodb. Isti sodnik je nato v nadaljevanju obsodil pritožnika. Višje sodišče v Kopru je pritožbi pritožnika delno ugodilo in ga oprostilo obtožbe kaznivega dejanja poslovne goljufije in delno obtožbe zlorabe položaja. V preostalem je pritožbo zavrnilo, vključno s pritožbo, ki se je nanašala na predlog pritožnika za izločitev sodnika. Vrhovno sodišče je pritožnika delno oprostilo storitve kaznivega dejanja pranja denarja, v preostalem pa je zahtevo za varstvo zakonitosti zavrnilo; pritožnik je bil obsojen na zaporno kazen štirih let in dveh mesecev ter na denarno kazen. Ustavno sodišče ustavne pritožbe ni sprejelo v obravnavo, pobudo za začetek postopka za oceno ustavnosti Kazenskega zakonika je zavrglo. </w:t>
      </w:r>
    </w:p>
    <w:p w14:paraId="6E90CF86" w14:textId="77777777" w:rsidR="00695AE2" w:rsidRPr="00CB5050" w:rsidRDefault="00695AE2" w:rsidP="00695AE2">
      <w:pPr>
        <w:suppressAutoHyphens/>
        <w:spacing w:line="240" w:lineRule="auto"/>
        <w:jc w:val="both"/>
        <w:rPr>
          <w:rFonts w:eastAsia="Times New Roman"/>
          <w:lang w:eastAsia="sl-SI"/>
        </w:rPr>
      </w:pPr>
    </w:p>
    <w:p w14:paraId="447647BB"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lastRenderedPageBreak/>
        <w:t xml:space="preserve">Pritožnik je zatrjeval kršitev pravic iz prvega in drugega odstavka 6. člena konvencije in uveljavljal 8.000,00 EUR iz naslova nepremoženjske škode ter 2.196,00 EUR za sodne stroške in izdatke. </w:t>
      </w:r>
    </w:p>
    <w:p w14:paraId="08AABB1C" w14:textId="77777777" w:rsidR="00695AE2" w:rsidRPr="00CB5050" w:rsidRDefault="00695AE2" w:rsidP="00695AE2">
      <w:pPr>
        <w:suppressAutoHyphens/>
        <w:spacing w:line="240" w:lineRule="auto"/>
        <w:jc w:val="both"/>
        <w:rPr>
          <w:rFonts w:eastAsia="Times New Roman"/>
          <w:lang w:eastAsia="sl-SI"/>
        </w:rPr>
      </w:pPr>
    </w:p>
    <w:p w14:paraId="18D8E369"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Vlada je v odgovoru na pritožbo navajala, da je treba v sodbi, ki temelji na dogovoru o priznanju krivde ali priznanju krivde nekaterih udeležencev kaznivega dejanja, običajno opisati tudi dejanja drugih udeležencev. Sodnik, ki je sprejel priznanje krivde ali dogovor o priznanju krivde, mora biti prepričan o krivdi zadevne osebe. Vendar pa je poudarila, da je presoja dokazov na predobravnavnem naroku kvalitativno drugačen postopek od presoje dokazov ob zaključku glavne obravnave. Sodnik mora odločiti o krivdi in kazni za vsakega obdolženca posebej. Zgolj sklicevanja na pritožnika v opisih dejanj, povzetih v izreku sodb zoper P. K. in S. S., po mnenju vlade, ni mogoče šteti za prejudiciranje krivde pritožnika. Poleg tega sklicevanje na pritožnika v obrazložitvi sodbe ni bilo podrobno in ni vključevalo presoje glede krivde pritožnika. Poudarila je tudi, da je prvostopenjsko sodišče izvedlo štirinajst javnih obravnav, zaslišalo petnajst prič, prebralo pričevanja dvaindvajsetih prič, pridobilo izvedenska mnenja dveh grafologov in preučilo številne dokumente v postopku zoper pritožnika in soobtožene. Obsežna obrazložitev sodbe na 143 straneh pa kaže, da so ugotovitve sodišča temeljile predvsem na obsežnih dokumentarnih in drugih dokazih ter pričanjih, vključno z izjavami oseb P. K. in S. S. Sklicevanje na priznanje krivde oseb P. K. in S. S. je zgolj podprlo končno presojo dokazov, ki jo je opravilo sodišče. Vlada je menila, da iz celotne obrazložitve sodbe ni mogoče sklepati, da je bila krivda pritožnika prejudicirana.</w:t>
      </w:r>
    </w:p>
    <w:p w14:paraId="5398FC80" w14:textId="77777777" w:rsidR="00695AE2" w:rsidRPr="00CB5050" w:rsidRDefault="00695AE2" w:rsidP="00695AE2">
      <w:pPr>
        <w:suppressAutoHyphens/>
        <w:spacing w:line="240" w:lineRule="auto"/>
        <w:ind w:firstLine="340"/>
        <w:jc w:val="both"/>
        <w:rPr>
          <w:rFonts w:eastAsia="Times New Roman"/>
          <w:lang w:eastAsia="sl-SI"/>
        </w:rPr>
      </w:pPr>
    </w:p>
    <w:p w14:paraId="2F1B8DAC"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Vlada se je sklicevala tudi na zakonodaje drugih evropskih držav, ki so primerljive slovenski. Trdila je, da sprejem priznanja soobtoženih ne more biti avtomatičen izločitveni razlog za sodnika. Avtomatične izločitve bi znatno upočasnile sodne postopke, zlasti v zapletenih zadevah proti številnim soobtožencem. </w:t>
      </w:r>
    </w:p>
    <w:p w14:paraId="4F16CAC9" w14:textId="77777777" w:rsidR="00695AE2" w:rsidRPr="00CB5050" w:rsidRDefault="00695AE2" w:rsidP="00695AE2">
      <w:pPr>
        <w:suppressAutoHyphens/>
        <w:spacing w:line="240" w:lineRule="auto"/>
        <w:ind w:firstLine="340"/>
        <w:jc w:val="both"/>
        <w:rPr>
          <w:rFonts w:eastAsia="Times New Roman"/>
          <w:lang w:eastAsia="sl-SI"/>
        </w:rPr>
      </w:pPr>
    </w:p>
    <w:p w14:paraId="386E6FEA" w14:textId="77777777" w:rsidR="00695AE2" w:rsidRPr="00CB5050" w:rsidRDefault="00695AE2" w:rsidP="00695AE2">
      <w:pPr>
        <w:suppressAutoHyphens/>
        <w:spacing w:line="240" w:lineRule="auto"/>
        <w:jc w:val="both"/>
        <w:rPr>
          <w:rFonts w:eastAsia="Times New Roman"/>
          <w:color w:val="007466"/>
          <w:lang w:eastAsia="sl-SI"/>
        </w:rPr>
      </w:pPr>
      <w:r w:rsidRPr="00CB5050">
        <w:rPr>
          <w:rFonts w:eastAsia="Times New Roman"/>
          <w:color w:val="007466"/>
          <w:lang w:eastAsia="sl-SI"/>
        </w:rPr>
        <w:t>Presoja ESČP</w:t>
      </w:r>
    </w:p>
    <w:p w14:paraId="7FC83740" w14:textId="77777777" w:rsidR="00695AE2" w:rsidRPr="00CB5050" w:rsidRDefault="00695AE2" w:rsidP="00695AE2">
      <w:pPr>
        <w:suppressAutoHyphens/>
        <w:spacing w:line="240" w:lineRule="auto"/>
        <w:ind w:firstLine="340"/>
        <w:jc w:val="both"/>
        <w:rPr>
          <w:rFonts w:eastAsia="Times New Roman"/>
          <w:i/>
          <w:iCs/>
          <w:lang w:eastAsia="sl-SI"/>
        </w:rPr>
      </w:pPr>
    </w:p>
    <w:p w14:paraId="3EFC8AE3" w14:textId="77777777" w:rsidR="00695AE2" w:rsidRPr="00CB5050" w:rsidRDefault="00695AE2" w:rsidP="00695AE2">
      <w:pPr>
        <w:suppressAutoHyphens/>
        <w:spacing w:line="240" w:lineRule="auto"/>
        <w:jc w:val="both"/>
        <w:rPr>
          <w:rFonts w:eastAsia="Times New Roman"/>
          <w:i/>
          <w:iCs/>
          <w:color w:val="007466"/>
          <w:lang w:eastAsia="sl-SI"/>
        </w:rPr>
      </w:pPr>
      <w:r w:rsidRPr="00CB5050">
        <w:rPr>
          <w:rFonts w:eastAsia="Times New Roman"/>
          <w:i/>
          <w:iCs/>
          <w:color w:val="007466"/>
          <w:lang w:eastAsia="sl-SI"/>
        </w:rPr>
        <w:t>Načela v zvezi z nepristranskostjo</w:t>
      </w:r>
    </w:p>
    <w:p w14:paraId="7968EB05" w14:textId="77777777" w:rsidR="00695AE2" w:rsidRPr="00CB5050" w:rsidRDefault="00695AE2" w:rsidP="00695AE2">
      <w:pPr>
        <w:suppressAutoHyphens/>
        <w:spacing w:line="240" w:lineRule="auto"/>
        <w:ind w:firstLine="340"/>
        <w:jc w:val="both"/>
        <w:rPr>
          <w:rFonts w:eastAsia="Times New Roman"/>
          <w:lang w:eastAsia="sl-SI"/>
        </w:rPr>
      </w:pPr>
    </w:p>
    <w:p w14:paraId="490D26BC"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ESČP je navedlo, da je splošna načela o nepristranskosti, vključno s tistimi, ki se nanašajo na nepristranskost v okviru sodelovanja sodnika pri prejšnjih odločitvah o isti zadevi, opredelilo v sodbi z dne 16. februarja 2021 v </w:t>
      </w:r>
      <w:r w:rsidRPr="00CB5050">
        <w:rPr>
          <w:rFonts w:eastAsia="Times New Roman"/>
          <w:i/>
          <w:lang w:eastAsia="sl-SI"/>
        </w:rPr>
        <w:t xml:space="preserve">zadevi </w:t>
      </w:r>
      <w:bookmarkStart w:id="1193" w:name="_cl40473THELAW"/>
      <w:r w:rsidRPr="00CB5050">
        <w:rPr>
          <w:rFonts w:eastAsia="Times New Roman"/>
          <w:i/>
          <w:lang w:eastAsia="sl-SI"/>
        </w:rPr>
        <w:t>Meng proti Nemčiji</w:t>
      </w:r>
      <w:r w:rsidRPr="00CB5050">
        <w:rPr>
          <w:rFonts w:eastAsia="Times New Roman"/>
          <w:lang w:eastAsia="sl-SI"/>
        </w:rPr>
        <w:t xml:space="preserve"> </w:t>
      </w:r>
      <w:bookmarkEnd w:id="1193"/>
      <w:r w:rsidRPr="00CB5050">
        <w:rPr>
          <w:rFonts w:eastAsia="Times New Roman"/>
          <w:lang w:eastAsia="sl-SI"/>
        </w:rPr>
        <w:t xml:space="preserve">(št. 1128/17, 42. do 52. odstavek). Opozorilo je, da je pri uporabi </w:t>
      </w:r>
      <w:r w:rsidRPr="00CB5050">
        <w:rPr>
          <w:rFonts w:eastAsia="Times New Roman"/>
          <w:i/>
          <w:iCs/>
          <w:lang w:eastAsia="sl-SI"/>
        </w:rPr>
        <w:t>subjektivnega preizkusa</w:t>
      </w:r>
      <w:r w:rsidRPr="00CB5050">
        <w:rPr>
          <w:rFonts w:eastAsia="Times New Roman"/>
          <w:lang w:eastAsia="sl-SI"/>
        </w:rPr>
        <w:t xml:space="preserve"> treba osebno nepristranskost sodnika domnevati, dokler ni dokaza o nasprotnem (glej</w:t>
      </w:r>
      <w:bookmarkStart w:id="1194" w:name="_cl32252THELAW"/>
      <w:r w:rsidRPr="00CB5050">
        <w:rPr>
          <w:rFonts w:eastAsia="Times New Roman"/>
          <w:lang w:eastAsia="sl-SI"/>
        </w:rPr>
        <w:t xml:space="preserve"> tudi </w:t>
      </w:r>
      <w:r w:rsidRPr="00CB5050">
        <w:rPr>
          <w:rFonts w:eastAsia="Times New Roman"/>
          <w:i/>
          <w:lang w:eastAsia="sl-SI"/>
        </w:rPr>
        <w:t>Morel proti Franciji,</w:t>
      </w:r>
      <w:r w:rsidRPr="00CB5050">
        <w:rPr>
          <w:rFonts w:eastAsia="Times New Roman"/>
          <w:lang w:eastAsia="sl-SI"/>
        </w:rPr>
        <w:t xml:space="preserve"> </w:t>
      </w:r>
      <w:bookmarkEnd w:id="1194"/>
      <w:r w:rsidRPr="00CB5050">
        <w:rPr>
          <w:rFonts w:eastAsia="Times New Roman"/>
          <w:lang w:eastAsia="sl-SI"/>
        </w:rPr>
        <w:t>št. 34130/96, 41. odstavek, ESČP 2000</w:t>
      </w:r>
      <w:r w:rsidRPr="00CB5050">
        <w:rPr>
          <w:rFonts w:eastAsia="Times New Roman"/>
          <w:lang w:eastAsia="sl-SI"/>
        </w:rPr>
        <w:noBreakHyphen/>
        <w:t xml:space="preserve">VI; </w:t>
      </w:r>
      <w:bookmarkStart w:id="1195" w:name="_cl30071THELAW"/>
      <w:r w:rsidRPr="00CB5050">
        <w:rPr>
          <w:rFonts w:eastAsia="Times New Roman"/>
          <w:i/>
          <w:lang w:eastAsia="sl-SI"/>
        </w:rPr>
        <w:t>Kyprianou proti Cipru</w:t>
      </w:r>
      <w:r w:rsidRPr="00CB5050">
        <w:rPr>
          <w:rFonts w:eastAsia="Times New Roman"/>
          <w:lang w:eastAsia="sl-SI"/>
        </w:rPr>
        <w:t xml:space="preserve"> </w:t>
      </w:r>
      <w:bookmarkEnd w:id="1195"/>
      <w:r w:rsidRPr="00CB5050">
        <w:rPr>
          <w:rFonts w:eastAsia="Times New Roman"/>
          <w:lang w:eastAsia="sl-SI"/>
        </w:rPr>
        <w:t>[VS], št. 73797/01, 119. odstavek, ESČP 2005</w:t>
      </w:r>
      <w:r w:rsidRPr="00CB5050">
        <w:rPr>
          <w:rFonts w:eastAsia="Times New Roman"/>
          <w:lang w:eastAsia="sl-SI"/>
        </w:rPr>
        <w:noBreakHyphen/>
        <w:t xml:space="preserve">XIII; in </w:t>
      </w:r>
      <w:bookmarkStart w:id="1196" w:name="_cl32029THELAW"/>
      <w:r w:rsidRPr="00CB5050">
        <w:rPr>
          <w:rFonts w:eastAsia="Times New Roman"/>
          <w:i/>
          <w:lang w:eastAsia="sl-SI"/>
        </w:rPr>
        <w:t>Miminoshvili proti Rusiji</w:t>
      </w:r>
      <w:bookmarkEnd w:id="1196"/>
      <w:r w:rsidRPr="00CB5050">
        <w:rPr>
          <w:rFonts w:eastAsia="Times New Roman"/>
          <w:lang w:eastAsia="sl-SI"/>
        </w:rPr>
        <w:t xml:space="preserve">, št. 20197/03, 113. odstavek, 28. junij 2011). Kar zadeva </w:t>
      </w:r>
      <w:r w:rsidRPr="00CB5050">
        <w:rPr>
          <w:rFonts w:eastAsia="Times New Roman"/>
          <w:i/>
          <w:iCs/>
          <w:lang w:eastAsia="sl-SI"/>
        </w:rPr>
        <w:t>objektivni preizkus</w:t>
      </w:r>
      <w:r w:rsidRPr="00CB5050">
        <w:rPr>
          <w:rFonts w:eastAsia="Times New Roman"/>
          <w:lang w:eastAsia="sl-SI"/>
        </w:rPr>
        <w:t xml:space="preserve">, je mogoče načela, ki so relevantna za obravnavano zadevo, povzeti, kot sledi (glej sodbo </w:t>
      </w:r>
      <w:r w:rsidRPr="00CB5050">
        <w:rPr>
          <w:rFonts w:eastAsia="Times New Roman"/>
          <w:i/>
          <w:lang w:eastAsia="sl-SI"/>
        </w:rPr>
        <w:t xml:space="preserve">z dne 18. marca 2021 v zadevi </w:t>
      </w:r>
      <w:bookmarkStart w:id="1197" w:name="_cl32361THELAW"/>
      <w:r w:rsidRPr="00CB5050">
        <w:rPr>
          <w:rFonts w:eastAsia="Times New Roman"/>
          <w:i/>
          <w:lang w:eastAsia="sl-SI"/>
        </w:rPr>
        <w:t>Mucha proti Slovaški,</w:t>
      </w:r>
      <w:r w:rsidRPr="00CB5050">
        <w:rPr>
          <w:rFonts w:eastAsia="Times New Roman"/>
          <w:lang w:eastAsia="sl-SI"/>
        </w:rPr>
        <w:t xml:space="preserve"> </w:t>
      </w:r>
      <w:bookmarkEnd w:id="1197"/>
      <w:r w:rsidRPr="00CB5050">
        <w:rPr>
          <w:rFonts w:eastAsia="Times New Roman"/>
          <w:lang w:eastAsia="sl-SI"/>
        </w:rPr>
        <w:t>št. 63703/19, 49. odstavek):</w:t>
      </w:r>
    </w:p>
    <w:p w14:paraId="1893E752" w14:textId="218ECF17" w:rsidR="00695AE2" w:rsidRPr="00775C33" w:rsidRDefault="00695AE2" w:rsidP="006D16C0">
      <w:pPr>
        <w:pStyle w:val="Odstavekseznama"/>
        <w:numPr>
          <w:ilvl w:val="0"/>
          <w:numId w:val="160"/>
        </w:numPr>
        <w:suppressAutoHyphens/>
        <w:spacing w:line="240" w:lineRule="auto"/>
        <w:jc w:val="both"/>
        <w:rPr>
          <w:rFonts w:eastAsia="Times New Roman"/>
          <w:lang w:eastAsia="sl-SI"/>
        </w:rPr>
      </w:pPr>
      <w:r w:rsidRPr="00775C33">
        <w:rPr>
          <w:rFonts w:eastAsia="Times New Roman"/>
          <w:lang w:eastAsia="sl-SI"/>
        </w:rPr>
        <w:t>zgolj dejstvo, da je sodnik, ki je odločal o zadevi, predhodno odločil o istem kaznivem dejanju, samo po sebi ne more upravičiti bojazni glede njegove nepristranskosti. Prav tako zgolj dejstvo, da se je sodnik že izrekel o podobnih, vendar nepovezanih kazenskih obtožbah ali da je že sodil soobtoženemu v ločenem kazenskem postopku, samo po sebi ne zadostuje za dvom o nepristranskosti tega sodnika v poznejši zadevi;</w:t>
      </w:r>
    </w:p>
    <w:p w14:paraId="7D1DF347" w14:textId="13934ABB" w:rsidR="00695AE2" w:rsidRPr="00775C33" w:rsidRDefault="00695AE2" w:rsidP="006D16C0">
      <w:pPr>
        <w:pStyle w:val="Odstavekseznama"/>
        <w:numPr>
          <w:ilvl w:val="0"/>
          <w:numId w:val="160"/>
        </w:numPr>
        <w:suppressAutoHyphens/>
        <w:spacing w:line="240" w:lineRule="auto"/>
        <w:jc w:val="both"/>
        <w:rPr>
          <w:rFonts w:eastAsia="Times New Roman"/>
          <w:lang w:eastAsia="sl-SI"/>
        </w:rPr>
      </w:pPr>
      <w:r w:rsidRPr="00775C33">
        <w:rPr>
          <w:rFonts w:eastAsia="Times New Roman"/>
          <w:lang w:eastAsia="sl-SI"/>
        </w:rPr>
        <w:lastRenderedPageBreak/>
        <w:t>vprašanje glede nepristranskosti sodnika se postavlja, če prejšnja sodba že vsebuje podrobno presojo vloge obdolženca v zvezi s kaznivim dejanjem, ki ga je storilo več oseb, vendar obdolžencu še ni bilo sojeno, in zlasti, če prejšnja sodba vsebuje podrobno opredelitev vpletenosti obdolženca v kaznivo dejanje ali jasno ugotovitev, da je oseba, ki ji je treba še soditi, izpolnjevala vsa merila, ki se zahtevajo za ugotovitev, da je storila kaznivo dejanje. Glede na okoliščine konkretnega primera bi to lahko prejudiciralo vprašanje krivde osebe na sojenju v poznejšem postopku in bi lahko privedlo do objektivno utemeljenih dvomov, da je nacionalno sodišče že na začetku sojenja imelo predhodno mnenje o utemeljenosti obrambe te osebe.</w:t>
      </w:r>
    </w:p>
    <w:p w14:paraId="010AD75E" w14:textId="77777777" w:rsidR="00695AE2" w:rsidRPr="00CB5050" w:rsidRDefault="00695AE2" w:rsidP="00695AE2">
      <w:pPr>
        <w:suppressAutoHyphens/>
        <w:spacing w:line="240" w:lineRule="auto"/>
        <w:jc w:val="both"/>
        <w:rPr>
          <w:rFonts w:eastAsia="Times New Roman"/>
          <w:lang w:eastAsia="sl-SI"/>
        </w:rPr>
      </w:pPr>
    </w:p>
    <w:p w14:paraId="17F4EC45" w14:textId="77777777" w:rsidR="00695AE2" w:rsidRPr="00CB5050" w:rsidRDefault="00695AE2" w:rsidP="00695AE2">
      <w:pPr>
        <w:suppressAutoHyphens/>
        <w:spacing w:line="240" w:lineRule="auto"/>
        <w:jc w:val="both"/>
        <w:rPr>
          <w:rFonts w:eastAsia="Times New Roman"/>
          <w:bCs/>
          <w:i/>
          <w:iCs/>
          <w:color w:val="007466"/>
          <w:lang w:eastAsia="sl-SI"/>
        </w:rPr>
      </w:pPr>
      <w:r w:rsidRPr="00CB5050">
        <w:rPr>
          <w:rFonts w:eastAsia="Times New Roman"/>
          <w:bCs/>
          <w:i/>
          <w:iCs/>
          <w:color w:val="007466"/>
          <w:lang w:eastAsia="sl-SI"/>
        </w:rPr>
        <w:t>Načela v zvezi z domnevo nedolžnosti</w:t>
      </w:r>
    </w:p>
    <w:p w14:paraId="2A18D29C" w14:textId="77777777" w:rsidR="00695AE2" w:rsidRPr="00CB5050" w:rsidRDefault="00695AE2" w:rsidP="00695AE2">
      <w:pPr>
        <w:suppressAutoHyphens/>
        <w:spacing w:line="240" w:lineRule="auto"/>
        <w:jc w:val="both"/>
        <w:rPr>
          <w:rFonts w:eastAsia="Times New Roman"/>
          <w:bCs/>
          <w:i/>
          <w:iCs/>
          <w:color w:val="007466"/>
          <w:lang w:eastAsia="sl-SI"/>
        </w:rPr>
      </w:pPr>
    </w:p>
    <w:p w14:paraId="15546ADA"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ESČP je poudarilo, da je domneva nedolžnosti, določena v drugem odstavku 6. člena, eden od elementov poštenega kazenskega postopka, ki se zahteva v prvem odstavku tega člena (glej sodbi </w:t>
      </w:r>
      <w:bookmarkStart w:id="1198" w:name="_cl20733THELAW"/>
      <w:r w:rsidRPr="00CB5050">
        <w:rPr>
          <w:rFonts w:eastAsia="Times New Roman"/>
          <w:iCs/>
          <w:lang w:eastAsia="sl-SI"/>
        </w:rPr>
        <w:t>z dne 10. februarja 1995 v zadevi</w:t>
      </w:r>
      <w:r w:rsidRPr="00CB5050">
        <w:rPr>
          <w:rFonts w:eastAsia="Times New Roman"/>
          <w:i/>
          <w:lang w:eastAsia="sl-SI"/>
        </w:rPr>
        <w:t xml:space="preserve"> Allenet de Ribemont proti Franciji,</w:t>
      </w:r>
      <w:r w:rsidRPr="00CB5050">
        <w:rPr>
          <w:rFonts w:eastAsia="Times New Roman"/>
          <w:lang w:eastAsia="sl-SI"/>
        </w:rPr>
        <w:t xml:space="preserve"> </w:t>
      </w:r>
      <w:bookmarkEnd w:id="1198"/>
      <w:r w:rsidRPr="00CB5050">
        <w:rPr>
          <w:rFonts w:eastAsia="Times New Roman"/>
          <w:lang w:eastAsia="sl-SI"/>
        </w:rPr>
        <w:t>izdaja A št. 308, 35</w:t>
      </w:r>
      <w:bookmarkStart w:id="1199" w:name="_cl32702THELAW"/>
      <w:r w:rsidRPr="00CB5050">
        <w:rPr>
          <w:rFonts w:eastAsia="Times New Roman"/>
          <w:lang w:eastAsia="sl-SI"/>
        </w:rPr>
        <w:t xml:space="preserve">. odstavek in </w:t>
      </w:r>
      <w:r w:rsidRPr="00CB5050">
        <w:rPr>
          <w:rFonts w:eastAsia="Times New Roman"/>
          <w:iCs/>
          <w:lang w:eastAsia="sl-SI"/>
        </w:rPr>
        <w:t>z dne 10. februarja 2014 v zadevi</w:t>
      </w:r>
      <w:r w:rsidRPr="00CB5050">
        <w:rPr>
          <w:rFonts w:eastAsia="Times New Roman"/>
          <w:i/>
          <w:lang w:eastAsia="sl-SI"/>
        </w:rPr>
        <w:t xml:space="preserve"> Natsvlishvili in Togonidze proti Gruziji,</w:t>
      </w:r>
      <w:r w:rsidRPr="00CB5050">
        <w:rPr>
          <w:rFonts w:eastAsia="Times New Roman"/>
          <w:lang w:eastAsia="sl-SI"/>
        </w:rPr>
        <w:t xml:space="preserve"> </w:t>
      </w:r>
      <w:bookmarkEnd w:id="1199"/>
      <w:r w:rsidRPr="00CB5050">
        <w:rPr>
          <w:rFonts w:eastAsia="Times New Roman"/>
          <w:lang w:eastAsia="sl-SI"/>
        </w:rPr>
        <w:t xml:space="preserve">št. 9043/05, 103. odstavek (izvlečki)). Drugi odstavek 6. člena prepoveduje, da bi sodišče prezgodaj izrazilo mnenje, da je oseba, obtožena kaznivega dejanja, kriva, preden ji je bila v skladu z zakonom dokazana krivda (glej tudi </w:t>
      </w:r>
      <w:bookmarkStart w:id="1200" w:name="_cl32039THELAW"/>
      <w:r w:rsidRPr="00CB5050">
        <w:rPr>
          <w:rFonts w:eastAsia="Times New Roman"/>
          <w:i/>
          <w:lang w:eastAsia="sl-SI"/>
        </w:rPr>
        <w:t>Minelli proti Švici,</w:t>
      </w:r>
      <w:r w:rsidRPr="00CB5050">
        <w:rPr>
          <w:rFonts w:eastAsia="Times New Roman"/>
          <w:lang w:eastAsia="sl-SI"/>
        </w:rPr>
        <w:t xml:space="preserve"> </w:t>
      </w:r>
      <w:bookmarkEnd w:id="1200"/>
      <w:r w:rsidRPr="00CB5050">
        <w:rPr>
          <w:rFonts w:eastAsia="Times New Roman"/>
          <w:lang w:eastAsia="sl-SI"/>
        </w:rPr>
        <w:t xml:space="preserve">št. 8660/79, 25. marec 1983, 37. odstavek, izdaja A št. 62, in </w:t>
      </w:r>
      <w:bookmarkStart w:id="1201" w:name="_cl34011THELAW"/>
      <w:r w:rsidRPr="00CB5050">
        <w:rPr>
          <w:rFonts w:eastAsia="Times New Roman"/>
          <w:i/>
          <w:lang w:eastAsia="sl-SI"/>
        </w:rPr>
        <w:t>Peša proti Hrvaški,</w:t>
      </w:r>
      <w:r w:rsidRPr="00CB5050">
        <w:rPr>
          <w:rFonts w:eastAsia="Times New Roman"/>
          <w:lang w:eastAsia="sl-SI"/>
        </w:rPr>
        <w:t xml:space="preserve"> </w:t>
      </w:r>
      <w:bookmarkEnd w:id="1201"/>
      <w:r w:rsidRPr="00CB5050">
        <w:rPr>
          <w:rFonts w:eastAsia="Times New Roman"/>
          <w:lang w:eastAsia="sl-SI"/>
        </w:rPr>
        <w:t>št. 40523/08, 138. odstavek, 8. april 2010).</w:t>
      </w:r>
    </w:p>
    <w:p w14:paraId="6293E38E" w14:textId="77777777" w:rsidR="00695AE2" w:rsidRPr="00CB5050" w:rsidRDefault="00695AE2" w:rsidP="00695AE2">
      <w:pPr>
        <w:suppressAutoHyphens/>
        <w:spacing w:line="240" w:lineRule="auto"/>
        <w:ind w:firstLine="340"/>
        <w:jc w:val="both"/>
        <w:rPr>
          <w:rFonts w:eastAsia="Times New Roman"/>
          <w:lang w:eastAsia="sl-SI"/>
        </w:rPr>
      </w:pPr>
    </w:p>
    <w:p w14:paraId="5E8DA32D"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ESČP je v zvezi s tem ponovilo, da je treba bistveno razlikovati med izjavo, da je nekdo zgolj osumljen storitve kaznivega dejanja, in jasno izjavo, da je posameznik storil zadevno kaznivo dejanje,</w:t>
      </w:r>
      <w:r w:rsidRPr="00CB5050">
        <w:rPr>
          <w:rFonts w:eastAsia="Times New Roman"/>
          <w:b/>
          <w:bCs/>
          <w:lang w:eastAsia="sl-SI"/>
        </w:rPr>
        <w:t xml:space="preserve"> </w:t>
      </w:r>
      <w:r w:rsidRPr="00CB5050">
        <w:rPr>
          <w:rFonts w:eastAsia="Times New Roman"/>
          <w:lang w:eastAsia="sl-SI"/>
        </w:rPr>
        <w:t xml:space="preserve">če ni pravnomočne obsodbe. V zvezi s tem je uporaba jezika ključnega pomena (glej sodbo </w:t>
      </w:r>
      <w:r w:rsidRPr="00CB5050">
        <w:rPr>
          <w:rFonts w:eastAsia="Times New Roman"/>
          <w:i/>
          <w:lang w:eastAsia="sl-SI"/>
        </w:rPr>
        <w:t>v zadevi Daktaras proti Litvi,</w:t>
      </w:r>
      <w:r w:rsidRPr="00CB5050">
        <w:rPr>
          <w:rFonts w:eastAsia="Times New Roman"/>
          <w:lang w:eastAsia="sl-SI"/>
        </w:rPr>
        <w:t xml:space="preserve"> št. 42095/98, 41. odstavek, ESČP 2000-X; sodba z dne 3. oktobra 2002 v zadevi</w:t>
      </w:r>
      <w:r w:rsidRPr="00CB5050">
        <w:rPr>
          <w:rFonts w:eastAsia="Times New Roman"/>
          <w:i/>
          <w:lang w:eastAsia="sl-SI"/>
        </w:rPr>
        <w:t xml:space="preserve"> Böhmer proti Nemčiji,</w:t>
      </w:r>
      <w:r w:rsidRPr="00CB5050">
        <w:rPr>
          <w:rFonts w:eastAsia="Times New Roman"/>
          <w:lang w:eastAsia="sl-SI"/>
        </w:rPr>
        <w:t xml:space="preserve"> št. 37568/97, 56. odstavek; ter </w:t>
      </w:r>
      <w:r w:rsidRPr="00CB5050">
        <w:rPr>
          <w:rFonts w:eastAsia="Times New Roman"/>
          <w:i/>
          <w:lang w:eastAsia="sl-SI"/>
        </w:rPr>
        <w:t>Khuzhin in drugi proti Rusiji</w:t>
      </w:r>
      <w:r w:rsidRPr="00CB5050">
        <w:rPr>
          <w:rFonts w:eastAsia="Times New Roman"/>
          <w:lang w:eastAsia="sl-SI"/>
        </w:rPr>
        <w:t xml:space="preserve">, št. 13470/02, 94. odstavek, 23. oktober 2008). ESČP je nadalje poudarilo, da je treba o tem, ali taka izjava krši načelo domneve nedolžnosti, presojati v okviru okoliščin, v katerih je bila podana sporna izjava (glej zgoraj navedeno sodbo </w:t>
      </w:r>
      <w:r w:rsidRPr="00CB5050">
        <w:rPr>
          <w:rFonts w:eastAsia="Times New Roman"/>
          <w:i/>
          <w:lang w:eastAsia="sl-SI"/>
        </w:rPr>
        <w:t>Daktaras,</w:t>
      </w:r>
      <w:r w:rsidRPr="00CB5050">
        <w:rPr>
          <w:rFonts w:eastAsia="Times New Roman"/>
          <w:lang w:eastAsia="sl-SI"/>
        </w:rPr>
        <w:t xml:space="preserve"> 43. odstavek; </w:t>
      </w:r>
      <w:bookmarkStart w:id="1202" w:name="_cl20090THELAW"/>
      <w:r w:rsidRPr="00CB5050">
        <w:rPr>
          <w:rFonts w:eastAsia="Times New Roman"/>
          <w:iCs/>
          <w:lang w:eastAsia="sl-SI"/>
        </w:rPr>
        <w:t>sodba z dne 28. aprila 2005 v zadevi</w:t>
      </w:r>
      <w:r w:rsidRPr="00CB5050">
        <w:rPr>
          <w:rFonts w:eastAsia="Times New Roman"/>
          <w:i/>
          <w:lang w:eastAsia="sl-SI"/>
        </w:rPr>
        <w:t xml:space="preserve"> A. L. proti Nemčiji,</w:t>
      </w:r>
      <w:r w:rsidRPr="00CB5050">
        <w:rPr>
          <w:rFonts w:eastAsia="Times New Roman"/>
          <w:lang w:eastAsia="sl-SI"/>
        </w:rPr>
        <w:t xml:space="preserve"> </w:t>
      </w:r>
      <w:bookmarkEnd w:id="1202"/>
      <w:r w:rsidRPr="00CB5050">
        <w:rPr>
          <w:rFonts w:eastAsia="Times New Roman"/>
          <w:lang w:eastAsia="sl-SI"/>
        </w:rPr>
        <w:t xml:space="preserve">št. 72758/01, 31. odstavek in </w:t>
      </w:r>
      <w:bookmarkStart w:id="1203" w:name="_cl33854THELAW"/>
      <w:r w:rsidRPr="00CB5050">
        <w:rPr>
          <w:rFonts w:eastAsia="Times New Roman"/>
          <w:i/>
          <w:lang w:eastAsia="sl-SI"/>
        </w:rPr>
        <w:t>Paulikas proti Litvi</w:t>
      </w:r>
      <w:bookmarkEnd w:id="1203"/>
      <w:r w:rsidRPr="00CB5050">
        <w:rPr>
          <w:rFonts w:eastAsia="Times New Roman"/>
          <w:lang w:eastAsia="sl-SI"/>
        </w:rPr>
        <w:t xml:space="preserve">, št. 57435/09, 55. odstavek, 24. januar 2017). ESČP je priznalo, da je lahko v zapletenih kazenskih postopkih, ki vključujejo več oseb, ki jim ni mogoče soditi skupaj, sklicevanje prvostopenjskega sodišča na sodelovanje tretjih oseb, (ki se jim sodi pozneje in ločeno) neizogibno, kadar se presoja krivda oseb, ki so v postopku. Kazenska sodišča morajo kar se da natančno ugotoviti dejstva zadeve, ki so pomembna za presojo odgovornosti obdolženca, ugotovljenih dejstev pa ne morejo predstaviti zgolj kot obtožb ali sumov. To velja tudi za dejstva, povezana s sodelovanjem tretjih oseb. Če je taka dejstva treba navesti, pa bi se morala sodišča izogibati dajanju več informacij, kot je potrebno za presojo odgovornosti tistih oseb, ki so obdolžene v trenutnem sojenju (glej sodbo </w:t>
      </w:r>
      <w:r w:rsidRPr="00CB5050">
        <w:rPr>
          <w:rFonts w:eastAsia="Times New Roman"/>
          <w:i/>
          <w:lang w:eastAsia="sl-SI"/>
        </w:rPr>
        <w:t>Karaman proti Nemčiji,</w:t>
      </w:r>
      <w:r w:rsidRPr="00CB5050">
        <w:rPr>
          <w:rFonts w:eastAsia="Times New Roman"/>
          <w:lang w:eastAsia="sl-SI"/>
        </w:rPr>
        <w:t xml:space="preserve"> št. </w:t>
      </w:r>
      <w:hyperlink r:id="rId85" w:anchor="{%22appno%22:[%2217103/10%22]}" w:tgtFrame="_blank" w:history="1">
        <w:r w:rsidRPr="00CB5050">
          <w:rPr>
            <w:rFonts w:eastAsia="Times New Roman"/>
            <w:lang w:eastAsia="sl-SI"/>
          </w:rPr>
          <w:t>17103/10</w:t>
        </w:r>
      </w:hyperlink>
      <w:r w:rsidRPr="00CB5050">
        <w:rPr>
          <w:rFonts w:eastAsia="Times New Roman"/>
          <w:lang w:eastAsia="sl-SI"/>
        </w:rPr>
        <w:t xml:space="preserve">, 27. februar 2014, 64. odstavek, in sodbo </w:t>
      </w:r>
      <w:r w:rsidRPr="00CB5050">
        <w:rPr>
          <w:rFonts w:eastAsia="Times New Roman"/>
          <w:iCs/>
          <w:lang w:eastAsia="sl-SI"/>
        </w:rPr>
        <w:t>z dne 23. februarja 2016 v zadevi</w:t>
      </w:r>
      <w:r w:rsidRPr="00CB5050">
        <w:rPr>
          <w:rFonts w:eastAsia="Times New Roman"/>
          <w:i/>
          <w:lang w:eastAsia="sl-SI"/>
        </w:rPr>
        <w:t xml:space="preserve"> Navalnyy in Ofitserov proti Rusiji,</w:t>
      </w:r>
      <w:r w:rsidRPr="00CB5050">
        <w:rPr>
          <w:rFonts w:eastAsia="Times New Roman"/>
          <w:lang w:eastAsia="sl-SI"/>
        </w:rPr>
        <w:t xml:space="preserve"> št. 46632/13 in 28671/14, 99. odstavek; glej tudi sodno prakso SEU, navedeno v 35. odstavku).</w:t>
      </w:r>
    </w:p>
    <w:p w14:paraId="7AB9DCBF" w14:textId="77777777" w:rsidR="00695AE2" w:rsidRPr="00CB5050" w:rsidRDefault="00695AE2" w:rsidP="00695AE2">
      <w:pPr>
        <w:suppressAutoHyphens/>
        <w:spacing w:line="240" w:lineRule="auto"/>
        <w:jc w:val="both"/>
        <w:rPr>
          <w:rFonts w:eastAsia="Times New Roman"/>
          <w:i/>
          <w:lang w:eastAsia="sl-SI"/>
        </w:rPr>
      </w:pPr>
    </w:p>
    <w:p w14:paraId="47567EB4" w14:textId="77777777" w:rsidR="00695AE2" w:rsidRPr="00CB5050" w:rsidRDefault="00695AE2" w:rsidP="00695AE2">
      <w:pPr>
        <w:suppressAutoHyphens/>
        <w:spacing w:line="240" w:lineRule="auto"/>
        <w:jc w:val="both"/>
        <w:rPr>
          <w:rFonts w:eastAsia="Times New Roman"/>
          <w:bCs/>
          <w:i/>
          <w:iCs/>
          <w:color w:val="007466"/>
          <w:lang w:eastAsia="sl-SI"/>
        </w:rPr>
      </w:pPr>
      <w:r w:rsidRPr="00CB5050">
        <w:rPr>
          <w:rFonts w:eastAsia="Times New Roman"/>
          <w:bCs/>
          <w:i/>
          <w:iCs/>
          <w:color w:val="007466"/>
          <w:lang w:eastAsia="sl-SI"/>
        </w:rPr>
        <w:t>Uporaba teh načel v obravnavani zadevi</w:t>
      </w:r>
    </w:p>
    <w:p w14:paraId="5C4787D8" w14:textId="77777777" w:rsidR="00695AE2" w:rsidRPr="00CB5050" w:rsidRDefault="00695AE2" w:rsidP="00695AE2">
      <w:pPr>
        <w:suppressAutoHyphens/>
        <w:spacing w:line="240" w:lineRule="auto"/>
        <w:jc w:val="both"/>
        <w:rPr>
          <w:rFonts w:eastAsia="Times New Roman"/>
          <w:lang w:eastAsia="sl-SI"/>
        </w:rPr>
      </w:pPr>
    </w:p>
    <w:p w14:paraId="3F335C1C"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ESČP je zaradi medsebojne povezanosti zatrjevanih kršitev, tj. domnevnega pomanjkanja nepristranskosti predsedujočega sodnika in kršitve domneve nedolžnosti, oba vidika preučilo </w:t>
      </w:r>
      <w:r w:rsidRPr="00CB5050">
        <w:rPr>
          <w:rFonts w:eastAsia="Times New Roman"/>
          <w:lang w:eastAsia="sl-SI"/>
        </w:rPr>
        <w:lastRenderedPageBreak/>
        <w:t xml:space="preserve">skupaj. Ugotovilo je, da je bil senat, ki je obsodil pritožnika, sestavljen iz dveh sodnikov porotnikov in sodnika J. G. kot poklicnega sodnika. Za slednjega je treba šteti, da je glede na svoje izkušnje bolje usposobljen, da se odreče razpravi in ugotovitvam v prejšnjih postopkih proti P. K. in S. S. (glej zgoraj navedeno sodbo </w:t>
      </w:r>
      <w:r w:rsidRPr="00CB5050">
        <w:rPr>
          <w:rFonts w:eastAsia="Times New Roman"/>
          <w:i/>
          <w:lang w:eastAsia="sl-SI"/>
        </w:rPr>
        <w:t>Meng,</w:t>
      </w:r>
      <w:r w:rsidRPr="00CB5050">
        <w:rPr>
          <w:rFonts w:eastAsia="Times New Roman"/>
          <w:lang w:eastAsia="sl-SI"/>
        </w:rPr>
        <w:t xml:space="preserve"> 55. odstavek). ESČP je ugotovilo, da nič ne kaže na to, da je sodnik J. G. v postopku zoper tožečo stranko ravnal z osebnimi predsodki. Zato je treba domnevati njegovo </w:t>
      </w:r>
      <w:r w:rsidRPr="00CB5050">
        <w:rPr>
          <w:rFonts w:eastAsia="Times New Roman"/>
          <w:i/>
          <w:iCs/>
          <w:lang w:eastAsia="sl-SI"/>
        </w:rPr>
        <w:t>osebno nepristranskost</w:t>
      </w:r>
      <w:r w:rsidRPr="00CB5050">
        <w:rPr>
          <w:rFonts w:eastAsia="Times New Roman"/>
          <w:lang w:eastAsia="sl-SI"/>
        </w:rPr>
        <w:t xml:space="preserve">. Poleg tega je ugotovilo, da je sodni senat v postopku zoper pritožnika sam zaslišal priče, izvedence in listinske dokaze ter da je moral v sodbi, s katero je obsodil pritožnika, sprejeti svoje dejanske in pravne zaključke na podlagi izvedenih dokazov v postopku (primerjaj tudi z zgoraj navedeno sodbo </w:t>
      </w:r>
      <w:r w:rsidRPr="00CB5050">
        <w:rPr>
          <w:rFonts w:eastAsia="Times New Roman"/>
          <w:i/>
          <w:lang w:eastAsia="sl-SI"/>
        </w:rPr>
        <w:t>Mucha</w:t>
      </w:r>
      <w:r w:rsidRPr="00CB5050">
        <w:rPr>
          <w:rFonts w:eastAsia="Times New Roman"/>
          <w:lang w:eastAsia="sl-SI"/>
        </w:rPr>
        <w:t>, 51. odstavek).</w:t>
      </w:r>
    </w:p>
    <w:p w14:paraId="30617491" w14:textId="77777777" w:rsidR="00695AE2" w:rsidRPr="00CB5050" w:rsidRDefault="00695AE2" w:rsidP="00695AE2">
      <w:pPr>
        <w:suppressAutoHyphens/>
        <w:spacing w:line="240" w:lineRule="auto"/>
        <w:ind w:firstLine="340"/>
        <w:jc w:val="both"/>
        <w:rPr>
          <w:rFonts w:eastAsia="Times New Roman"/>
          <w:lang w:eastAsia="sl-SI"/>
        </w:rPr>
      </w:pPr>
    </w:p>
    <w:p w14:paraId="25C1A2B6"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Čeprav so to pomembni elementi pri preučitvi vprašanja, ali je prvostopenjsko sodišče v primeru pritožnika izpolnilo zahtevo po nepristranskosti iz prvega odstavka 6. člena, pa ESČP zaradi njih ni oproščeno preučitve, ali sta sodbi proti P. K. in S. S. vsebovali ugotovitve, ki so dejansko prejudicirale vprašanje krivde pritožnika in v </w:t>
      </w:r>
      <w:r w:rsidRPr="00CB5050">
        <w:rPr>
          <w:rFonts w:eastAsia="Times New Roman"/>
          <w:i/>
          <w:iCs/>
          <w:lang w:eastAsia="sl-SI"/>
        </w:rPr>
        <w:t>objektivnem smislu</w:t>
      </w:r>
      <w:r w:rsidRPr="00CB5050">
        <w:rPr>
          <w:rFonts w:eastAsia="Times New Roman"/>
          <w:lang w:eastAsia="sl-SI"/>
        </w:rPr>
        <w:t xml:space="preserve"> ogrozile nepristranskost sodnika, ki je pritožnika obsodil. V zvezi s tem je ESČP preučilo dve glavni vprašanji, in sicer, ali se je bilo treba v sodbah sklicevati na udeležbo pritožnika pri kaznivih dejanjih, za katera sta bili osebi P. K. in S. S. obsojeni, in če je odgovor pritrdilen, ali je bilo to sklicevanje omejeno (le) na to, kar je bilo potrebno za ugotovitev krivde oseb P. K. in S. S., in ali je bilo besedilo oblikovano tako, da se prepreči morebitna škoda za pritožnika.</w:t>
      </w:r>
    </w:p>
    <w:p w14:paraId="108BF743" w14:textId="77777777" w:rsidR="00695AE2" w:rsidRPr="00CB5050" w:rsidRDefault="00695AE2" w:rsidP="00695AE2">
      <w:pPr>
        <w:suppressAutoHyphens/>
        <w:spacing w:line="240" w:lineRule="auto"/>
        <w:ind w:firstLine="340"/>
        <w:jc w:val="both"/>
        <w:rPr>
          <w:rFonts w:eastAsia="Times New Roman"/>
          <w:lang w:eastAsia="sl-SI"/>
        </w:rPr>
      </w:pPr>
      <w:r w:rsidRPr="00CB5050">
        <w:rPr>
          <w:rFonts w:eastAsia="Times New Roman"/>
          <w:lang w:eastAsia="sl-SI"/>
        </w:rPr>
        <w:t xml:space="preserve"> </w:t>
      </w:r>
    </w:p>
    <w:p w14:paraId="64998254"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V zvezi z okoliščinami obravnavane zadeve je ESČP ugotovilo, da je bilo glede na naravo kaznivih dejanj, ki so bila očitana P. K. in S. S., sklicevanje na pritožnika in na njegovo vlogo morda neizogibno pri navajanju dejstev, ki so se nanašala na njuna kazniva dejanja. Vendar pa je moralo nadalje tudi presoditi, ali je glede</w:t>
      </w:r>
      <w:r w:rsidRPr="00CB5050">
        <w:rPr>
          <w:rFonts w:eastAsia="Times New Roman"/>
          <w:b/>
          <w:bCs/>
          <w:lang w:eastAsia="sl-SI"/>
        </w:rPr>
        <w:t xml:space="preserve"> </w:t>
      </w:r>
      <w:r w:rsidRPr="00CB5050">
        <w:rPr>
          <w:rFonts w:eastAsia="Times New Roman"/>
          <w:lang w:eastAsia="sl-SI"/>
        </w:rPr>
        <w:t>na raven podrobnosti in uporabljeno besedilo</w:t>
      </w:r>
      <w:r w:rsidRPr="00CB5050">
        <w:rPr>
          <w:rFonts w:eastAsia="Times New Roman"/>
          <w:b/>
          <w:bCs/>
          <w:lang w:eastAsia="sl-SI"/>
        </w:rPr>
        <w:t xml:space="preserve"> </w:t>
      </w:r>
      <w:r w:rsidRPr="00CB5050">
        <w:rPr>
          <w:rFonts w:eastAsia="Times New Roman"/>
          <w:lang w:eastAsia="sl-SI"/>
        </w:rPr>
        <w:t>to sklicevanje na pritožnika ogrozilo jamstva iz prvega in drugega odstavka 6. člena. Ugotovilo je, da sta sodbi, s katerima sta bila potrjena dogovora o priznanju krivde, vsebovali podroben opis dejstev v zvezi z njunimi kaznivimi dejanji, vključno z vlogo pritožnika v njih ter tudi dejanski opis kaznivih dejanj, ki so bila pripisana pritožniku. Čeprav ti sodbi nista vsebovali nobene izrecne ločene ugotovitve krivde pritožnika, sta v izreku navedli, da sta P. K. in S. S. pritožniku naklepoma pomagali pri storitvi kaznivega dejanja zlorabe položaja in da sta skupaj z nekaterimi drugimi posamezniki razpolagali s finančnim premoženjem, za katero sta vedeli, da je bilo pridobljeno s storitvijo kaznivih dejanj, katerih »storilec« je bil pritožnik. Zato se je zdelo, da je sodni senat opravil pravno presojo pritožnikovih dejanj, še preden mu je sodil.</w:t>
      </w:r>
    </w:p>
    <w:p w14:paraId="7029CB2C" w14:textId="77777777" w:rsidR="00695AE2" w:rsidRPr="00CB5050" w:rsidRDefault="00695AE2" w:rsidP="00695AE2">
      <w:pPr>
        <w:suppressAutoHyphens/>
        <w:spacing w:line="240" w:lineRule="auto"/>
        <w:ind w:firstLine="340"/>
        <w:jc w:val="both"/>
        <w:rPr>
          <w:rFonts w:eastAsia="Times New Roman"/>
          <w:lang w:eastAsia="sl-SI"/>
        </w:rPr>
      </w:pPr>
    </w:p>
    <w:p w14:paraId="0E643E17"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ESČP je poudarilo, da izpodbijane sodbe niso vsebovale le opisa dejanskega stanja domnevne vloge pritožnika, ampak so se nanašale tudi nanj, vključno z njenim izrekom, kot na osebo, ki je storila kaznivo dejanje zlorabe uradnega položaja. Sklicevanje na to, da je bil »storilec« tega kaznivega dejanja, ne dopušča nobenega dvoma o tem, kaj je govorilo sodišče. Navedeno je bilo polno ime pritožnika, sklici nanj pa niso bili oblikovani tako, da bi kazali na to, da je bil takrat zgolj obtožen in da je bil kazensko preganjan v ločenem kazenskem postopku (v nasprotju </w:t>
      </w:r>
      <w:r w:rsidRPr="00CB5050">
        <w:rPr>
          <w:rFonts w:eastAsia="Times New Roman"/>
          <w:iCs/>
          <w:lang w:eastAsia="sl-SI"/>
        </w:rPr>
        <w:t xml:space="preserve">s </w:t>
      </w:r>
      <w:bookmarkStart w:id="1204" w:name="_cl44347THELAW"/>
      <w:r w:rsidRPr="00CB5050">
        <w:rPr>
          <w:rFonts w:eastAsia="Times New Roman"/>
          <w:iCs/>
          <w:lang w:eastAsia="sl-SI"/>
        </w:rPr>
        <w:t>sodbo z dne 17. septembra 2024 v zadevi</w:t>
      </w:r>
      <w:r w:rsidRPr="00CB5050">
        <w:rPr>
          <w:rFonts w:eastAsia="Times New Roman"/>
          <w:i/>
          <w:lang w:eastAsia="sl-SI"/>
        </w:rPr>
        <w:t xml:space="preserve"> C. O. proti Nemčiji,</w:t>
      </w:r>
      <w:r w:rsidRPr="00CB5050">
        <w:rPr>
          <w:rFonts w:eastAsia="Times New Roman"/>
          <w:lang w:eastAsia="sl-SI"/>
        </w:rPr>
        <w:t xml:space="preserve"> </w:t>
      </w:r>
      <w:bookmarkEnd w:id="1204"/>
      <w:r w:rsidRPr="00CB5050">
        <w:rPr>
          <w:rFonts w:eastAsia="Times New Roman"/>
          <w:lang w:eastAsia="sl-SI"/>
        </w:rPr>
        <w:t xml:space="preserve">št. 16678/22, 68. odstavek). V obrazložitvi sodb, s katerimi sta bili obsojeni P. K. in S. S. (glej zgoraj navedeno sodbo </w:t>
      </w:r>
      <w:r w:rsidRPr="00CB5050">
        <w:rPr>
          <w:rFonts w:eastAsia="Times New Roman"/>
          <w:i/>
          <w:lang w:eastAsia="sl-SI"/>
        </w:rPr>
        <w:t>Mucha,</w:t>
      </w:r>
      <w:r w:rsidRPr="00CB5050">
        <w:rPr>
          <w:rFonts w:eastAsia="Times New Roman"/>
          <w:lang w:eastAsia="sl-SI"/>
        </w:rPr>
        <w:t xml:space="preserve"> 60. odstavek in sodno prakso SEU, navedeno v 35. odstavku; nasprotno </w:t>
      </w:r>
      <w:r w:rsidRPr="00CB5050">
        <w:rPr>
          <w:rFonts w:eastAsia="Times New Roman"/>
          <w:i/>
          <w:iCs/>
          <w:lang w:eastAsia="sl-SI"/>
        </w:rPr>
        <w:t>Karaman</w:t>
      </w:r>
      <w:r w:rsidRPr="00CB5050">
        <w:rPr>
          <w:rFonts w:eastAsia="Times New Roman"/>
          <w:lang w:eastAsia="sl-SI"/>
        </w:rPr>
        <w:t xml:space="preserve"> v 69. in 70. odstavku), ni nobenega pojasnila, da krivda pritožniku ni bila pravno dokazana. Ob upoštevanju navedenega, zlasti navedbe pritožnika kot storilca zadevnega kaznivega dejanja in podrobnega opisa njegovega ravnanja, ESČP ni bilo prepričano, da so bila </w:t>
      </w:r>
      <w:r w:rsidRPr="00CB5050">
        <w:rPr>
          <w:rFonts w:eastAsia="Times New Roman"/>
          <w:lang w:eastAsia="sl-SI"/>
        </w:rPr>
        <w:lastRenderedPageBreak/>
        <w:t xml:space="preserve">storjena zadostna prizadevanja, da bi se v največji možni meri preprečilo ustvarjanje vtisa, </w:t>
      </w:r>
      <w:r w:rsidRPr="00CB5050">
        <w:rPr>
          <w:rFonts w:eastAsia="Times New Roman"/>
          <w:iCs/>
          <w:lang w:eastAsia="sl-SI"/>
        </w:rPr>
        <w:t>da je bil pritožnik že spoznan za krivega</w:t>
      </w:r>
      <w:r w:rsidRPr="00CB5050">
        <w:rPr>
          <w:rFonts w:eastAsia="Times New Roman"/>
          <w:i/>
          <w:lang w:eastAsia="sl-SI"/>
        </w:rPr>
        <w:t xml:space="preserve"> (</w:t>
      </w:r>
      <w:r w:rsidRPr="00CB5050">
        <w:rPr>
          <w:rFonts w:eastAsia="Times New Roman"/>
          <w:iCs/>
          <w:lang w:eastAsia="sl-SI"/>
        </w:rPr>
        <w:t>nasprotno zgoraj navedena sodba</w:t>
      </w:r>
      <w:r w:rsidRPr="00CB5050">
        <w:rPr>
          <w:rFonts w:eastAsia="Times New Roman"/>
          <w:i/>
          <w:lang w:eastAsia="sl-SI"/>
        </w:rPr>
        <w:t xml:space="preserve"> Karaman,</w:t>
      </w:r>
      <w:r w:rsidRPr="00CB5050">
        <w:rPr>
          <w:rFonts w:eastAsia="Times New Roman"/>
          <w:lang w:eastAsia="sl-SI"/>
        </w:rPr>
        <w:t xml:space="preserve"> 70. odstavek).</w:t>
      </w:r>
    </w:p>
    <w:p w14:paraId="36AEA96F" w14:textId="77777777" w:rsidR="00695AE2" w:rsidRPr="00CB5050" w:rsidRDefault="00695AE2" w:rsidP="00695AE2">
      <w:pPr>
        <w:suppressAutoHyphens/>
        <w:spacing w:line="240" w:lineRule="auto"/>
        <w:ind w:firstLine="340"/>
        <w:jc w:val="both"/>
        <w:rPr>
          <w:rFonts w:eastAsia="Times New Roman"/>
          <w:lang w:eastAsia="sl-SI"/>
        </w:rPr>
      </w:pPr>
    </w:p>
    <w:p w14:paraId="65A6E030"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Glede na navedeno sta sodbi proti soobtoženima posegale v pravico pritožnika do domneve nedolžnosti, še preden mu je bila dokazana krivda. Poleg tega je ESČP opozorilo, da čeprav se razume, da se presoja dokazov v sodbi, ki temelji na sporazumu o priznanju krivde, kvalitativno razlikuje od presoje, opravljene ob koncu rednega sojenja, v katerem je bila sodba izdana na podlagi vseh predloženih dokazov, je moral sodnik J. G. kljub temu preučiti dokaze zoper P. K. in S. S. ter na podlagi teh dokazov ugotoviti, da sta storili zadevna kazniva dejanja. ESČP je menilo, da se je pritožnik upravičeno bal, da sodnik J. G., ki ga je na koncu obsodil (nasprotno, </w:t>
      </w:r>
      <w:r w:rsidRPr="00CB5050">
        <w:rPr>
          <w:rFonts w:eastAsia="Times New Roman"/>
          <w:i/>
          <w:lang w:eastAsia="sl-SI"/>
        </w:rPr>
        <w:t>mutatis mutandis,</w:t>
      </w:r>
      <w:r w:rsidRPr="00CB5050">
        <w:rPr>
          <w:rFonts w:eastAsia="Times New Roman"/>
          <w:lang w:eastAsia="sl-SI"/>
        </w:rPr>
        <w:t xml:space="preserve"> </w:t>
      </w:r>
      <w:r w:rsidRPr="00CB5050">
        <w:rPr>
          <w:rFonts w:eastAsia="Times New Roman"/>
          <w:iCs/>
          <w:lang w:eastAsia="sl-SI"/>
        </w:rPr>
        <w:t>zgoraj navedena sodba</w:t>
      </w:r>
      <w:r w:rsidRPr="00CB5050">
        <w:rPr>
          <w:rFonts w:eastAsia="Times New Roman"/>
          <w:i/>
          <w:lang w:eastAsia="sl-SI"/>
        </w:rPr>
        <w:t xml:space="preserve"> C. O. proti Nemčiji,</w:t>
      </w:r>
      <w:r w:rsidRPr="00CB5050">
        <w:rPr>
          <w:rFonts w:eastAsia="Times New Roman"/>
          <w:lang w:eastAsia="sl-SI"/>
        </w:rPr>
        <w:t xml:space="preserve"> 69. odstavek), ni bil nepristranski. ESČP je v zvezi s tem poudarilo, da ima lahko tudi videz določen pomen, ali z drugimi besedami, »</w:t>
      </w:r>
      <w:r w:rsidRPr="00CB5050">
        <w:rPr>
          <w:rFonts w:eastAsia="Times New Roman"/>
          <w:i/>
          <w:iCs/>
          <w:lang w:eastAsia="sl-SI"/>
        </w:rPr>
        <w:t>ni dovolj, da je pravici zadoščeno, tudi izgledati mora, da ji je zadoščeno</w:t>
      </w:r>
      <w:r w:rsidRPr="00CB5050">
        <w:rPr>
          <w:rFonts w:eastAsia="Times New Roman"/>
          <w:lang w:eastAsia="sl-SI"/>
        </w:rPr>
        <w:t xml:space="preserve">«. Gre za zaupanje, ki ga morajo sodišča v demokratični družbi vzbujati v javnosti (glej med mnogimi sodbi </w:t>
      </w:r>
      <w:bookmarkStart w:id="1205" w:name="_cl40691THELAW"/>
      <w:r w:rsidRPr="00CB5050">
        <w:rPr>
          <w:rFonts w:eastAsia="Times New Roman"/>
          <w:iCs/>
          <w:lang w:eastAsia="sl-SI"/>
        </w:rPr>
        <w:t>z dne 20. maja 2021 v zadevi</w:t>
      </w:r>
      <w:r w:rsidRPr="00CB5050">
        <w:rPr>
          <w:rFonts w:eastAsia="Times New Roman"/>
          <w:i/>
          <w:lang w:eastAsia="sl-SI"/>
        </w:rPr>
        <w:t xml:space="preserve"> Beg S.p.a. proti Italiji,</w:t>
      </w:r>
      <w:r w:rsidRPr="00CB5050">
        <w:rPr>
          <w:rFonts w:eastAsia="Times New Roman"/>
          <w:lang w:eastAsia="sl-SI"/>
        </w:rPr>
        <w:t xml:space="preserve"> </w:t>
      </w:r>
      <w:bookmarkEnd w:id="1205"/>
      <w:r w:rsidRPr="00CB5050">
        <w:rPr>
          <w:rFonts w:eastAsia="Times New Roman"/>
          <w:lang w:eastAsia="sl-SI"/>
        </w:rPr>
        <w:t xml:space="preserve">pritožba št. 5312/11, 132. odstavek in z dne 20. maja 2015 </w:t>
      </w:r>
      <w:r w:rsidRPr="00CB5050">
        <w:rPr>
          <w:rFonts w:eastAsia="Times New Roman"/>
          <w:iCs/>
          <w:lang w:eastAsia="sl-SI"/>
        </w:rPr>
        <w:t xml:space="preserve">v zadevi </w:t>
      </w:r>
      <w:r w:rsidRPr="00CB5050">
        <w:rPr>
          <w:rFonts w:eastAsia="Times New Roman"/>
          <w:i/>
          <w:lang w:eastAsia="sl-SI"/>
        </w:rPr>
        <w:t>Morice proti Franciji,</w:t>
      </w:r>
      <w:r w:rsidRPr="00CB5050">
        <w:rPr>
          <w:rFonts w:eastAsia="Times New Roman"/>
          <w:lang w:eastAsia="sl-SI"/>
        </w:rPr>
        <w:t> pritožba št. </w:t>
      </w:r>
      <w:hyperlink r:id="rId86" w:anchor="{%22appno%22:[%2229369/10%22]}" w:tgtFrame="_blank" w:history="1">
        <w:r w:rsidRPr="00CB5050">
          <w:rPr>
            <w:rFonts w:eastAsia="Times New Roman"/>
            <w:lang w:eastAsia="sl-SI"/>
          </w:rPr>
          <w:t>29369/10,</w:t>
        </w:r>
      </w:hyperlink>
      <w:r w:rsidRPr="00CB5050">
        <w:rPr>
          <w:rFonts w:eastAsia="Times New Roman"/>
          <w:lang w:eastAsia="sl-SI"/>
        </w:rPr>
        <w:t xml:space="preserve"> 78. odstavek).</w:t>
      </w:r>
    </w:p>
    <w:p w14:paraId="4DF37B9C" w14:textId="77777777" w:rsidR="00695AE2" w:rsidRPr="00CB5050" w:rsidRDefault="00695AE2" w:rsidP="00695AE2">
      <w:pPr>
        <w:suppressAutoHyphens/>
        <w:spacing w:line="240" w:lineRule="auto"/>
        <w:ind w:firstLine="340"/>
        <w:jc w:val="both"/>
        <w:rPr>
          <w:rFonts w:eastAsia="Times New Roman"/>
          <w:lang w:eastAsia="sl-SI"/>
        </w:rPr>
      </w:pPr>
    </w:p>
    <w:p w14:paraId="10D9F846"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 xml:space="preserve">Nazadnje je ESČP ugotovilo, da nacionalna sodišča, ki so obravnavala pritožnikova pravna sredstva, niso razveljavila sodbe prvostopenjskega sodišča zaradi kršitev konvencije, ki jih je ESČP ugotovilo v tej zadevi. Višje sodišče v Kopru in Vrhovno sodišče sta pri obravnavi pritožnikovih pravnih sredstev svojo presojo omejila na ugotovitev, da je bilo prvostopenjsko sodišče dolžno odločiti o krivdi pritožnika na podlagi dokazov, ki so bili preučeni v postopku zoper njega, in da je bilo ravnanje sodnika J. G. v skladu z nacionalnim pravom. Vendar v tej presoji niso bile upoštevane vse trditve pritožnika in niso bili preučeni pomembni vidiki domnevne kršitve zahteve po nepristranskosti. ESČP je tudi navedlo, da kljub temu, da je Ustavno sodišče že obravnavalo podobna vprašanja, se je odločilo, da ustavne pritožbe pritožnika ne bo sprejelo v obravnavo. ESČP je tudi ugotovilo, da nedavna odločba Ustavnega sodišča (št. Up-1083/21 in Up-1044/21 z dne 20. november 2024) odraža povečano skrb za varstvo pravice obtoženega do neodvisnega sodišča in domnevo nedolžnosti v položaju, kot je ta v obravnavani zadevi. Vendar pa ostaja dejstvo, da v obravnavanem primeru nacionalna hierarhično višja sodišča niso odpravila kršitev postopka na prvi stopnji. Zato je ugotovilo kršitev prvega in drugega odstavka 6. člena konvencije. </w:t>
      </w:r>
    </w:p>
    <w:p w14:paraId="15165ECA" w14:textId="77777777" w:rsidR="00695AE2" w:rsidRPr="00CB5050" w:rsidRDefault="00695AE2" w:rsidP="00695AE2">
      <w:pPr>
        <w:suppressAutoHyphens/>
        <w:spacing w:line="240" w:lineRule="auto"/>
        <w:ind w:firstLine="340"/>
        <w:jc w:val="both"/>
        <w:rPr>
          <w:rFonts w:eastAsia="Times New Roman"/>
          <w:lang w:eastAsia="sl-SI"/>
        </w:rPr>
      </w:pPr>
    </w:p>
    <w:p w14:paraId="163F1831" w14:textId="77777777" w:rsidR="00695AE2" w:rsidRPr="00CB5050" w:rsidRDefault="00695AE2" w:rsidP="00695AE2">
      <w:pPr>
        <w:suppressAutoHyphens/>
        <w:spacing w:line="240" w:lineRule="auto"/>
        <w:jc w:val="both"/>
        <w:rPr>
          <w:rFonts w:eastAsia="Times New Roman"/>
          <w:lang w:eastAsia="sl-SI"/>
        </w:rPr>
      </w:pPr>
      <w:r w:rsidRPr="00CB5050">
        <w:rPr>
          <w:rFonts w:eastAsia="Times New Roman"/>
          <w:lang w:eastAsia="sl-SI"/>
        </w:rPr>
        <w:t>ESČP je odločilo, da mora tožena pogodbenica pritožniku iz naslova nepremoženjske škode v treh mesecih od dokončnosti sodbe plačati 2.400,00 EUR ter 2.196,00 EUR za stroške in izdatke, skupaj z morebitnim davkom, ki se lahko zaračuna pritožniku.</w:t>
      </w:r>
    </w:p>
    <w:p w14:paraId="0D8FDB1B" w14:textId="77777777" w:rsidR="00695AE2" w:rsidRPr="00CB5050" w:rsidRDefault="00695AE2" w:rsidP="00695AE2">
      <w:pPr>
        <w:suppressAutoHyphens/>
        <w:spacing w:line="240" w:lineRule="auto"/>
        <w:jc w:val="both"/>
        <w:rPr>
          <w:rFonts w:eastAsia="Times New Roman"/>
          <w:lang w:eastAsia="sl-SI"/>
        </w:rPr>
      </w:pPr>
    </w:p>
    <w:p w14:paraId="62D56356" w14:textId="77777777" w:rsidR="00695AE2" w:rsidRPr="00CB5050" w:rsidRDefault="00695AE2" w:rsidP="00695AE2">
      <w:pPr>
        <w:pStyle w:val="Naslov4"/>
      </w:pPr>
      <w:bookmarkStart w:id="1206" w:name="g"/>
      <w:bookmarkStart w:id="1207" w:name="_Toc223094144"/>
      <w:bookmarkEnd w:id="1206"/>
      <w:r w:rsidRPr="00CB5050">
        <w:t>Sklepi o nesprejemljivosti pritožb zaradi očitne neutemeljenosti</w:t>
      </w:r>
      <w:bookmarkEnd w:id="1207"/>
    </w:p>
    <w:p w14:paraId="2F50D3DA" w14:textId="77777777" w:rsidR="00695AE2" w:rsidRPr="00CB5050" w:rsidRDefault="00695AE2" w:rsidP="00695AE2">
      <w:pPr>
        <w:spacing w:line="240" w:lineRule="auto"/>
        <w:rPr>
          <w:rFonts w:eastAsia="Aptos"/>
          <w:color w:val="007466"/>
          <w:szCs w:val="22"/>
        </w:rPr>
      </w:pPr>
    </w:p>
    <w:p w14:paraId="4ADC2477" w14:textId="77777777" w:rsidR="00695AE2" w:rsidRPr="00CB5050" w:rsidRDefault="00695AE2" w:rsidP="00695AE2">
      <w:pPr>
        <w:pStyle w:val="Naslov5"/>
        <w:rPr>
          <w:szCs w:val="22"/>
        </w:rPr>
      </w:pPr>
      <w:bookmarkStart w:id="1208" w:name="_Toc223094145"/>
      <w:r w:rsidRPr="00256503">
        <w:rPr>
          <w:i/>
          <w:iCs/>
        </w:rPr>
        <w:t>SIP NEPREMIČNINE d. o. o. proti Sloveniji</w:t>
      </w:r>
      <w:r w:rsidRPr="00CB5050">
        <w:t xml:space="preserve">, št. </w:t>
      </w:r>
      <w:r w:rsidRPr="00CB5050">
        <w:rPr>
          <w:szCs w:val="20"/>
          <w:lang w:eastAsia="sl-SI"/>
        </w:rPr>
        <w:t>26267/22</w:t>
      </w:r>
      <w:bookmarkEnd w:id="1208"/>
    </w:p>
    <w:p w14:paraId="7A6FD400" w14:textId="77777777" w:rsidR="00695AE2" w:rsidRPr="00CB5050" w:rsidRDefault="00695AE2" w:rsidP="00695AE2">
      <w:pPr>
        <w:spacing w:line="240" w:lineRule="auto"/>
        <w:jc w:val="both"/>
        <w:rPr>
          <w:rFonts w:eastAsia="Aptos"/>
          <w:b/>
          <w:i/>
        </w:rPr>
      </w:pPr>
    </w:p>
    <w:p w14:paraId="2F24FDFC" w14:textId="77777777" w:rsidR="00695AE2" w:rsidRPr="00CB5050" w:rsidRDefault="00695AE2" w:rsidP="00695AE2">
      <w:pPr>
        <w:spacing w:line="240" w:lineRule="auto"/>
        <w:jc w:val="both"/>
        <w:rPr>
          <w:rFonts w:eastAsia="Aptos"/>
          <w:bCs/>
          <w:iCs/>
        </w:rPr>
      </w:pPr>
      <w:r w:rsidRPr="00CB5050">
        <w:rPr>
          <w:rFonts w:eastAsia="Aptos"/>
          <w:bCs/>
          <w:iCs/>
        </w:rPr>
        <w:t xml:space="preserve">ESČP je dne 23. oktobra 2025 izdalo sklep, s katerim je ugotovilo, da je pritožba očitno neutemeljena in zato nedopustna. </w:t>
      </w:r>
    </w:p>
    <w:p w14:paraId="39307B4C" w14:textId="77777777" w:rsidR="00695AE2" w:rsidRPr="00CB5050" w:rsidRDefault="00695AE2" w:rsidP="00695AE2">
      <w:pPr>
        <w:spacing w:line="240" w:lineRule="auto"/>
        <w:jc w:val="both"/>
        <w:rPr>
          <w:rFonts w:eastAsia="Aptos"/>
          <w:bCs/>
          <w:iCs/>
        </w:rPr>
      </w:pPr>
    </w:p>
    <w:p w14:paraId="13F6E8C8" w14:textId="77777777" w:rsidR="00695AE2" w:rsidRPr="00CB5050" w:rsidRDefault="00695AE2" w:rsidP="00695AE2">
      <w:pPr>
        <w:spacing w:line="240" w:lineRule="auto"/>
        <w:jc w:val="both"/>
        <w:rPr>
          <w:rFonts w:eastAsia="Aptos"/>
          <w:bCs/>
          <w:iCs/>
        </w:rPr>
      </w:pPr>
      <w:r w:rsidRPr="00CB5050">
        <w:rPr>
          <w:rFonts w:eastAsia="Aptos"/>
          <w:bCs/>
          <w:iCs/>
        </w:rPr>
        <w:lastRenderedPageBreak/>
        <w:t>Pritožnica, gospodarska družba SIP NEPREMIČNINE d. o. o. iz Ljubljane, je zatrjevala kršitve konvencijskih pravic v zvezi z dvema gospodarskima sporoma pred Okrožnim sodiščem v Ljubljani. Prvi spor (VIII Pg 4620/2014) je bil dodeljen sodniku K., drugi (XI Pg 1384/2018) pa sodnici V. Slednja je oktobra 2018 odločila, da se spora združita v skupno obravnavanje, pri čemer je kot vodilnega določila spor iz leta 2018. Oba spora sta se nanašala na ugotovitev ničnosti prodajne pogodbe za kompleks kinodvoran s pripadajočim zemljiščem v Ljubljani, ki jo je pritožnica novembra 2014 sklenila z družbo Kolosej kinematografi d. o. o. Okrožno sodišče je zahtevku tožečih strank ugodilo in pogodbo razglasilo za nično, kar je potrdilo tudi sodišče druge stopnje.</w:t>
      </w:r>
    </w:p>
    <w:p w14:paraId="024CEFCA" w14:textId="77777777" w:rsidR="00695AE2" w:rsidRPr="00CB5050" w:rsidRDefault="00695AE2" w:rsidP="00695AE2">
      <w:pPr>
        <w:spacing w:line="240" w:lineRule="auto"/>
        <w:jc w:val="both"/>
        <w:rPr>
          <w:rFonts w:eastAsia="Aptos"/>
          <w:bCs/>
          <w:iCs/>
        </w:rPr>
      </w:pPr>
    </w:p>
    <w:p w14:paraId="5C97D586" w14:textId="77777777" w:rsidR="00695AE2" w:rsidRPr="00CB5050" w:rsidRDefault="00695AE2" w:rsidP="00695AE2">
      <w:pPr>
        <w:spacing w:line="240" w:lineRule="auto"/>
        <w:jc w:val="both"/>
        <w:rPr>
          <w:rFonts w:eastAsia="Aptos"/>
          <w:bCs/>
          <w:iCs/>
        </w:rPr>
      </w:pPr>
      <w:r w:rsidRPr="00CB5050">
        <w:rPr>
          <w:rFonts w:eastAsia="Aptos"/>
          <w:bCs/>
          <w:iCs/>
        </w:rPr>
        <w:t>Pritožnica je trdila, da ji je bila z določitvijo spora iz leta 2018 kot vodilnega kršena pravica do sodišča, ustanovljenega z zakonom (6. člen), saj bi moral biti kot vodilni določen starejši spor iz leta 2014. Odločitev sodnice naj bi bila samovoljna, nepredvidljiva in v nasprotju s Sodnim redom ter Ustavo RS. Po njenem mnenju si je sodnica s tem sama izbrala zadeve, kar krši načelo dodeljevanja po vnaprej določenih objektivnih pravilih. Pritožnica je izpostavila tudi določbo Letnega razporeda sodnikov Okrožnega sodišča v Ljubljani za leto 2018 (točka III.10), po kateri se ob združitvi zadev vse predodelijo sodniku, ki je sprejel sklep o združitvi, kar naj bi bilo v nasprotju s 161. členom Sodnega reda in 23. členom Ustave RS.</w:t>
      </w:r>
    </w:p>
    <w:p w14:paraId="47E757EA" w14:textId="77777777" w:rsidR="00695AE2" w:rsidRPr="00CB5050" w:rsidRDefault="00695AE2" w:rsidP="00695AE2">
      <w:pPr>
        <w:spacing w:line="240" w:lineRule="auto"/>
        <w:jc w:val="both"/>
        <w:rPr>
          <w:rFonts w:eastAsia="Aptos"/>
          <w:bCs/>
          <w:iCs/>
        </w:rPr>
      </w:pPr>
    </w:p>
    <w:p w14:paraId="11247B83" w14:textId="77777777" w:rsidR="00695AE2" w:rsidRPr="00CB5050" w:rsidRDefault="00695AE2" w:rsidP="00695AE2">
      <w:pPr>
        <w:spacing w:line="240" w:lineRule="auto"/>
        <w:jc w:val="both"/>
        <w:rPr>
          <w:rFonts w:eastAsia="Aptos"/>
          <w:bCs/>
          <w:iCs/>
        </w:rPr>
      </w:pPr>
      <w:r w:rsidRPr="00CB5050">
        <w:rPr>
          <w:rFonts w:eastAsia="Aptos"/>
          <w:bCs/>
          <w:iCs/>
        </w:rPr>
        <w:t>Poleg tega je zatrjevala pristranskost na obeh sodnih stopnjah. Za prvo stopnjo je navedla, da je bila sodnica vnaprej odločena o ničnosti pogodbe, kar naj bi izhajalo iz obrazložitve sodbe (XI Pg 1384/2018, 12. 7. 2019), kjer je zapisala, da je namen oškodovanja upnikov tako očiten, da dodatna pojasnila niso potrebna. Na 15. strani sodbe naj bi sodnica navedla, da jo argumenti tožeče stranke že prepričajo, dokazi pritožnice pa ne morejo spremeniti njenega stališča. Sodnica naj bi ignorirala glavne argumente pritožnice in sledila zaključkom tožeče stranke, kar je pritožnica poudarila v pritožbi. Sodišče druge stopnje je v sodbi (17. 2. 2021) zaključilo, da gre zgolj za očitke o kršitvi procesnih jamstev, čeprav je pritožnica svoje ugovore podrobno obrazložila. Zavrnitev dokaznih predlogov naj bi sodišče druge stopnje utemeljilo s tem, da je že prepričano o nasprotnem (17. točka sodbe).</w:t>
      </w:r>
    </w:p>
    <w:p w14:paraId="3FA2F95A" w14:textId="77777777" w:rsidR="00695AE2" w:rsidRPr="00CB5050" w:rsidRDefault="00695AE2" w:rsidP="00695AE2">
      <w:pPr>
        <w:spacing w:line="240" w:lineRule="auto"/>
        <w:jc w:val="both"/>
        <w:rPr>
          <w:rFonts w:eastAsia="Aptos"/>
          <w:bCs/>
          <w:iCs/>
        </w:rPr>
      </w:pPr>
    </w:p>
    <w:p w14:paraId="6A44C457" w14:textId="77777777" w:rsidR="00695AE2" w:rsidRPr="00CB5050" w:rsidRDefault="00695AE2" w:rsidP="00695AE2">
      <w:pPr>
        <w:spacing w:line="240" w:lineRule="auto"/>
        <w:jc w:val="both"/>
        <w:rPr>
          <w:rFonts w:eastAsia="Aptos"/>
          <w:bCs/>
          <w:iCs/>
          <w:color w:val="007466"/>
        </w:rPr>
      </w:pPr>
      <w:r w:rsidRPr="00CB5050">
        <w:rPr>
          <w:rFonts w:eastAsia="Aptos"/>
          <w:bCs/>
          <w:iCs/>
          <w:color w:val="007466"/>
        </w:rPr>
        <w:t>Presoja ESČP</w:t>
      </w:r>
    </w:p>
    <w:p w14:paraId="6B2D24DB" w14:textId="77777777" w:rsidR="00695AE2" w:rsidRPr="00CB5050" w:rsidRDefault="00695AE2" w:rsidP="00695AE2">
      <w:pPr>
        <w:spacing w:line="240" w:lineRule="auto"/>
        <w:jc w:val="both"/>
        <w:rPr>
          <w:rFonts w:eastAsia="Aptos"/>
          <w:bCs/>
          <w:iCs/>
          <w:color w:val="007466"/>
        </w:rPr>
      </w:pPr>
    </w:p>
    <w:p w14:paraId="3DEBCAF0" w14:textId="77777777" w:rsidR="00695AE2" w:rsidRPr="00CB5050" w:rsidRDefault="00695AE2" w:rsidP="00695AE2">
      <w:pPr>
        <w:spacing w:line="240" w:lineRule="auto"/>
        <w:jc w:val="both"/>
        <w:rPr>
          <w:rFonts w:eastAsia="Aptos"/>
          <w:bCs/>
          <w:i/>
          <w:color w:val="007466"/>
        </w:rPr>
      </w:pPr>
      <w:r w:rsidRPr="00CB5050">
        <w:rPr>
          <w:rFonts w:eastAsia="Aptos"/>
          <w:bCs/>
          <w:i/>
          <w:color w:val="007466"/>
        </w:rPr>
        <w:t xml:space="preserve">Glede zatrjevane kršitve pravice do sodišča, ustanovljenega z zakonom </w:t>
      </w:r>
    </w:p>
    <w:p w14:paraId="19D529E3" w14:textId="77777777" w:rsidR="00695AE2" w:rsidRPr="00CB5050" w:rsidRDefault="00695AE2" w:rsidP="00695AE2">
      <w:pPr>
        <w:spacing w:line="240" w:lineRule="auto"/>
        <w:jc w:val="both"/>
        <w:rPr>
          <w:rFonts w:eastAsia="Aptos"/>
          <w:bCs/>
          <w:iCs/>
        </w:rPr>
      </w:pPr>
    </w:p>
    <w:p w14:paraId="21B4B4FF" w14:textId="77777777" w:rsidR="00695AE2" w:rsidRPr="00CB5050" w:rsidRDefault="00695AE2" w:rsidP="00695AE2">
      <w:pPr>
        <w:spacing w:line="240" w:lineRule="auto"/>
        <w:jc w:val="both"/>
        <w:rPr>
          <w:rFonts w:eastAsia="Aptos"/>
          <w:bCs/>
          <w:iCs/>
        </w:rPr>
      </w:pPr>
      <w:r w:rsidRPr="00CB5050">
        <w:rPr>
          <w:rFonts w:eastAsia="Aptos"/>
          <w:bCs/>
          <w:iCs/>
        </w:rPr>
        <w:t>ESČP je ugotovilo, da so bila relevantna pravila o dodeljevanju zadev sodnikom v primeru njihove združitve v skupno obravnavanje vnaprej določena in javno objavljena. Prav tako ni bilo sporno, da je bil spor iz leta 2018 dodeljen sodnici V. v skladu z nacionalnim pravom, kar ustreza zahtevi iz prvega odstavka 6. člena konvencije (19. odstavek sklepa).</w:t>
      </w:r>
    </w:p>
    <w:p w14:paraId="2C9051B6" w14:textId="77777777" w:rsidR="00695AE2" w:rsidRPr="00CB5050" w:rsidRDefault="00695AE2" w:rsidP="00695AE2">
      <w:pPr>
        <w:spacing w:line="240" w:lineRule="auto"/>
        <w:jc w:val="both"/>
        <w:rPr>
          <w:rFonts w:eastAsia="Aptos"/>
          <w:bCs/>
          <w:iCs/>
        </w:rPr>
      </w:pPr>
    </w:p>
    <w:p w14:paraId="379B7A00" w14:textId="77777777" w:rsidR="00695AE2" w:rsidRPr="00CB5050" w:rsidRDefault="00695AE2" w:rsidP="00695AE2">
      <w:pPr>
        <w:spacing w:line="240" w:lineRule="auto"/>
        <w:jc w:val="both"/>
        <w:rPr>
          <w:rFonts w:eastAsia="Aptos"/>
          <w:bCs/>
          <w:iCs/>
        </w:rPr>
      </w:pPr>
      <w:r w:rsidRPr="00CB5050">
        <w:rPr>
          <w:rFonts w:eastAsia="Aptos"/>
          <w:bCs/>
          <w:iCs/>
        </w:rPr>
        <w:t>Ugotovilo je tudi, da Zakon o sodiščih in Sodni red vsebujeta splošne določbe o postopkovnih vprašanjih ter izrecno dopuščata, da se nekatera vprašanja uredijo v letnem razporedu sodnikov. Ob potrditvi, da Sodni red ureja zgolj položaj, ko o združitvi zadev odloči sodnik, ki vodi najstarejšo zadevo, je Sodišče sprejelo argumentacijo vlade, da je treba zadevno določbo razlagati celostno – ob upoštevanju letnega razporeda za leto 2018 in Zakona o pravdnem postopku (ZPP).</w:t>
      </w:r>
    </w:p>
    <w:p w14:paraId="62A42565" w14:textId="77777777" w:rsidR="00695AE2" w:rsidRPr="00CB5050" w:rsidRDefault="00695AE2" w:rsidP="00695AE2">
      <w:pPr>
        <w:spacing w:line="240" w:lineRule="auto"/>
        <w:jc w:val="both"/>
        <w:rPr>
          <w:rFonts w:eastAsia="Aptos"/>
          <w:bCs/>
          <w:iCs/>
        </w:rPr>
      </w:pPr>
    </w:p>
    <w:p w14:paraId="4E3B73E6" w14:textId="77777777" w:rsidR="00695AE2" w:rsidRPr="00CB5050" w:rsidRDefault="00695AE2" w:rsidP="00695AE2">
      <w:pPr>
        <w:spacing w:line="240" w:lineRule="auto"/>
        <w:jc w:val="both"/>
        <w:rPr>
          <w:rFonts w:eastAsia="Aptos"/>
          <w:bCs/>
          <w:iCs/>
        </w:rPr>
      </w:pPr>
      <w:r w:rsidRPr="00CB5050">
        <w:rPr>
          <w:rFonts w:eastAsia="Aptos"/>
          <w:bCs/>
          <w:iCs/>
        </w:rPr>
        <w:lastRenderedPageBreak/>
        <w:t>ESČP je ugotovilo, da ZPP, ki je veljal tudi za obravnavani postopek, določa podrobna pravila pravdnega postopka, pri čemer v 300. členu zgolj splošno določa, da »senat lahko združi zadeve«, ne da bi omejeval pristojnost za odločanje o združitvi zgolj na sodnika, ki vodi najstarejšo zadevo. Letni razpored za leto 2018 je vseboval natančna pravila o dodeljevanju zadev sodnikom in o postopku združitve, s čimer je konkretiziral splošni okvir iz Sodnega reda in ZPP (21. odstavek).</w:t>
      </w:r>
    </w:p>
    <w:p w14:paraId="59DA2116" w14:textId="77777777" w:rsidR="00695AE2" w:rsidRPr="00CB5050" w:rsidRDefault="00695AE2" w:rsidP="00695AE2">
      <w:pPr>
        <w:spacing w:line="240" w:lineRule="auto"/>
        <w:jc w:val="both"/>
        <w:rPr>
          <w:rFonts w:eastAsia="Aptos"/>
          <w:bCs/>
          <w:iCs/>
        </w:rPr>
      </w:pPr>
    </w:p>
    <w:p w14:paraId="20341D5D" w14:textId="77777777" w:rsidR="00695AE2" w:rsidRPr="00CB5050" w:rsidRDefault="00695AE2" w:rsidP="00695AE2">
      <w:pPr>
        <w:spacing w:line="240" w:lineRule="auto"/>
        <w:jc w:val="both"/>
        <w:rPr>
          <w:rFonts w:eastAsia="Aptos"/>
          <w:bCs/>
          <w:iCs/>
        </w:rPr>
      </w:pPr>
      <w:r w:rsidRPr="00CB5050">
        <w:rPr>
          <w:rFonts w:eastAsia="Aptos"/>
          <w:bCs/>
          <w:iCs/>
        </w:rPr>
        <w:t>Ob upoštevanju navedenega ter dejstva, da je razlaga in presoja skladnosti z domačo zakonodajo primarno naloga nacionalnih organov, je ESČP sprejelo razlago domačih sodišč in vlade kot prepričljivo. Pritrdilo je stališču, da letni razpored za leto 2018, ki je določal, da se v primeru združitve zadeve dodelijo sodniku, ki je o združitvi odločil, ni v nasprotju z določbo 161. člena Sodnega reda, temveč to določbo dopolnjuje in operacionalizira (22. odstavek).</w:t>
      </w:r>
    </w:p>
    <w:p w14:paraId="0A57407F" w14:textId="77777777" w:rsidR="00695AE2" w:rsidRPr="00CB5050" w:rsidRDefault="00695AE2" w:rsidP="00695AE2">
      <w:pPr>
        <w:spacing w:line="240" w:lineRule="auto"/>
        <w:jc w:val="both"/>
        <w:rPr>
          <w:rFonts w:eastAsia="Aptos"/>
          <w:bCs/>
          <w:iCs/>
        </w:rPr>
      </w:pPr>
    </w:p>
    <w:p w14:paraId="5051F518" w14:textId="77777777" w:rsidR="00695AE2" w:rsidRPr="00CB5050" w:rsidRDefault="00695AE2" w:rsidP="00695AE2">
      <w:pPr>
        <w:spacing w:line="240" w:lineRule="auto"/>
        <w:jc w:val="both"/>
        <w:rPr>
          <w:rFonts w:eastAsia="Aptos"/>
          <w:bCs/>
          <w:iCs/>
        </w:rPr>
      </w:pPr>
      <w:r w:rsidRPr="00CB5050">
        <w:rPr>
          <w:rFonts w:eastAsia="Aptos"/>
          <w:bCs/>
          <w:iCs/>
        </w:rPr>
        <w:t>ESČP je poudarilo pomen učinkovitega in hitrega sojenja ter potrebo po določeni fleksibilnosti pri upravljanju sodnih zadev. V tej zvezi je ugotovilo, da ZPP določa možnost združitve zadev v skupno obravnavanje, kadar bi to prispevalo k hitrejši obravnavi in znižanju stroškov. Ob tem je ugotovilo, da je bil predlog za združitev podan s strani stranke v sporu iz leta 2018, da se je pritožnica z združitvijo strinjala, ter da bi dodelitev zadev sodniku K., ki se je nameraval kmalu upokojiti, podaljšala trajanje postopka. Takšna rešitev bi bila v nasprotju z osnovnim namenom združitve zadev v skupno obravnavanje (23. odstavek).</w:t>
      </w:r>
    </w:p>
    <w:p w14:paraId="733472F5" w14:textId="77777777" w:rsidR="00695AE2" w:rsidRPr="00CB5050" w:rsidRDefault="00695AE2" w:rsidP="00695AE2">
      <w:pPr>
        <w:spacing w:line="240" w:lineRule="auto"/>
        <w:jc w:val="both"/>
        <w:rPr>
          <w:rFonts w:eastAsia="Aptos"/>
          <w:bCs/>
          <w:iCs/>
        </w:rPr>
      </w:pPr>
    </w:p>
    <w:p w14:paraId="3E2B07A8" w14:textId="77777777" w:rsidR="00695AE2" w:rsidRPr="00CB5050" w:rsidRDefault="00695AE2" w:rsidP="00695AE2">
      <w:pPr>
        <w:spacing w:line="240" w:lineRule="auto"/>
        <w:jc w:val="both"/>
        <w:rPr>
          <w:rFonts w:eastAsia="Aptos"/>
          <w:bCs/>
          <w:iCs/>
        </w:rPr>
      </w:pPr>
      <w:r w:rsidRPr="00CB5050">
        <w:rPr>
          <w:rFonts w:eastAsia="Aptos"/>
          <w:bCs/>
          <w:iCs/>
        </w:rPr>
        <w:t>ESČP je še izpostavilo, da je namen domačih pravil o dodeljevanju zadev zagotoviti naključnost. Ker sta bila oba spora že v začetku naključno dodeljena različnima sodnikoma v skladu z veljavnimi pravili, je bila njuna poznejša združitev z odločitvijo enega izmed njiju – ob upoštevanju konkretnih okoliščin zadeve – skladna z načelom naključne dodelitve (24. odstavek).</w:t>
      </w:r>
    </w:p>
    <w:p w14:paraId="13D18C2E" w14:textId="77777777" w:rsidR="00695AE2" w:rsidRPr="00CB5050" w:rsidRDefault="00695AE2" w:rsidP="00695AE2">
      <w:pPr>
        <w:spacing w:line="240" w:lineRule="auto"/>
        <w:jc w:val="both"/>
        <w:rPr>
          <w:rFonts w:eastAsia="Aptos"/>
          <w:bCs/>
          <w:iCs/>
        </w:rPr>
      </w:pPr>
    </w:p>
    <w:p w14:paraId="68FB7383" w14:textId="77777777" w:rsidR="00695AE2" w:rsidRPr="00CB5050" w:rsidRDefault="00695AE2" w:rsidP="00695AE2">
      <w:pPr>
        <w:spacing w:line="240" w:lineRule="auto"/>
        <w:jc w:val="both"/>
        <w:rPr>
          <w:rFonts w:eastAsia="Aptos"/>
          <w:bCs/>
          <w:i/>
          <w:color w:val="007466"/>
        </w:rPr>
      </w:pPr>
      <w:r w:rsidRPr="00CB5050">
        <w:rPr>
          <w:rFonts w:eastAsia="Aptos"/>
          <w:bCs/>
          <w:i/>
          <w:color w:val="007466"/>
        </w:rPr>
        <w:t>Glede zatrjevane kršitve pravice do nepristranskega sodišča</w:t>
      </w:r>
    </w:p>
    <w:p w14:paraId="118B4847" w14:textId="77777777" w:rsidR="00695AE2" w:rsidRPr="00CB5050" w:rsidRDefault="00695AE2" w:rsidP="00695AE2">
      <w:pPr>
        <w:spacing w:line="240" w:lineRule="auto"/>
        <w:jc w:val="both"/>
        <w:rPr>
          <w:rFonts w:eastAsia="Aptos"/>
          <w:bCs/>
          <w:iCs/>
        </w:rPr>
      </w:pPr>
    </w:p>
    <w:p w14:paraId="27607D8C" w14:textId="77777777" w:rsidR="00695AE2" w:rsidRPr="00CB5050" w:rsidRDefault="00695AE2" w:rsidP="00695AE2">
      <w:pPr>
        <w:spacing w:line="240" w:lineRule="auto"/>
        <w:jc w:val="both"/>
        <w:rPr>
          <w:rFonts w:eastAsia="Aptos"/>
          <w:bCs/>
          <w:iCs/>
        </w:rPr>
      </w:pPr>
      <w:r w:rsidRPr="00CB5050">
        <w:rPr>
          <w:rFonts w:eastAsia="Aptos"/>
          <w:bCs/>
          <w:iCs/>
        </w:rPr>
        <w:t>ESČP je zatrjevano kršitev presojalo z uporabo subjektivnega testa (ki se nanaša na osebno prepričanje in vedenje posameznega sodnika) ter objektivnega testa (ki preverja, ali je sodišče – tudi glede svoje sestave – zagotavljalo zadostna jamstva za izključitev vsakršnega upravičenega dvoma o nepristranskosti; 26. odstavek).</w:t>
      </w:r>
    </w:p>
    <w:p w14:paraId="3BBD2EB7" w14:textId="77777777" w:rsidR="00695AE2" w:rsidRPr="00CB5050" w:rsidRDefault="00695AE2" w:rsidP="00695AE2">
      <w:pPr>
        <w:spacing w:line="240" w:lineRule="auto"/>
        <w:jc w:val="both"/>
        <w:rPr>
          <w:rFonts w:eastAsia="Aptos"/>
          <w:bCs/>
          <w:iCs/>
        </w:rPr>
      </w:pPr>
    </w:p>
    <w:p w14:paraId="63B5E790" w14:textId="77777777" w:rsidR="00695AE2" w:rsidRPr="00CB5050" w:rsidRDefault="00695AE2" w:rsidP="00695AE2">
      <w:pPr>
        <w:spacing w:line="240" w:lineRule="auto"/>
        <w:jc w:val="both"/>
        <w:rPr>
          <w:rFonts w:eastAsia="Aptos"/>
          <w:bCs/>
          <w:iCs/>
        </w:rPr>
      </w:pPr>
      <w:r w:rsidRPr="00CB5050">
        <w:rPr>
          <w:rFonts w:eastAsia="Aptos"/>
          <w:bCs/>
          <w:iCs/>
        </w:rPr>
        <w:t>Pri presoji po objektivnem testu se je ESČP sklicevalo na svoje ugotovitve in zaključke v zvezi z domnevno kršitvijo pravice do sodišča, ustanovljenega z zakonom. Glede subjektivnega testa pa je ugotovilo, da je sodišče druge stopnje že presodilo, da pritožničine trditve o domnevni pristranskosti sodnice temeljijo zgolj na njenem nestrinjanju s procesnim vodenjem postopka ter sodničino pravno presojo. ESČP ni videlo razloga, da bi odstopilo od te ugotovitve, saj pritožnica ni predložila nobenega gradiva, ki bi lahko vzbudilo upravičen dvom o nepristranskosti.</w:t>
      </w:r>
    </w:p>
    <w:p w14:paraId="54816B49" w14:textId="77777777" w:rsidR="00695AE2" w:rsidRPr="00CB5050" w:rsidRDefault="00695AE2" w:rsidP="00695AE2">
      <w:pPr>
        <w:spacing w:line="240" w:lineRule="auto"/>
        <w:jc w:val="both"/>
        <w:rPr>
          <w:rFonts w:eastAsia="Aptos"/>
          <w:bCs/>
          <w:iCs/>
        </w:rPr>
      </w:pPr>
    </w:p>
    <w:p w14:paraId="03FD9F8C" w14:textId="77777777" w:rsidR="00695AE2" w:rsidRPr="00CB5050" w:rsidRDefault="00695AE2" w:rsidP="00695AE2">
      <w:pPr>
        <w:spacing w:line="240" w:lineRule="auto"/>
        <w:jc w:val="both"/>
        <w:rPr>
          <w:rFonts w:eastAsia="Aptos"/>
          <w:bCs/>
          <w:iCs/>
        </w:rPr>
      </w:pPr>
      <w:r w:rsidRPr="00CB5050">
        <w:rPr>
          <w:rFonts w:eastAsia="Aptos"/>
          <w:bCs/>
          <w:iCs/>
        </w:rPr>
        <w:t>Na tej podlagi je ESČP zaključilo, da izseki sodb, na katere se je sklicevala pritožnica, ne kažejo na pristranskost sodnice, saj se nanašajo na predhodne dejanske ugotovitve in pravna stališča, izražena v sodbi (28. odstavek).</w:t>
      </w:r>
    </w:p>
    <w:p w14:paraId="33DE7109" w14:textId="77777777" w:rsidR="00695AE2" w:rsidRPr="00CB5050" w:rsidRDefault="00695AE2" w:rsidP="00695AE2">
      <w:pPr>
        <w:spacing w:line="240" w:lineRule="auto"/>
        <w:jc w:val="both"/>
        <w:rPr>
          <w:rFonts w:eastAsia="Aptos"/>
        </w:rPr>
      </w:pPr>
      <w:r w:rsidRPr="00CB5050">
        <w:rPr>
          <w:rFonts w:eastAsia="Aptos"/>
        </w:rPr>
        <w:t xml:space="preserve"> </w:t>
      </w:r>
    </w:p>
    <w:p w14:paraId="77A3426E" w14:textId="77777777" w:rsidR="00695AE2" w:rsidRPr="00CB5050" w:rsidRDefault="00695AE2" w:rsidP="00695AE2">
      <w:pPr>
        <w:pStyle w:val="Naslov5"/>
        <w:rPr>
          <w:szCs w:val="22"/>
        </w:rPr>
      </w:pPr>
      <w:bookmarkStart w:id="1209" w:name="_Toc223094146"/>
      <w:r w:rsidRPr="00CB5050">
        <w:rPr>
          <w:i/>
          <w:iCs/>
          <w:lang w:eastAsia="sl-SI"/>
        </w:rPr>
        <w:lastRenderedPageBreak/>
        <w:t>Janković proti Sloveniji</w:t>
      </w:r>
      <w:r w:rsidRPr="00CB5050">
        <w:rPr>
          <w:lang w:eastAsia="sl-SI"/>
        </w:rPr>
        <w:t>, št. 15118/22</w:t>
      </w:r>
      <w:bookmarkEnd w:id="1209"/>
    </w:p>
    <w:p w14:paraId="4D385FD6" w14:textId="77777777" w:rsidR="00695AE2" w:rsidRPr="00CB5050" w:rsidRDefault="00695AE2" w:rsidP="00695AE2">
      <w:pPr>
        <w:spacing w:line="240" w:lineRule="auto"/>
        <w:jc w:val="both"/>
        <w:rPr>
          <w:rFonts w:eastAsia="Aptos"/>
          <w:szCs w:val="22"/>
        </w:rPr>
      </w:pPr>
    </w:p>
    <w:p w14:paraId="06C1618C" w14:textId="77777777" w:rsidR="00695AE2" w:rsidRPr="00CB5050" w:rsidRDefault="00695AE2" w:rsidP="00695AE2">
      <w:pPr>
        <w:spacing w:line="240" w:lineRule="auto"/>
        <w:jc w:val="both"/>
        <w:rPr>
          <w:rFonts w:eastAsia="Aptos"/>
          <w:bCs/>
          <w:szCs w:val="22"/>
        </w:rPr>
      </w:pPr>
      <w:r w:rsidRPr="00CB5050">
        <w:rPr>
          <w:rFonts w:eastAsia="Aptos"/>
          <w:bCs/>
          <w:szCs w:val="22"/>
        </w:rPr>
        <w:t xml:space="preserve">ESČP je dne 9. oktobra 2025 izdalo sklep, s katerim je ugotovilo, da je pritožba očitno neutemeljena. </w:t>
      </w:r>
    </w:p>
    <w:p w14:paraId="43C7F24E" w14:textId="77777777" w:rsidR="00695AE2" w:rsidRPr="00CB5050" w:rsidRDefault="00695AE2" w:rsidP="00695AE2">
      <w:pPr>
        <w:spacing w:line="240" w:lineRule="auto"/>
        <w:jc w:val="both"/>
        <w:rPr>
          <w:rFonts w:eastAsia="Aptos"/>
          <w:bCs/>
          <w:szCs w:val="22"/>
        </w:rPr>
      </w:pPr>
    </w:p>
    <w:p w14:paraId="68A767E2" w14:textId="77777777" w:rsidR="00695AE2" w:rsidRPr="00CB5050" w:rsidRDefault="00695AE2" w:rsidP="00695AE2">
      <w:pPr>
        <w:spacing w:line="240" w:lineRule="auto"/>
        <w:jc w:val="both"/>
        <w:rPr>
          <w:rFonts w:eastAsia="Aptos"/>
          <w:bCs/>
          <w:szCs w:val="22"/>
        </w:rPr>
      </w:pPr>
      <w:r w:rsidRPr="00CB5050">
        <w:rPr>
          <w:rFonts w:eastAsia="Aptos"/>
          <w:bCs/>
          <w:szCs w:val="22"/>
        </w:rPr>
        <w:t xml:space="preserve">Pritožnik je v pritožbi navajal, da je Komisija za preprečevanje korupcije (KPK) vodila postopek nadzora nad njegovim premoženjskim stanjem ter v letu 2013 izdala Zaključno poročilo, v katerem je ugotovila kršitev več določb Zakona o integriteti in preprečevanju korupcije (ZIntPK). Vrhovno sodišče je navedeno poročilo odpravilo in naložilo KPK, da njegovo objavo v delu, ki se nanaša na pritožnika, odstrani s svoje spletne strani. V ponovljenem postopku nadzora nad premoženjskim stanjem pritožnika je KPK novembra leta 2015 izdala nove Zaključne ugotovitve, ki so bile po navedbah pritožnika identične ugotovitvam v Zaključnem poročilu iz leta 2013. Iz njih izhaja, da je pritožnik v obdobju med 2006 in 2012 kršil zakonske določbe s tem, ko KPK ni prijavil ali ni v zakonskem roku prijavil premoženja oziroma sprememb premoženjskega stanja, ki se je nanašalo na lastništvo dela nepremičnin, vrednostnih papirjev ter gotovine na bančnih računih. KPK je tudi ugotovila izrazito korupcijsko tveganje, tveganje, povezano z nedopustnim lobiranjem, in konflikt interesov med družbo, ki je v obravnavanem obdobju sklepala posle z mestom Ljubljana, in med gospodarskimi subjekti v vplivnem krogu družine Janković. Upravno sodišče je zavrnilo tožbo pritožnika in ugotovilo, da pritožnikove pravice v postopku pred KPK niso bile kršene. Prav tako je Vrhovno sodišče zavrnilo revizijo pritožnika. Ustavno sodišče ustavne pritožbe ni sprejelo v obravnavo. </w:t>
      </w:r>
    </w:p>
    <w:p w14:paraId="7949493A" w14:textId="77777777" w:rsidR="00695AE2" w:rsidRPr="00CB5050" w:rsidRDefault="00695AE2" w:rsidP="00695AE2">
      <w:pPr>
        <w:spacing w:line="240" w:lineRule="auto"/>
        <w:jc w:val="both"/>
        <w:rPr>
          <w:rFonts w:eastAsia="Aptos"/>
          <w:bCs/>
          <w:szCs w:val="22"/>
        </w:rPr>
      </w:pPr>
    </w:p>
    <w:p w14:paraId="0B8B2724" w14:textId="77777777" w:rsidR="00695AE2" w:rsidRPr="00CB5050" w:rsidRDefault="00695AE2" w:rsidP="00695AE2">
      <w:pPr>
        <w:spacing w:line="240" w:lineRule="auto"/>
        <w:jc w:val="both"/>
        <w:rPr>
          <w:rFonts w:eastAsia="Aptos"/>
          <w:szCs w:val="22"/>
        </w:rPr>
      </w:pPr>
      <w:r w:rsidRPr="00CB5050">
        <w:rPr>
          <w:rFonts w:eastAsia="Aptos"/>
          <w:bCs/>
          <w:szCs w:val="22"/>
        </w:rPr>
        <w:t xml:space="preserve">Pritožnik je </w:t>
      </w:r>
      <w:r w:rsidRPr="00CB5050">
        <w:rPr>
          <w:rFonts w:eastAsia="Aptos"/>
          <w:szCs w:val="22"/>
        </w:rPr>
        <w:t xml:space="preserve">v pritožbi navajal, da je objava poročila KPK sprožila politično krizo v Sloveniji, zaradi česar je odstopil z mesta predsednika največje parlamentarne stranke, njegov ugled pa je bil okrnjen. </w:t>
      </w:r>
    </w:p>
    <w:p w14:paraId="7469474C" w14:textId="77777777" w:rsidR="00695AE2" w:rsidRPr="00CB5050" w:rsidRDefault="00695AE2" w:rsidP="00695AE2">
      <w:pPr>
        <w:spacing w:line="240" w:lineRule="auto"/>
        <w:jc w:val="both"/>
        <w:rPr>
          <w:rFonts w:eastAsia="Aptos"/>
          <w:szCs w:val="22"/>
        </w:rPr>
      </w:pPr>
    </w:p>
    <w:p w14:paraId="05E129CC" w14:textId="77777777" w:rsidR="00695AE2" w:rsidRPr="00CB5050" w:rsidRDefault="00695AE2" w:rsidP="00695AE2">
      <w:pPr>
        <w:spacing w:line="240" w:lineRule="auto"/>
        <w:jc w:val="both"/>
        <w:rPr>
          <w:rFonts w:eastAsia="Aptos"/>
          <w:bCs/>
          <w:szCs w:val="22"/>
        </w:rPr>
      </w:pPr>
      <w:r w:rsidRPr="00CB5050">
        <w:rPr>
          <w:rFonts w:eastAsia="Aptos"/>
          <w:szCs w:val="22"/>
        </w:rPr>
        <w:t>Pritožnik je z</w:t>
      </w:r>
      <w:r w:rsidRPr="00CB5050">
        <w:rPr>
          <w:rFonts w:eastAsia="Aptos"/>
          <w:bCs/>
          <w:szCs w:val="22"/>
        </w:rPr>
        <w:t>atrjeval kršitev več človekovih pravic, ESČP pa se je osredotočilo na zatrjevano kršitev, da je Upravno sodišče pritožnikove pritožbene navedbe presojalo zgolj v omejenem obsegu, zaradi česar mu je bil onemogočen dostop do sodišča v smislu prvega odstavka 6. člena EKČP.</w:t>
      </w:r>
    </w:p>
    <w:p w14:paraId="2A0D1BE7" w14:textId="77777777" w:rsidR="00695AE2" w:rsidRPr="00CB5050" w:rsidRDefault="00695AE2" w:rsidP="00695AE2">
      <w:pPr>
        <w:spacing w:line="240" w:lineRule="auto"/>
        <w:jc w:val="both"/>
        <w:rPr>
          <w:rFonts w:eastAsia="Aptos"/>
          <w:szCs w:val="22"/>
        </w:rPr>
      </w:pPr>
    </w:p>
    <w:p w14:paraId="53F42783" w14:textId="77777777" w:rsidR="00695AE2" w:rsidRPr="00CB5050" w:rsidRDefault="00695AE2" w:rsidP="00695AE2">
      <w:pPr>
        <w:spacing w:line="240" w:lineRule="auto"/>
        <w:jc w:val="both"/>
        <w:rPr>
          <w:rFonts w:eastAsia="Aptos"/>
          <w:szCs w:val="22"/>
        </w:rPr>
      </w:pPr>
      <w:r w:rsidRPr="00CB5050">
        <w:rPr>
          <w:rFonts w:eastAsia="Aptos"/>
          <w:szCs w:val="22"/>
        </w:rPr>
        <w:t>Vlada je v pisnih stališčih predstavila dejansko stanje o poteku postopka pred KPK in Upravnim sodiščem, relevantno nacionalno pravo in sodno prakso, ter v okviru odgovorov na zastavljena vprašanja podala procesne in vsebinske ugovore glede očitkov pritožnika.</w:t>
      </w:r>
    </w:p>
    <w:p w14:paraId="589CA813" w14:textId="77777777" w:rsidR="00695AE2" w:rsidRPr="00CB5050" w:rsidRDefault="00695AE2" w:rsidP="00695AE2">
      <w:pPr>
        <w:spacing w:line="240" w:lineRule="auto"/>
        <w:jc w:val="both"/>
        <w:rPr>
          <w:rFonts w:eastAsia="Aptos"/>
          <w:szCs w:val="22"/>
        </w:rPr>
      </w:pPr>
    </w:p>
    <w:p w14:paraId="0CE8D8CB" w14:textId="77777777" w:rsidR="00695AE2" w:rsidRPr="00CB5050" w:rsidRDefault="00695AE2" w:rsidP="00695AE2">
      <w:pPr>
        <w:spacing w:line="240" w:lineRule="auto"/>
        <w:jc w:val="both"/>
        <w:rPr>
          <w:rFonts w:eastAsia="Aptos"/>
          <w:szCs w:val="22"/>
        </w:rPr>
      </w:pPr>
      <w:r w:rsidRPr="00CB5050">
        <w:rPr>
          <w:rFonts w:eastAsia="Aptos"/>
          <w:szCs w:val="22"/>
        </w:rPr>
        <w:t xml:space="preserve">V odgovoru na prvo postavljeno vprašanje ESČP je vlada podala ugovor </w:t>
      </w:r>
      <w:r w:rsidRPr="00CB5050">
        <w:rPr>
          <w:rFonts w:eastAsia="Aptos"/>
          <w:i/>
          <w:iCs/>
          <w:szCs w:val="22"/>
        </w:rPr>
        <w:t xml:space="preserve">ratione materiae ter </w:t>
      </w:r>
      <w:r w:rsidRPr="00CB5050">
        <w:rPr>
          <w:rFonts w:eastAsia="Aptos"/>
          <w:szCs w:val="22"/>
        </w:rPr>
        <w:t xml:space="preserve">navedla, da postopek pred KPK nima narave odločanja o civilni in kazenski odgovornosti, temveč pomeni le ugotovitev o izpolnjevanju upravnih obveznosti, ki so povezane z opravljanjem javne funkcije. Gre za postopek </w:t>
      </w:r>
      <w:r w:rsidRPr="00CB5050">
        <w:rPr>
          <w:rFonts w:eastAsia="Aptos"/>
          <w:i/>
          <w:szCs w:val="22"/>
        </w:rPr>
        <w:t xml:space="preserve">sui generis, </w:t>
      </w:r>
      <w:r w:rsidRPr="00CB5050">
        <w:rPr>
          <w:rFonts w:eastAsia="Aptos"/>
          <w:iCs/>
          <w:szCs w:val="22"/>
        </w:rPr>
        <w:t>katerega namen je ugotavljanje določenih dejstev, na podlagi katerih bi lahko drugi organi (organ, pri katerem pritožnik opravlja funkcijo, Finančna uprava Republike Slovenije, policija, Državno tožilstvo, Urad za preprečevanje pranja denarja, itd.) začeli svoje postopke, v katerih bi bile posameznikom podeljene vse</w:t>
      </w:r>
      <w:r w:rsidRPr="00CB5050">
        <w:rPr>
          <w:rFonts w:eastAsia="Aptos"/>
          <w:szCs w:val="22"/>
        </w:rPr>
        <w:t xml:space="preserve"> ustrezne procesne pravice. Zato navedeni postopek nima narave odločanja o civilnih pravicah in obveznostih ali kakršnikoli kazenski obtožbi po prvem odstavku 6. člena konvencije.</w:t>
      </w:r>
    </w:p>
    <w:p w14:paraId="5BD188D6" w14:textId="77777777" w:rsidR="00695AE2" w:rsidRPr="00CB5050" w:rsidRDefault="00695AE2" w:rsidP="00695AE2">
      <w:pPr>
        <w:spacing w:line="240" w:lineRule="auto"/>
        <w:jc w:val="both"/>
        <w:rPr>
          <w:rFonts w:eastAsia="Aptos"/>
          <w:szCs w:val="22"/>
        </w:rPr>
      </w:pPr>
    </w:p>
    <w:p w14:paraId="107B5036" w14:textId="77777777" w:rsidR="00695AE2" w:rsidRPr="00CB5050" w:rsidRDefault="00695AE2" w:rsidP="00695AE2">
      <w:pPr>
        <w:spacing w:line="240" w:lineRule="auto"/>
        <w:jc w:val="both"/>
        <w:rPr>
          <w:rFonts w:eastAsia="Aptos"/>
          <w:szCs w:val="22"/>
        </w:rPr>
      </w:pPr>
      <w:r w:rsidRPr="00CB5050">
        <w:rPr>
          <w:rFonts w:eastAsia="Aptos"/>
          <w:szCs w:val="22"/>
        </w:rPr>
        <w:lastRenderedPageBreak/>
        <w:t>V odgovoru na drugo vprašanje ESČP je vlada navedla, da so se očitki pritožnika pred domačim sodiščem nanašali predvsem na kršitve človekovih pravic, vendar pa je Upravno sodišče opravilo celovito presojo vsake od zatrjevanih kršitev pravic, seveda v okviru zatrjevanih kršitev pritožnika.</w:t>
      </w:r>
    </w:p>
    <w:p w14:paraId="65C0F29E" w14:textId="77777777" w:rsidR="00695AE2" w:rsidRPr="00CB5050" w:rsidRDefault="00695AE2" w:rsidP="00695AE2">
      <w:pPr>
        <w:spacing w:line="240" w:lineRule="auto"/>
        <w:jc w:val="both"/>
        <w:rPr>
          <w:rFonts w:eastAsia="Aptos"/>
          <w:szCs w:val="22"/>
        </w:rPr>
      </w:pPr>
    </w:p>
    <w:p w14:paraId="362890C8" w14:textId="77777777" w:rsidR="00695AE2" w:rsidRPr="00CB5050" w:rsidRDefault="00695AE2" w:rsidP="00695AE2">
      <w:pPr>
        <w:spacing w:line="240" w:lineRule="auto"/>
        <w:jc w:val="both"/>
        <w:rPr>
          <w:rFonts w:eastAsia="Aptos"/>
          <w:color w:val="007466"/>
          <w:szCs w:val="22"/>
        </w:rPr>
      </w:pPr>
      <w:r w:rsidRPr="00CB5050">
        <w:rPr>
          <w:rFonts w:eastAsia="Aptos"/>
          <w:color w:val="007466"/>
          <w:szCs w:val="22"/>
        </w:rPr>
        <w:t>Presoja ESČP</w:t>
      </w:r>
    </w:p>
    <w:p w14:paraId="4D472C63" w14:textId="77777777" w:rsidR="00695AE2" w:rsidRPr="00CB5050" w:rsidRDefault="00695AE2" w:rsidP="00695AE2">
      <w:pPr>
        <w:spacing w:line="240" w:lineRule="auto"/>
        <w:jc w:val="both"/>
        <w:rPr>
          <w:rFonts w:eastAsia="Aptos"/>
          <w:b/>
          <w:bCs/>
          <w:i/>
          <w:iCs/>
          <w:szCs w:val="22"/>
        </w:rPr>
      </w:pPr>
    </w:p>
    <w:p w14:paraId="3E7EA2BD" w14:textId="77777777" w:rsidR="00695AE2" w:rsidRPr="00CB5050" w:rsidRDefault="00695AE2" w:rsidP="00695AE2">
      <w:pPr>
        <w:spacing w:line="240" w:lineRule="auto"/>
        <w:jc w:val="both"/>
        <w:rPr>
          <w:rFonts w:eastAsia="Aptos"/>
          <w:szCs w:val="22"/>
        </w:rPr>
      </w:pPr>
      <w:r w:rsidRPr="00CB5050">
        <w:rPr>
          <w:rFonts w:eastAsia="Aptos"/>
          <w:szCs w:val="22"/>
        </w:rPr>
        <w:t>ESČP se je odločilo, da ni potrebno sprejeti dokončnega stališča glede (ne)uporabe prvega odstavka 6. člena konvencije, saj je predmetna pritožba nedopustna iz drugih razlogov.</w:t>
      </w:r>
    </w:p>
    <w:p w14:paraId="1B35FF29" w14:textId="77777777" w:rsidR="00695AE2" w:rsidRPr="00CB5050" w:rsidRDefault="00695AE2" w:rsidP="00695AE2">
      <w:pPr>
        <w:spacing w:line="240" w:lineRule="auto"/>
        <w:jc w:val="both"/>
        <w:rPr>
          <w:rFonts w:eastAsia="Aptos"/>
          <w:szCs w:val="22"/>
        </w:rPr>
      </w:pPr>
    </w:p>
    <w:p w14:paraId="018A7ADA" w14:textId="77777777" w:rsidR="00695AE2" w:rsidRPr="00CB5050" w:rsidRDefault="00695AE2" w:rsidP="00695AE2">
      <w:pPr>
        <w:spacing w:line="240" w:lineRule="auto"/>
        <w:jc w:val="both"/>
        <w:rPr>
          <w:rFonts w:eastAsia="Aptos"/>
          <w:szCs w:val="22"/>
        </w:rPr>
      </w:pPr>
      <w:r w:rsidRPr="00CB5050">
        <w:rPr>
          <w:rFonts w:eastAsia="Aptos"/>
          <w:szCs w:val="22"/>
        </w:rPr>
        <w:t xml:space="preserve">Sklicujoč se na svojo sodno prakso v zadevi </w:t>
      </w:r>
      <w:bookmarkStart w:id="1210" w:name="_cl34833THELAW"/>
      <w:r w:rsidRPr="00CB5050">
        <w:rPr>
          <w:rFonts w:eastAsia="Aptos"/>
          <w:i/>
          <w:szCs w:val="22"/>
        </w:rPr>
        <w:t>Ramos Nunes de Carvalho e Sá proti Portugalski</w:t>
      </w:r>
      <w:r w:rsidRPr="00CB5050">
        <w:rPr>
          <w:rFonts w:eastAsia="Aptos"/>
          <w:szCs w:val="22"/>
        </w:rPr>
        <w:t xml:space="preserve"> </w:t>
      </w:r>
      <w:bookmarkEnd w:id="1210"/>
      <w:r w:rsidRPr="00CB5050">
        <w:rPr>
          <w:rFonts w:eastAsia="Aptos"/>
          <w:i/>
          <w:iCs/>
          <w:szCs w:val="22"/>
        </w:rPr>
        <w:t>[VS]</w:t>
      </w:r>
      <w:r w:rsidRPr="00CB5050">
        <w:rPr>
          <w:rFonts w:eastAsia="Aptos"/>
          <w:szCs w:val="22"/>
        </w:rPr>
        <w:t xml:space="preserve">, št. 55391/13 in 2 drugi, 176.-186. odstavek, 6. november 2018), je ESČP povzelo splošna načela v zvezi z obsegom sodnega nadzora, ki se zahteva od nacionalnih sodišč in njihovo obveznostjo obrazložitve odločb. Ugotovilo je, da je glavni očitek pritožnika, da domača sodišča niso preučila njegovega očitka v zvezi s strani KPK (napačno) ugotovljenim dejanskim stanjem. ESČP je ob tem navedlo, da je KPK neodvisen specializiran državni organ, katerega namen je krepiti učinkovito delovanje pravne države in zagotoviti, da ji koruptivna ravnanja ne grozijo. KPK deluje na podlagi </w:t>
      </w:r>
      <w:r w:rsidRPr="00CB5050">
        <w:rPr>
          <w:rFonts w:eastAsia="Aptos"/>
          <w:bCs/>
          <w:szCs w:val="22"/>
        </w:rPr>
        <w:t>ZIntPK</w:t>
      </w:r>
      <w:r w:rsidRPr="00CB5050">
        <w:rPr>
          <w:rFonts w:eastAsia="Aptos"/>
          <w:szCs w:val="22"/>
        </w:rPr>
        <w:t xml:space="preserve"> ter svojega poslovnika, njeno delovanje pa pozorno spremljajo mednarodni specializirani organi, kot je GRECO. ESČP je nadalje ugotovilo, da je bil pritožnik v postopku pred KPK deležen več procesnih jamstev. Poleg tega, da je bil leta 2012 osebno zaslišan, mu je bil v novem postopku (ki je privedel do sprejetja izpodbijanih Zaključnih ugotovitev), poslan osnutek Zaključnih ugotovitev, pri čemer je bil pozvan, naj predloži pripombe v zvezi z njim, kar je tudi storil. ESČP je kot pomembno poudarilo, da so bila vsa pojasnila o dejstvih in dokumentih, ki jih je pritožnik predložil v odgovor skupaj z Zaključnimi ugotovitvami, tudi objavljena na spletni strani KPK.</w:t>
      </w:r>
    </w:p>
    <w:p w14:paraId="38979E17" w14:textId="77777777" w:rsidR="00695AE2" w:rsidRPr="00CB5050" w:rsidRDefault="00695AE2" w:rsidP="00695AE2">
      <w:pPr>
        <w:spacing w:line="240" w:lineRule="auto"/>
        <w:jc w:val="both"/>
        <w:rPr>
          <w:rFonts w:eastAsia="Aptos"/>
          <w:szCs w:val="22"/>
        </w:rPr>
      </w:pPr>
    </w:p>
    <w:p w14:paraId="2B98A83B" w14:textId="77777777" w:rsidR="00695AE2" w:rsidRPr="00CB5050" w:rsidRDefault="00695AE2" w:rsidP="00695AE2">
      <w:pPr>
        <w:spacing w:line="240" w:lineRule="auto"/>
        <w:jc w:val="both"/>
        <w:rPr>
          <w:rFonts w:eastAsia="Aptos"/>
          <w:szCs w:val="22"/>
        </w:rPr>
      </w:pPr>
      <w:r w:rsidRPr="00CB5050">
        <w:rPr>
          <w:rFonts w:eastAsia="Aptos"/>
          <w:szCs w:val="22"/>
        </w:rPr>
        <w:t xml:space="preserve">Glede na navedeno je ESČP opravilo presojo glede obsega sodnega nadzora Upravnega sodišča. Poudarilo je, da čeprav je pritožnik vložil tožbo na podlagi prvega odstavka 4. člena Zakona o upravnem sporu (ZUS-1), je Upravno sodišče (v skladu s spremenjeno sodno prakso nacionalnih sodišč) tožbo obravnavalo na podlagi 2. člena tega zakona in dejansko odgovorilo na vse odločilne trditve pritožnika. Zlasti je pojasnilo, zakaj mu ni treba ponovno preučiti dejstev, kot jih je ugotovila KPK in zakaj pritožnika ni treba zaslišati. Upravno sodišče pa bi lahko odločbo KPK tudi razveljavilo, če se ne bi strinjalo z njenimi pravnimi ali dejanskimi ugotovitvami (vključno z ugotovitvami v zvezi z dokazi). Po mnenju ESČP to kaže, da Upravno sodišče predstavlja sodišče „polne jurisdikcije“ v skladu s prvim odstavkom 6. člena konvencije (glej sodbi z dne 31. maja 2007 </w:t>
      </w:r>
      <w:r w:rsidRPr="00CB5050">
        <w:rPr>
          <w:rFonts w:eastAsia="Aptos"/>
          <w:iCs/>
          <w:szCs w:val="22"/>
        </w:rPr>
        <w:t>v zadevi</w:t>
      </w:r>
      <w:r w:rsidRPr="00CB5050">
        <w:rPr>
          <w:rFonts w:eastAsia="Aptos"/>
          <w:i/>
          <w:szCs w:val="22"/>
        </w:rPr>
        <w:t> </w:t>
      </w:r>
      <w:bookmarkStart w:id="1211" w:name="_cl22254THELAW"/>
      <w:r w:rsidRPr="00CB5050">
        <w:rPr>
          <w:rFonts w:eastAsia="Aptos"/>
          <w:i/>
          <w:iCs/>
          <w:szCs w:val="22"/>
        </w:rPr>
        <w:t>Bistrović proti Hrvaški</w:t>
      </w:r>
      <w:r w:rsidRPr="00CB5050">
        <w:rPr>
          <w:rFonts w:eastAsia="Aptos"/>
          <w:szCs w:val="22"/>
        </w:rPr>
        <w:t xml:space="preserve">, </w:t>
      </w:r>
      <w:bookmarkEnd w:id="1211"/>
      <w:r w:rsidRPr="00CB5050">
        <w:rPr>
          <w:rFonts w:eastAsia="Aptos"/>
          <w:szCs w:val="22"/>
        </w:rPr>
        <w:t xml:space="preserve">št. 25774/05, 53. odstavek in z dne 21. januarja 2016 </w:t>
      </w:r>
      <w:r w:rsidRPr="00CB5050">
        <w:rPr>
          <w:rFonts w:eastAsia="Aptos"/>
          <w:i/>
          <w:szCs w:val="22"/>
        </w:rPr>
        <w:t>v</w:t>
      </w:r>
      <w:r w:rsidRPr="00CB5050">
        <w:rPr>
          <w:rFonts w:eastAsia="Aptos"/>
          <w:iCs/>
          <w:szCs w:val="22"/>
        </w:rPr>
        <w:t xml:space="preserve"> zadevi</w:t>
      </w:r>
      <w:r w:rsidRPr="00CB5050">
        <w:rPr>
          <w:rFonts w:eastAsia="Aptos"/>
          <w:i/>
          <w:szCs w:val="22"/>
        </w:rPr>
        <w:t xml:space="preserve"> </w:t>
      </w:r>
      <w:bookmarkStart w:id="1212" w:name="_cl28173THELAW"/>
      <w:r w:rsidRPr="00CB5050">
        <w:rPr>
          <w:rFonts w:eastAsia="Aptos"/>
          <w:i/>
          <w:szCs w:val="22"/>
        </w:rPr>
        <w:t>Ivanovski proti Nekdanji</w:t>
      </w:r>
      <w:bookmarkEnd w:id="1212"/>
      <w:r w:rsidRPr="00CB5050">
        <w:rPr>
          <w:rFonts w:eastAsia="Aptos"/>
          <w:i/>
          <w:szCs w:val="22"/>
        </w:rPr>
        <w:t xml:space="preserve"> jugoslovanski republiki Makedoniji,</w:t>
      </w:r>
      <w:r w:rsidRPr="00CB5050">
        <w:rPr>
          <w:rFonts w:eastAsia="Aptos"/>
          <w:szCs w:val="22"/>
        </w:rPr>
        <w:t xml:space="preserve"> št. 29908/11, 126. odstavek).</w:t>
      </w:r>
    </w:p>
    <w:p w14:paraId="1A7AB681" w14:textId="77777777" w:rsidR="00695AE2" w:rsidRPr="00CB5050" w:rsidRDefault="00695AE2" w:rsidP="00695AE2">
      <w:pPr>
        <w:spacing w:line="240" w:lineRule="auto"/>
        <w:jc w:val="both"/>
        <w:rPr>
          <w:rFonts w:eastAsia="Aptos"/>
          <w:szCs w:val="22"/>
        </w:rPr>
      </w:pPr>
    </w:p>
    <w:p w14:paraId="70B828E2" w14:textId="77777777" w:rsidR="00695AE2" w:rsidRPr="00CB5050" w:rsidRDefault="00695AE2" w:rsidP="00695AE2">
      <w:pPr>
        <w:spacing w:line="240" w:lineRule="auto"/>
        <w:jc w:val="both"/>
        <w:rPr>
          <w:rFonts w:eastAsia="Aptos"/>
          <w:szCs w:val="22"/>
        </w:rPr>
      </w:pPr>
      <w:r w:rsidRPr="00CB5050">
        <w:rPr>
          <w:rFonts w:eastAsia="Aptos"/>
          <w:szCs w:val="22"/>
        </w:rPr>
        <w:t>ESČP je tudi poudarilo, da je trditev pritožnika v reviziji, da Upravno sodišče ni presojalo dejstev, kot jih je ugotovila KPK, neutemeljena: pritožnik namreč v reviziji ni navedel, na katero od njegovih bistvenih trditev Upravno sodišče ni odgovorilo. To je bil tudi razlog, zakaj je Vrhovno sodišče v tem delu zavrnilo revizijo. Na koncu je ESČP še poudarilo, da bi se morebitna kazenska ali civilna odgovornost, ki bi izhajala iz ugotovitev KPK, ugotavljala v ločenem postopku, v katerem bi imel pritožnik vsa procesna jamstva.</w:t>
      </w:r>
    </w:p>
    <w:p w14:paraId="640564E1" w14:textId="77777777" w:rsidR="00695AE2" w:rsidRPr="00CB5050" w:rsidRDefault="00695AE2" w:rsidP="00695AE2">
      <w:pPr>
        <w:spacing w:line="240" w:lineRule="auto"/>
        <w:jc w:val="both"/>
        <w:rPr>
          <w:rFonts w:eastAsia="Aptos"/>
          <w:szCs w:val="22"/>
        </w:rPr>
      </w:pPr>
    </w:p>
    <w:p w14:paraId="3DFBF277" w14:textId="77777777" w:rsidR="00695AE2" w:rsidRPr="00CB5050" w:rsidRDefault="00695AE2" w:rsidP="00695AE2">
      <w:pPr>
        <w:spacing w:line="240" w:lineRule="auto"/>
        <w:jc w:val="both"/>
        <w:rPr>
          <w:rFonts w:eastAsia="Aptos"/>
          <w:szCs w:val="22"/>
        </w:rPr>
      </w:pPr>
      <w:r w:rsidRPr="00CB5050">
        <w:rPr>
          <w:rFonts w:eastAsia="Aptos"/>
          <w:szCs w:val="22"/>
        </w:rPr>
        <w:lastRenderedPageBreak/>
        <w:t xml:space="preserve">Glede na navedeno in ob upoštevanju posebnega okvira protikorupcijskega postopka (ki se je nanašal na politika), obsega ugotovitev KPK, procesnih jamstev, ki so bila pritožniku pred KPK zagotovljena ter glede na obrazloženost sodb Upravnega in Vrhovnega sodišča (primerjaj s </w:t>
      </w:r>
      <w:r w:rsidRPr="00CB5050">
        <w:rPr>
          <w:rFonts w:eastAsia="Aptos"/>
          <w:iCs/>
          <w:szCs w:val="22"/>
        </w:rPr>
        <w:t>sodbo</w:t>
      </w:r>
      <w:r w:rsidRPr="00CB5050">
        <w:rPr>
          <w:rFonts w:eastAsia="Aptos"/>
          <w:i/>
          <w:szCs w:val="22"/>
        </w:rPr>
        <w:t xml:space="preserve"> Lorenzo Bragado in drugi proti Španiji,</w:t>
      </w:r>
      <w:r w:rsidRPr="00CB5050">
        <w:rPr>
          <w:rFonts w:eastAsia="Aptos"/>
          <w:szCs w:val="22"/>
        </w:rPr>
        <w:t xml:space="preserve"> št. 53193/21 in 5 drugih, 148. odstavek, z dne 22. junija 2023) je ESČP ugotovilo, da so nacionalna sodišča opravila zadostno sodno presojo predmetne zadeve in zato pritožniku pravica do učinkovitega dostopa do sodišča na podlagi prvega odstavka 6. člena konvencije ni bila odvzeta.</w:t>
      </w:r>
    </w:p>
    <w:p w14:paraId="05919A33" w14:textId="77777777" w:rsidR="00695AE2" w:rsidRPr="00CB5050" w:rsidRDefault="00695AE2" w:rsidP="00695AE2">
      <w:pPr>
        <w:spacing w:line="240" w:lineRule="auto"/>
        <w:rPr>
          <w:rFonts w:eastAsia="Aptos"/>
          <w:szCs w:val="22"/>
        </w:rPr>
      </w:pPr>
    </w:p>
    <w:p w14:paraId="3DD53745" w14:textId="77777777" w:rsidR="00695AE2" w:rsidRPr="00CB5050" w:rsidRDefault="00695AE2" w:rsidP="00695AE2">
      <w:pPr>
        <w:pStyle w:val="Naslov5"/>
        <w:rPr>
          <w:szCs w:val="22"/>
        </w:rPr>
      </w:pPr>
      <w:bookmarkStart w:id="1213" w:name="_Toc223094147"/>
      <w:r w:rsidRPr="00256503">
        <w:rPr>
          <w:i/>
          <w:iCs/>
          <w:lang w:eastAsia="sl-SI"/>
        </w:rPr>
        <w:t>D. J. proti Sloveniji</w:t>
      </w:r>
      <w:r w:rsidRPr="00CB5050">
        <w:rPr>
          <w:lang w:eastAsia="sl-SI"/>
        </w:rPr>
        <w:t>, št. 29265/22</w:t>
      </w:r>
      <w:bookmarkEnd w:id="1213"/>
    </w:p>
    <w:p w14:paraId="37B63A5E" w14:textId="77777777" w:rsidR="00695AE2" w:rsidRPr="00CB5050" w:rsidRDefault="00695AE2" w:rsidP="00695AE2">
      <w:pPr>
        <w:spacing w:line="240" w:lineRule="auto"/>
        <w:rPr>
          <w:rFonts w:eastAsia="Aptos"/>
          <w:szCs w:val="22"/>
        </w:rPr>
      </w:pPr>
    </w:p>
    <w:p w14:paraId="64E9FBFE" w14:textId="77777777" w:rsidR="00695AE2" w:rsidRPr="00CB5050" w:rsidRDefault="00695AE2" w:rsidP="00695AE2">
      <w:pPr>
        <w:spacing w:line="240" w:lineRule="auto"/>
        <w:jc w:val="both"/>
        <w:rPr>
          <w:rFonts w:eastAsia="Aptos"/>
          <w:szCs w:val="22"/>
        </w:rPr>
      </w:pPr>
      <w:r w:rsidRPr="00CB5050">
        <w:rPr>
          <w:rFonts w:eastAsia="Aptos"/>
          <w:szCs w:val="22"/>
        </w:rPr>
        <w:t>ESČP je 15. maja 2025 izdalo sklep, s katerim je pritožbo zavrnilo kot očitno neutemeljeno.</w:t>
      </w:r>
    </w:p>
    <w:p w14:paraId="7F7522ED" w14:textId="77777777" w:rsidR="00695AE2" w:rsidRPr="00CB5050" w:rsidRDefault="00695AE2" w:rsidP="00695AE2">
      <w:pPr>
        <w:spacing w:line="240" w:lineRule="auto"/>
        <w:jc w:val="both"/>
        <w:rPr>
          <w:rFonts w:eastAsia="Aptos"/>
          <w:szCs w:val="22"/>
        </w:rPr>
      </w:pPr>
    </w:p>
    <w:p w14:paraId="4BC9CE44" w14:textId="77777777" w:rsidR="00695AE2" w:rsidRPr="00CB5050" w:rsidRDefault="00695AE2" w:rsidP="00695AE2">
      <w:pPr>
        <w:spacing w:line="240" w:lineRule="auto"/>
        <w:jc w:val="both"/>
        <w:rPr>
          <w:rFonts w:eastAsia="Aptos"/>
          <w:szCs w:val="22"/>
        </w:rPr>
      </w:pPr>
      <w:r w:rsidRPr="00CB5050">
        <w:rPr>
          <w:rFonts w:eastAsia="Aptos"/>
          <w:szCs w:val="22"/>
        </w:rPr>
        <w:t xml:space="preserve">Pritožba se je nanašala na delovnopravni postopek zaradi prenehanja pogodbe o zaposlitvi, ko je bila pritožnica noseča in je menila, da je upravičena do posebne zaščite po ZDR za zaposlene noseče delavke. Pogodba o zaposlitvi je prenehala v skladu s pogodbenim določilom, da preneha, če bi bilo pritožnici preklicano pooblastilo prokuristke, kar se je tudi zgodilo. </w:t>
      </w:r>
    </w:p>
    <w:p w14:paraId="17FADD66" w14:textId="77777777" w:rsidR="00695AE2" w:rsidRPr="00CB5050" w:rsidRDefault="00695AE2" w:rsidP="00695AE2">
      <w:pPr>
        <w:spacing w:line="240" w:lineRule="auto"/>
        <w:jc w:val="both"/>
        <w:rPr>
          <w:rFonts w:eastAsia="Aptos"/>
          <w:szCs w:val="22"/>
        </w:rPr>
      </w:pPr>
    </w:p>
    <w:p w14:paraId="0E0C4B9A" w14:textId="77777777" w:rsidR="00695AE2" w:rsidRPr="00CB5050" w:rsidRDefault="00695AE2" w:rsidP="00695AE2">
      <w:pPr>
        <w:spacing w:line="240" w:lineRule="auto"/>
        <w:jc w:val="both"/>
        <w:rPr>
          <w:rFonts w:eastAsia="Aptos"/>
          <w:szCs w:val="22"/>
        </w:rPr>
      </w:pPr>
      <w:r w:rsidRPr="00CB5050">
        <w:rPr>
          <w:rFonts w:eastAsia="Aptos"/>
          <w:szCs w:val="22"/>
        </w:rPr>
        <w:t>Pritožnica je vložila delovnopravno tožbo zoper nekdanjega delodajalca, v kateri je trdila, da je bila njena odpoved nezakonita. Zahtevala je odškodnino in ponovno zaposlitev na svojem prejšnjem delovnem mestu. Podrejeno je trdila, da ji mora družba A. ponuditi delovno mesto, ki ustreza njeni izobrazbi in usposobljenosti.</w:t>
      </w:r>
    </w:p>
    <w:p w14:paraId="08BD199B" w14:textId="77777777" w:rsidR="00695AE2" w:rsidRPr="00CB5050" w:rsidRDefault="00695AE2" w:rsidP="00695AE2">
      <w:pPr>
        <w:spacing w:line="240" w:lineRule="auto"/>
        <w:jc w:val="both"/>
        <w:rPr>
          <w:rFonts w:eastAsia="Aptos"/>
          <w:szCs w:val="22"/>
        </w:rPr>
      </w:pPr>
    </w:p>
    <w:p w14:paraId="598C0DCC" w14:textId="77777777" w:rsidR="00695AE2" w:rsidRPr="00CB5050" w:rsidRDefault="00695AE2" w:rsidP="00695AE2">
      <w:pPr>
        <w:spacing w:line="240" w:lineRule="auto"/>
        <w:jc w:val="both"/>
        <w:rPr>
          <w:rFonts w:eastAsia="Aptos"/>
          <w:szCs w:val="22"/>
        </w:rPr>
      </w:pPr>
      <w:r w:rsidRPr="00CB5050">
        <w:rPr>
          <w:rFonts w:eastAsia="Aptos"/>
          <w:szCs w:val="22"/>
        </w:rPr>
        <w:t>Delovno sodišče je na prvi stopnji po vrnitvi zadeve v ponovno odločanje s strani Višjega delovnega in socialnega sodišča v Mariboru delno ugodilo tožbi pritožnice in ugotovilo, da je bila njena pogodba nezakonito odpovedana. Ta odločitev je bila potrjena v pritožbenem postopku.</w:t>
      </w:r>
    </w:p>
    <w:p w14:paraId="6CFA37AE" w14:textId="77777777" w:rsidR="00695AE2" w:rsidRPr="00CB5050" w:rsidRDefault="00695AE2" w:rsidP="00695AE2">
      <w:pPr>
        <w:spacing w:line="240" w:lineRule="auto"/>
        <w:jc w:val="both"/>
        <w:rPr>
          <w:rFonts w:eastAsia="Aptos"/>
          <w:szCs w:val="22"/>
        </w:rPr>
      </w:pPr>
    </w:p>
    <w:p w14:paraId="5636EF9E" w14:textId="77777777" w:rsidR="00695AE2" w:rsidRPr="00CB5050" w:rsidRDefault="00695AE2" w:rsidP="00695AE2">
      <w:pPr>
        <w:spacing w:line="240" w:lineRule="auto"/>
        <w:jc w:val="both"/>
        <w:rPr>
          <w:rFonts w:eastAsia="Aptos"/>
          <w:szCs w:val="22"/>
        </w:rPr>
      </w:pPr>
      <w:r w:rsidRPr="00CB5050">
        <w:rPr>
          <w:rFonts w:eastAsia="Aptos"/>
          <w:szCs w:val="22"/>
        </w:rPr>
        <w:t>Vrhovno sodišče je ugodilo zahtevi za revizijo, ki jo je vložila družba A., in spremenilo sodbi sodišč prve in druge stopnje ter v celoti zavrnilo tožbo pritožnice. Vrhovno sodišče je ugotovilo, da je pritožnica sklenila pogodbo v skladu z 72. členom Zakonom o delovnih razmerjih (ZDR). Ta določba pa ureja poseben režim sklepanja pogodb o zaposlitvi s poslovodnimi osebami ali prokuristi, in pogodbenim strankam omogoča, da pravice in obveznosti, ki se nanašajo med drugim na delovni čas, plačilo, disciplinsko odgovornost in odpoved pogodbe o zaposlitvi, uredijo na način, ki je za delavca manj ugoden od tistega, ki je določen v zakonodaji glede običajnih pogodb s kogentnimi normami. Vrhovno sodišče je nadalje ugotovilo, da je bila pogodba pritožnice odpovedana zaradi odpovedi njenega pooblastila kot prokuristke, v skladu s posebno določbo v njeni pogodbi, ki je trajanje pogodbe o zaposlitvi povezovala s trajanjem tega pooblastila. Po mnenju Vrhovnega sodišča 115. člen ZDR-1 delavk v času nosečnosti ne ščiti pred kakršno koli vrsto prenehanja delovnega razmerja, temveč le pred odpovedjo pogodbe o zaposlitvi, ki je posebna oblika prenehanja pogodbe. Pritožnica je ob sklenitvi pogodbe soglašala z določbo, ki omogoča prenehanje njenega delovnega razmerja "na drugačen način", in da tako torej ne bo uživala posebnega varstva delavk v času nosečnosti na podlagi 115. člena ZDR-1.</w:t>
      </w:r>
    </w:p>
    <w:p w14:paraId="14935F56" w14:textId="77777777" w:rsidR="00695AE2" w:rsidRPr="00CB5050" w:rsidRDefault="00695AE2" w:rsidP="00695AE2">
      <w:pPr>
        <w:spacing w:line="240" w:lineRule="auto"/>
        <w:jc w:val="both"/>
        <w:rPr>
          <w:rFonts w:eastAsia="Aptos"/>
          <w:szCs w:val="22"/>
        </w:rPr>
      </w:pPr>
    </w:p>
    <w:p w14:paraId="74BD1F09" w14:textId="77777777" w:rsidR="00695AE2" w:rsidRPr="00CB5050" w:rsidRDefault="00695AE2" w:rsidP="00695AE2">
      <w:pPr>
        <w:spacing w:line="240" w:lineRule="auto"/>
        <w:jc w:val="both"/>
        <w:rPr>
          <w:rFonts w:eastAsia="Aptos"/>
          <w:szCs w:val="22"/>
        </w:rPr>
      </w:pPr>
      <w:r w:rsidRPr="00CB5050">
        <w:rPr>
          <w:rFonts w:eastAsia="Aptos"/>
          <w:szCs w:val="22"/>
        </w:rPr>
        <w:t>Ustavno sodišče je zavrnilo sprejem pritožničine ustavne pritožbe v obravnavo.</w:t>
      </w:r>
    </w:p>
    <w:p w14:paraId="165C9056" w14:textId="77777777" w:rsidR="00695AE2" w:rsidRPr="00CB5050" w:rsidRDefault="00695AE2" w:rsidP="00695AE2">
      <w:pPr>
        <w:spacing w:line="240" w:lineRule="auto"/>
        <w:jc w:val="both"/>
        <w:rPr>
          <w:rFonts w:eastAsia="Aptos"/>
          <w:szCs w:val="22"/>
        </w:rPr>
      </w:pPr>
    </w:p>
    <w:p w14:paraId="7819F4A7" w14:textId="77777777" w:rsidR="00695AE2" w:rsidRPr="00CB5050" w:rsidRDefault="00695AE2" w:rsidP="00695AE2">
      <w:pPr>
        <w:spacing w:line="240" w:lineRule="auto"/>
        <w:jc w:val="both"/>
        <w:rPr>
          <w:rFonts w:eastAsia="Aptos"/>
          <w:szCs w:val="22"/>
        </w:rPr>
      </w:pPr>
      <w:r w:rsidRPr="00CB5050">
        <w:rPr>
          <w:rFonts w:eastAsia="Aptos"/>
          <w:szCs w:val="22"/>
        </w:rPr>
        <w:lastRenderedPageBreak/>
        <w:t>Pritožnica je trdila, da je bila obravnavana manj ugodno kot druge delavke v času nosečnosti, ker ji je bilo s sklenitvijo pogodbe o zaposlitvi odvzeto varstvo, ki ga delavkam v času nosečnosti zagotavljajo ZDR-1, pravo EU in drugi ustrezni evropski in mednarodni pravni instrumenti, kar je v nasprotju s 14. členom konvencije.</w:t>
      </w:r>
    </w:p>
    <w:p w14:paraId="16CB9A77" w14:textId="77777777" w:rsidR="00695AE2" w:rsidRPr="00CB5050" w:rsidRDefault="00695AE2" w:rsidP="00695AE2">
      <w:pPr>
        <w:spacing w:line="240" w:lineRule="auto"/>
        <w:jc w:val="both"/>
        <w:rPr>
          <w:rFonts w:eastAsia="Aptos"/>
          <w:szCs w:val="22"/>
        </w:rPr>
      </w:pPr>
    </w:p>
    <w:p w14:paraId="1BF17B02" w14:textId="77777777" w:rsidR="00695AE2" w:rsidRPr="00CB5050" w:rsidRDefault="00695AE2" w:rsidP="00695AE2">
      <w:pPr>
        <w:spacing w:line="240" w:lineRule="auto"/>
        <w:jc w:val="both"/>
        <w:rPr>
          <w:rFonts w:eastAsia="Aptos"/>
          <w:szCs w:val="22"/>
        </w:rPr>
      </w:pPr>
      <w:r w:rsidRPr="00CB5050">
        <w:rPr>
          <w:rFonts w:eastAsia="Aptos"/>
          <w:szCs w:val="22"/>
        </w:rPr>
        <w:t xml:space="preserve">Sodišče je ugotovilo, da ni bilo sporno, da je pogodba o zaposlitvi pritožnice prenehala ne glede na njeno nosečnost. Dejansko niti javna ustanova niti družba A. nista bili obveščeni o nosečnosti pritožnice v času sprejetja odločitve o prenehanju njenega pooblastila kot prokuristke in posledično prenehanja njene pogodbe o zaposlitvi. Ta zadeva se torej ne nanaša na položaj, v katerem bi nosečnost lahko bila dejavnik, ki je vplival na odpust delavke. Pritožba pritožnice se nanaša na dejstvo, da ji je bilo s sklenitvijo pogodbe odrečeno posebno varstvo pred odpovedjo, ki je zagotovljeno delavkam v času nosečnosti s sklenjenimi običajnimi pogodbami o zaposlitvi. Tako varstvo bi ji zagotovilo, da ne bi mogla biti odpuščena zaradi nosečnosti, tudi če bi bil delodajalec naknadno obveščen o tem dejstvu. </w:t>
      </w:r>
    </w:p>
    <w:p w14:paraId="1A08C2E9" w14:textId="77777777" w:rsidR="00695AE2" w:rsidRPr="00CB5050" w:rsidRDefault="00695AE2" w:rsidP="00695AE2">
      <w:pPr>
        <w:spacing w:line="240" w:lineRule="auto"/>
        <w:jc w:val="both"/>
        <w:rPr>
          <w:rFonts w:eastAsia="Aptos"/>
          <w:szCs w:val="22"/>
        </w:rPr>
      </w:pPr>
    </w:p>
    <w:p w14:paraId="5D2A2D8C" w14:textId="77777777" w:rsidR="00695AE2" w:rsidRPr="00CB5050" w:rsidRDefault="00695AE2" w:rsidP="00695AE2">
      <w:pPr>
        <w:spacing w:line="240" w:lineRule="auto"/>
        <w:jc w:val="both"/>
        <w:rPr>
          <w:rFonts w:eastAsia="Aptos"/>
          <w:szCs w:val="22"/>
        </w:rPr>
      </w:pPr>
      <w:r w:rsidRPr="00CB5050">
        <w:rPr>
          <w:rFonts w:eastAsia="Aptos"/>
          <w:szCs w:val="22"/>
        </w:rPr>
        <w:t xml:space="preserve">Sodišče je ugotovilo, da sta pogodbeni stranki sami določili v pogodbi o zaposlitvi pritožnice, da pogodba preneha veljati ob prenehanju pooblastila pritožnice kot prokuristke. Kot je pojasnilo Vrhovno sodišče, 115. člen ZDR-1 izrecno navaja "odpoved" in ne zajema drugih oblik prenehanja delovnega razmerja, kot je tista v zadevi pritožnice. Pritožničina vrsta pogodbe o zaposlitvi se je bistveno razlikovala od običajnih pogodb o zaposlitvi. Tovrstne pogodbe sklepajo poslovodne osebe in prokuristi, ki imajo v podjetjih v nasprotju z rednimi delavci neodvisen in nepodrejen položaj. Po mnenju Vrhovnega sodišča je zakonodajalec pogodbenim strankam omogočil, da drugače kot v splošnih pravnih določbah, ki urejajo običajne pogodbe o zaposlitvi, določijo širok spekter pravic in obveznosti v zvezi z delovnim razmerjem, vključno z njegovim prenehanjem. Pogodba pritožnice je vezala pritožničino zaposlitev na njeno pooblastilo kot prokuristke. </w:t>
      </w:r>
    </w:p>
    <w:p w14:paraId="362249F3" w14:textId="77777777" w:rsidR="00695AE2" w:rsidRPr="00CB5050" w:rsidRDefault="00695AE2" w:rsidP="00695AE2">
      <w:pPr>
        <w:spacing w:line="240" w:lineRule="auto"/>
        <w:jc w:val="both"/>
        <w:rPr>
          <w:rFonts w:eastAsia="Aptos"/>
          <w:szCs w:val="22"/>
        </w:rPr>
      </w:pPr>
    </w:p>
    <w:p w14:paraId="5C7BACF1" w14:textId="77777777" w:rsidR="00695AE2" w:rsidRPr="00CB5050" w:rsidRDefault="00695AE2" w:rsidP="00695AE2">
      <w:pPr>
        <w:spacing w:line="240" w:lineRule="auto"/>
        <w:jc w:val="both"/>
        <w:rPr>
          <w:rFonts w:eastAsia="Aptos"/>
          <w:szCs w:val="22"/>
        </w:rPr>
      </w:pPr>
      <w:r w:rsidRPr="00CB5050">
        <w:rPr>
          <w:rFonts w:eastAsia="Aptos"/>
          <w:szCs w:val="22"/>
        </w:rPr>
        <w:t>Ker je Sodišče ugotovilo, da pritožnici očitno niso bile kršene konvencijske pravice, je pritožbo zaradi očitne neutemeljenosti razglasilo za nedopustno.</w:t>
      </w:r>
    </w:p>
    <w:p w14:paraId="0FA68633" w14:textId="77777777" w:rsidR="00695AE2" w:rsidRPr="00CB5050" w:rsidRDefault="00695AE2" w:rsidP="00695AE2">
      <w:pPr>
        <w:spacing w:line="240" w:lineRule="auto"/>
        <w:rPr>
          <w:rFonts w:eastAsia="Aptos"/>
          <w:szCs w:val="22"/>
        </w:rPr>
      </w:pPr>
    </w:p>
    <w:p w14:paraId="0277148B" w14:textId="77777777" w:rsidR="00695AE2" w:rsidRPr="00CB5050" w:rsidRDefault="00695AE2" w:rsidP="00695AE2">
      <w:pPr>
        <w:pStyle w:val="Naslov5"/>
        <w:rPr>
          <w:lang w:eastAsia="sl-SI"/>
        </w:rPr>
      </w:pPr>
      <w:bookmarkStart w:id="1214" w:name="_Toc223094148"/>
      <w:r w:rsidRPr="00256503">
        <w:rPr>
          <w:i/>
          <w:iCs/>
          <w:lang w:eastAsia="sl-SI"/>
        </w:rPr>
        <w:t>P. R. proti Sloveniji</w:t>
      </w:r>
      <w:r w:rsidRPr="00CB5050">
        <w:rPr>
          <w:lang w:eastAsia="sl-SI"/>
        </w:rPr>
        <w:t>, št. 11101/21</w:t>
      </w:r>
      <w:bookmarkEnd w:id="1214"/>
    </w:p>
    <w:p w14:paraId="2D5BCCF3" w14:textId="77777777" w:rsidR="00695AE2" w:rsidRPr="00CB5050" w:rsidRDefault="00695AE2" w:rsidP="00695AE2">
      <w:pPr>
        <w:spacing w:line="240" w:lineRule="auto"/>
        <w:rPr>
          <w:rFonts w:eastAsia="Aptos"/>
          <w:szCs w:val="22"/>
          <w:lang w:eastAsia="sl-SI"/>
        </w:rPr>
      </w:pPr>
    </w:p>
    <w:p w14:paraId="35D23F73" w14:textId="77777777" w:rsidR="00695AE2" w:rsidRPr="00CB5050" w:rsidRDefault="00695AE2" w:rsidP="00695AE2">
      <w:pPr>
        <w:spacing w:line="240" w:lineRule="auto"/>
        <w:jc w:val="both"/>
        <w:rPr>
          <w:rFonts w:eastAsia="Aptos"/>
          <w:szCs w:val="22"/>
          <w:lang w:eastAsia="sl-SI"/>
        </w:rPr>
      </w:pPr>
      <w:r w:rsidRPr="00CB5050">
        <w:rPr>
          <w:rFonts w:eastAsia="Aptos"/>
          <w:szCs w:val="22"/>
          <w:lang w:eastAsia="sl-SI"/>
        </w:rPr>
        <w:t>ESČP je dne 5. junija 2025 izdalo sklep, s katerim je ugotovilo, da je pritožba očitno neutemeljena in zato nedopustna.</w:t>
      </w:r>
    </w:p>
    <w:p w14:paraId="5DD8FFF5" w14:textId="77777777" w:rsidR="00695AE2" w:rsidRPr="00CB5050" w:rsidRDefault="00695AE2" w:rsidP="00695AE2">
      <w:pPr>
        <w:spacing w:line="240" w:lineRule="auto"/>
        <w:rPr>
          <w:rFonts w:eastAsia="Aptos"/>
          <w:szCs w:val="22"/>
          <w:lang w:eastAsia="sl-SI"/>
        </w:rPr>
      </w:pPr>
      <w:r w:rsidRPr="00CB5050">
        <w:rPr>
          <w:rFonts w:eastAsia="Aptos"/>
          <w:szCs w:val="22"/>
          <w:lang w:eastAsia="sl-SI"/>
        </w:rPr>
        <w:t xml:space="preserve"> </w:t>
      </w:r>
    </w:p>
    <w:p w14:paraId="68E04A65" w14:textId="77777777" w:rsidR="00695AE2" w:rsidRPr="00CB5050" w:rsidRDefault="00695AE2" w:rsidP="00695AE2">
      <w:pPr>
        <w:spacing w:line="240" w:lineRule="auto"/>
        <w:jc w:val="both"/>
        <w:rPr>
          <w:rFonts w:eastAsia="Aptos"/>
          <w:szCs w:val="22"/>
          <w:lang w:eastAsia="sl-SI"/>
        </w:rPr>
      </w:pPr>
      <w:r w:rsidRPr="00CB5050">
        <w:rPr>
          <w:rFonts w:eastAsia="Aptos"/>
          <w:szCs w:val="22"/>
          <w:lang w:eastAsia="sl-SI"/>
        </w:rPr>
        <w:t>Pritožnik P. R., nekdanji veleposlanik Republike Slovenije v Španiji, je zatrjeval kršitve konvencijskih pravic v zvezi s pravdnim postopkom pred slovenskimi sodišči (Okrožno sodišče v Ljubljani, opr. št. P 31/10-III in P 1048/2015-III), ki se je zaključil s sodbo Vrhovnega sodišča RS (II Ips 296/2017, 15. 3. 2018). V postopku je kot tožnik zahteval odškodnino za škodo, ki naj bi mu nastala zaradi nezakonitega vstopa uradnika Republike Slovenije v veleposlaniško rezidenco v Madridu leta 2009. Uradnik je rezidenco preiskal in fotografiral. Vrhovno sodišče je ugotovilo, da je bil vstop v zasebni del nezakonit, s čimer sta bili kršeni pravica do zasebnosti in nedotakljivosti stanovanja (35. in 36. člen Ustave), vstop v uradni del pa zakonit. Odškodnine pritožniku ni prisodilo, ker ni dokazal nastanka škode. Ustavno sodišče njegove pritožbe ni sprejelo v obravnavo.</w:t>
      </w:r>
    </w:p>
    <w:p w14:paraId="7F92F036" w14:textId="77777777" w:rsidR="00695AE2" w:rsidRPr="00CB5050" w:rsidRDefault="00695AE2" w:rsidP="00695AE2">
      <w:pPr>
        <w:spacing w:line="240" w:lineRule="auto"/>
        <w:jc w:val="both"/>
        <w:rPr>
          <w:rFonts w:eastAsia="Aptos"/>
          <w:szCs w:val="22"/>
          <w:lang w:eastAsia="sl-SI"/>
        </w:rPr>
      </w:pPr>
    </w:p>
    <w:p w14:paraId="43163A8F" w14:textId="77777777" w:rsidR="00695AE2" w:rsidRPr="00CB5050" w:rsidRDefault="00695AE2" w:rsidP="00695AE2">
      <w:pPr>
        <w:spacing w:line="240" w:lineRule="auto"/>
        <w:jc w:val="both"/>
        <w:rPr>
          <w:rFonts w:eastAsia="Aptos"/>
          <w:szCs w:val="22"/>
          <w:lang w:eastAsia="sl-SI"/>
        </w:rPr>
      </w:pPr>
      <w:r w:rsidRPr="00CB5050">
        <w:rPr>
          <w:rFonts w:eastAsia="Aptos"/>
          <w:szCs w:val="22"/>
          <w:lang w:eastAsia="sl-SI"/>
        </w:rPr>
        <w:lastRenderedPageBreak/>
        <w:t>Pred ESČP je zatrjeval kršitev pravice do spoštovanja zasebnega in družinskega življenja (8. člen), pravice do poštenega sojenja in učinkovitega pravnega sredstva (6. in 13. člen) ter prepovedi diskriminacije (14. člen). Menil je, da celotna rezidenca predstavlja dom v smislu 8. člena, vstop pa je bil nezakonit in brez zakonitega namena. Trdil je, da mu je Vrhovno sodišče odškodnino odreklo zaradi njegove duševne bolezni, kar pomeni diskriminacijo. Poudaril je, da je zaradi nezakonitega vstopa obstajala odškodninska odgovornost države. Dodal je, da so se kršitve njegovih pravic stopnjevale od leta 2008, ko je bil deležen odpoklica, nezakonite odpovedi in neutemeljenih kazenskih ovadb.</w:t>
      </w:r>
    </w:p>
    <w:p w14:paraId="46D14C00" w14:textId="77777777" w:rsidR="00695AE2" w:rsidRPr="00CB5050" w:rsidRDefault="00695AE2" w:rsidP="00695AE2">
      <w:pPr>
        <w:spacing w:line="240" w:lineRule="auto"/>
        <w:jc w:val="both"/>
        <w:rPr>
          <w:rFonts w:eastAsia="Aptos"/>
          <w:szCs w:val="22"/>
          <w:lang w:eastAsia="sl-SI"/>
        </w:rPr>
      </w:pPr>
    </w:p>
    <w:p w14:paraId="665D83D9" w14:textId="77777777" w:rsidR="00695AE2" w:rsidRPr="00CB5050" w:rsidRDefault="00695AE2" w:rsidP="00695AE2">
      <w:pPr>
        <w:spacing w:line="240" w:lineRule="auto"/>
        <w:jc w:val="both"/>
        <w:rPr>
          <w:rFonts w:eastAsia="Aptos"/>
          <w:color w:val="007466"/>
          <w:szCs w:val="22"/>
          <w:lang w:eastAsia="sl-SI"/>
        </w:rPr>
      </w:pPr>
      <w:r w:rsidRPr="00CB5050">
        <w:rPr>
          <w:rFonts w:eastAsia="Aptos"/>
          <w:color w:val="007466"/>
          <w:szCs w:val="22"/>
          <w:lang w:eastAsia="sl-SI"/>
        </w:rPr>
        <w:t>Presoja ESČP</w:t>
      </w:r>
    </w:p>
    <w:p w14:paraId="2C981298" w14:textId="77777777" w:rsidR="00695AE2" w:rsidRPr="00CB5050" w:rsidRDefault="00695AE2" w:rsidP="00695AE2">
      <w:pPr>
        <w:spacing w:line="240" w:lineRule="auto"/>
        <w:jc w:val="both"/>
        <w:rPr>
          <w:rFonts w:eastAsia="Aptos"/>
          <w:b/>
          <w:bCs/>
          <w:szCs w:val="22"/>
          <w:lang w:eastAsia="sl-SI"/>
        </w:rPr>
      </w:pPr>
    </w:p>
    <w:p w14:paraId="610E273C" w14:textId="77777777" w:rsidR="00695AE2" w:rsidRPr="00CB5050" w:rsidRDefault="00695AE2" w:rsidP="00695AE2">
      <w:pPr>
        <w:spacing w:line="240" w:lineRule="auto"/>
        <w:jc w:val="both"/>
        <w:rPr>
          <w:rFonts w:eastAsia="Aptos"/>
          <w:szCs w:val="22"/>
          <w:lang w:eastAsia="sl-SI"/>
        </w:rPr>
      </w:pPr>
      <w:r w:rsidRPr="00CB5050">
        <w:rPr>
          <w:rFonts w:eastAsia="Aptos"/>
          <w:szCs w:val="22"/>
          <w:lang w:eastAsia="sl-SI"/>
        </w:rPr>
        <w:t xml:space="preserve">ESČP je presojalo, ali je bilo pritožniku zagotovljeno pravično zadoščenje za ugotovljene kršitve na nacionalni ravni, in zlasti, ali je zavrnitev njegovega odškodninskega zahtevka pomenila diskriminacijo v smislu 14. člena konvencije. Skladno s svojo ustaljeno sodno prakso je poudarilo, da morajo domače pravo razlagati in uporabljati predvsem domači organi, zlasti sodišča, njegova vloga pa je omejena na presojo, ali je njihova razlaga v skladu s konvencijo, pri čemer se mora prepričati, ali so domači organi odločali na podlagi sprejemljive presoje pomembnih dejstev (14. in 15. odstavek sklepa). </w:t>
      </w:r>
    </w:p>
    <w:p w14:paraId="770416B7" w14:textId="77777777" w:rsidR="00695AE2" w:rsidRPr="00CB5050" w:rsidRDefault="00695AE2" w:rsidP="00695AE2">
      <w:pPr>
        <w:spacing w:line="240" w:lineRule="auto"/>
        <w:jc w:val="both"/>
        <w:rPr>
          <w:rFonts w:eastAsia="Aptos"/>
          <w:szCs w:val="22"/>
          <w:lang w:eastAsia="sl-SI"/>
        </w:rPr>
      </w:pPr>
    </w:p>
    <w:p w14:paraId="72E85639" w14:textId="77777777" w:rsidR="00695AE2" w:rsidRPr="00CB5050" w:rsidRDefault="00695AE2" w:rsidP="00695AE2">
      <w:pPr>
        <w:spacing w:line="240" w:lineRule="auto"/>
        <w:jc w:val="both"/>
        <w:rPr>
          <w:rFonts w:eastAsia="Aptos"/>
          <w:szCs w:val="22"/>
          <w:lang w:eastAsia="sl-SI"/>
        </w:rPr>
      </w:pPr>
      <w:r w:rsidRPr="00CB5050">
        <w:rPr>
          <w:rFonts w:eastAsia="Aptos"/>
          <w:szCs w:val="22"/>
          <w:lang w:eastAsia="sl-SI"/>
        </w:rPr>
        <w:t xml:space="preserve">Kot pomembno dejstvo je ESČP štelo, da pritožniku ni bila </w:t>
      </w:r>
      <w:r w:rsidRPr="00CB5050">
        <w:rPr>
          <w:rFonts w:eastAsia="Aptos"/>
          <w:i/>
          <w:iCs/>
          <w:szCs w:val="22"/>
          <w:lang w:eastAsia="sl-SI"/>
        </w:rPr>
        <w:t>a priori</w:t>
      </w:r>
      <w:r w:rsidRPr="00CB5050">
        <w:rPr>
          <w:rFonts w:eastAsia="Aptos"/>
          <w:szCs w:val="22"/>
          <w:lang w:eastAsia="sl-SI"/>
        </w:rPr>
        <w:t xml:space="preserve"> preprečena pridobitev odškodnine za premoženjsko in nepremoženjsko škodo, ki jo je utrpel zaradi svojega duševnega stanja. Ugotovilo je, da so domača sodišča preučila utemeljenost pritožnikovega zahtevka v kontradiktornem postopku na treh sodnih stopnjah, pri zavrnitvi odškodninskega zahtevka pa se niso sklicevala na pritožnikovo duševno stanje, temveč na presojo izvedenca glede enega od objektivnih zakonskih pogojev civilnega delikta, tj. obstoja škode. Izvedenec, ki je bil v najboljšem položaju, da to oceni, je ugotovil, da pritožnik zaradi nezakonitega pregleda zasebnega dela rezidence ni utrpel posebne škode, pri čemer nič ne kaže na to, da bi izvedenec podal svoje mnenje kakorkoli pristransko ali diskriminatorno (17. odstavek). </w:t>
      </w:r>
    </w:p>
    <w:p w14:paraId="5640D0B3" w14:textId="77777777" w:rsidR="00695AE2" w:rsidRPr="00CB5050" w:rsidRDefault="00695AE2" w:rsidP="00695AE2">
      <w:pPr>
        <w:spacing w:line="240" w:lineRule="auto"/>
        <w:jc w:val="both"/>
        <w:rPr>
          <w:rFonts w:eastAsia="Aptos"/>
          <w:szCs w:val="22"/>
          <w:lang w:eastAsia="sl-SI"/>
        </w:rPr>
      </w:pPr>
    </w:p>
    <w:p w14:paraId="0F9356F2" w14:textId="77777777" w:rsidR="00695AE2" w:rsidRPr="00775C33" w:rsidRDefault="00695AE2" w:rsidP="00695AE2">
      <w:pPr>
        <w:spacing w:line="240" w:lineRule="auto"/>
        <w:jc w:val="both"/>
        <w:rPr>
          <w:rFonts w:eastAsia="Aptos"/>
          <w:szCs w:val="22"/>
          <w:lang w:eastAsia="sl-SI"/>
        </w:rPr>
      </w:pPr>
      <w:r w:rsidRPr="00CB5050">
        <w:rPr>
          <w:rFonts w:eastAsia="Aptos"/>
          <w:szCs w:val="22"/>
          <w:lang w:eastAsia="sl-SI"/>
        </w:rPr>
        <w:t xml:space="preserve">Glede na obrazložitev Vrhovnega sodišča in dejstvo, da pritožnik ni izpodbijal izvedenskega mnenja, ESČP ni našlo razlogov v prid stališču, da razlaga in uporaba domačega prava s strani Vrhovnega sodišča ne bi bili skladni s 14. členom v povezavi z 8. členom konvencije. Posledično je ugotovilo, da tudi ob predpostavki, da je bil pritožnik zaradi svojega zdravstvenega stanja obravnavan drugače, je taka obravnava temeljila na objektivnih in razumnih razlogih. Ker je bila domnevna diskriminacija pri dostopu do odškodnine bistveni del pritožnikove pritožbe po 8. členu, obravnavanem ločeno, ESČP tudi v kontekstu obravnave pritožbe po 14. členu v povezavi z 8. členom konvencije ni našlo nobenega elementa, ki bi kazal, da niso bila spoštovana jamstva te določbe (18. odstavek). Soglasno je zaključilo, da je ta del pritožbe očitno neutemeljen v smislu tretjega odstavka 35. člena konvencije, in da ga je zato treba v skladu s četrtim odstavkom istega člena zavrniti (19. odstavek). Zaključilo je tudi, da je zaradi neobstoja dokazljivega zahtevka po 8. in 14. členu konvencije pritožnikova pritožba </w:t>
      </w:r>
      <w:r w:rsidRPr="00CB5050">
        <w:rPr>
          <w:rFonts w:eastAsia="Aptos"/>
          <w:i/>
          <w:iCs/>
          <w:szCs w:val="22"/>
          <w:lang w:eastAsia="sl-SI"/>
        </w:rPr>
        <w:t>ratione materiae</w:t>
      </w:r>
      <w:r w:rsidRPr="00CB5050">
        <w:rPr>
          <w:rFonts w:eastAsia="Aptos"/>
          <w:szCs w:val="22"/>
          <w:lang w:eastAsia="sl-SI"/>
        </w:rPr>
        <w:t xml:space="preserve"> nezdružljiva z določbami konvencije v smislu točke a tretjega odstavka 35. člena in </w:t>
      </w:r>
      <w:r w:rsidRPr="00775C33">
        <w:rPr>
          <w:rFonts w:eastAsia="Aptos"/>
          <w:szCs w:val="22"/>
          <w:lang w:eastAsia="sl-SI"/>
        </w:rPr>
        <w:t>da jo je treba zavrniti v skladu s četrtim odstavkom istega člena.</w:t>
      </w:r>
    </w:p>
    <w:p w14:paraId="227B3551" w14:textId="77777777" w:rsidR="00695AE2" w:rsidRPr="00775C33" w:rsidRDefault="00695AE2" w:rsidP="00695AE2">
      <w:pPr>
        <w:spacing w:line="240" w:lineRule="auto"/>
        <w:rPr>
          <w:rFonts w:eastAsia="Aptos"/>
          <w:szCs w:val="22"/>
          <w:lang w:eastAsia="sl-SI"/>
        </w:rPr>
      </w:pPr>
    </w:p>
    <w:p w14:paraId="6BB92F20" w14:textId="10817085" w:rsidR="00695AE2" w:rsidRPr="00775C33" w:rsidRDefault="00775C33" w:rsidP="00695AE2">
      <w:pPr>
        <w:pStyle w:val="Naslov5"/>
        <w:rPr>
          <w:szCs w:val="22"/>
        </w:rPr>
      </w:pPr>
      <w:bookmarkStart w:id="1215" w:name="_Toc223094149"/>
      <w:r>
        <w:rPr>
          <w:i/>
          <w:iCs/>
          <w:shd w:val="clear" w:color="auto" w:fill="FFFFFF"/>
        </w:rPr>
        <w:t>Piro Planet d.o.o. proti Sloveniji</w:t>
      </w:r>
      <w:bookmarkEnd w:id="1215"/>
    </w:p>
    <w:p w14:paraId="3A51E280" w14:textId="77777777" w:rsidR="00695AE2" w:rsidRPr="00775C33" w:rsidRDefault="00695AE2" w:rsidP="00695AE2">
      <w:pPr>
        <w:spacing w:line="240" w:lineRule="auto"/>
        <w:jc w:val="both"/>
        <w:rPr>
          <w:rFonts w:eastAsia="Aptos"/>
          <w:szCs w:val="22"/>
        </w:rPr>
      </w:pPr>
    </w:p>
    <w:p w14:paraId="726B1659" w14:textId="77777777" w:rsidR="00695AE2" w:rsidRPr="00CB5050" w:rsidRDefault="00695AE2" w:rsidP="00695AE2">
      <w:pPr>
        <w:spacing w:line="240" w:lineRule="auto"/>
        <w:jc w:val="both"/>
        <w:rPr>
          <w:rFonts w:eastAsia="Aptos"/>
          <w:szCs w:val="22"/>
        </w:rPr>
      </w:pPr>
      <w:r w:rsidRPr="00CB5050">
        <w:rPr>
          <w:rFonts w:eastAsia="Aptos"/>
          <w:szCs w:val="22"/>
        </w:rPr>
        <w:lastRenderedPageBreak/>
        <w:t>Družba pritožnica je zatrjevala več kršitev konvencijskih pravic, in sicer pravice do mirnega uživanja premoženja in procesnih kavtel iz 1. člena Protokola št. 1 h konvenciji ter pravice do dostopa do sodišča iz prvega odstavka 6. člena konvencije. Do zatrjevanih kršitev naj bi prišlo s sprejemom vladnih odlokov v okviru epidemije COVID19, ki so vsebovali ukrepe prepovedi ponujanja in prodaje blaga in storitev neposredno potrošnikom, konkretno tudi pirotehničnih sredstev.</w:t>
      </w:r>
    </w:p>
    <w:p w14:paraId="114549F9" w14:textId="77777777" w:rsidR="00695AE2" w:rsidRPr="00CB5050" w:rsidRDefault="00695AE2" w:rsidP="00695AE2">
      <w:pPr>
        <w:spacing w:line="240" w:lineRule="auto"/>
        <w:jc w:val="both"/>
        <w:rPr>
          <w:rFonts w:eastAsia="Aptos"/>
          <w:szCs w:val="22"/>
        </w:rPr>
      </w:pPr>
    </w:p>
    <w:p w14:paraId="2A338FD4" w14:textId="77777777" w:rsidR="00695AE2" w:rsidRPr="00CB5050" w:rsidRDefault="00695AE2" w:rsidP="00695AE2">
      <w:pPr>
        <w:spacing w:line="240" w:lineRule="auto"/>
        <w:jc w:val="both"/>
        <w:rPr>
          <w:rFonts w:eastAsia="Aptos"/>
          <w:szCs w:val="22"/>
        </w:rPr>
      </w:pPr>
      <w:r w:rsidRPr="00CB5050">
        <w:rPr>
          <w:rFonts w:eastAsia="Aptos"/>
          <w:szCs w:val="22"/>
        </w:rPr>
        <w:t>Vlada je v decembru 2020 sprejela več odlokov v okviru ukrepov, povezanih z epidemijo COVID19. V zadevnih odlokih je, med drugim, prepovedala ponujanje in prodajo pirotehničnih sredstev neposredno potrošnikom, torej dejavnost, za katero je imela družba pritožnica posebno dovoljenje, ter v času, ko naj bi dosegla več kot 90 % letnega prometa v svoji dejavnosti. Zadevna prepoved ponujanja in prodaje blaga in storitev je veljala do vključno 15. januarja 2021.</w:t>
      </w:r>
    </w:p>
    <w:p w14:paraId="17217E9A" w14:textId="77777777" w:rsidR="00695AE2" w:rsidRPr="00CB5050" w:rsidRDefault="00695AE2" w:rsidP="00695AE2">
      <w:pPr>
        <w:spacing w:line="240" w:lineRule="auto"/>
        <w:jc w:val="both"/>
        <w:rPr>
          <w:rFonts w:eastAsia="Aptos"/>
          <w:szCs w:val="22"/>
        </w:rPr>
      </w:pPr>
    </w:p>
    <w:p w14:paraId="7B029177" w14:textId="77777777" w:rsidR="00695AE2" w:rsidRPr="00CB5050" w:rsidRDefault="00695AE2" w:rsidP="00695AE2">
      <w:pPr>
        <w:spacing w:line="240" w:lineRule="auto"/>
        <w:jc w:val="both"/>
        <w:rPr>
          <w:rFonts w:eastAsia="Aptos"/>
          <w:szCs w:val="22"/>
        </w:rPr>
      </w:pPr>
      <w:r w:rsidRPr="00CB5050">
        <w:rPr>
          <w:rFonts w:eastAsia="Aptos"/>
          <w:szCs w:val="22"/>
        </w:rPr>
        <w:t>V maju in oktobru 2021 je Ustavno sodišče odločilo v zadevah U-I-79/20 ter U-I-155/20, v katerih je razveljavilo zakonsko pravno podlago za sprejem odlokov vlade v decembru 2020.</w:t>
      </w:r>
    </w:p>
    <w:p w14:paraId="2C9372ED" w14:textId="77777777" w:rsidR="00695AE2" w:rsidRPr="00CB5050" w:rsidRDefault="00695AE2" w:rsidP="00695AE2">
      <w:pPr>
        <w:spacing w:line="240" w:lineRule="auto"/>
        <w:jc w:val="both"/>
        <w:rPr>
          <w:rFonts w:eastAsia="Aptos"/>
          <w:szCs w:val="22"/>
        </w:rPr>
      </w:pPr>
    </w:p>
    <w:p w14:paraId="2FACA8C5" w14:textId="77777777" w:rsidR="00695AE2" w:rsidRPr="00CB5050" w:rsidRDefault="00695AE2" w:rsidP="00695AE2">
      <w:pPr>
        <w:spacing w:line="240" w:lineRule="auto"/>
        <w:jc w:val="both"/>
        <w:rPr>
          <w:rFonts w:eastAsia="Aptos"/>
          <w:szCs w:val="22"/>
        </w:rPr>
      </w:pPr>
      <w:r w:rsidRPr="00CB5050">
        <w:rPr>
          <w:rFonts w:eastAsia="Aptos"/>
          <w:szCs w:val="22"/>
        </w:rPr>
        <w:t>Družba pritožnica je decembra 2021 na Ustavno sodišče vložila pobudo za oceno ustavnosti in zakonitosti odlokov, ki pa jo je stavno sodišče zavrglo, ker pritožnik ni izkazal pravnega interesa. Ustavno sodišče je v obrazložitvi izpostavilo, da izpodbijane določbe odlokov v času vložitve pobude za oceno ustavnosti in zakonitosti niso več veljale. Ustavno sodišče poleg tega na podlagi 47. člena Zakona o Ustavnem sodišču lahko presoja neveljavne predpise le, če niso bile odpravljene posledice protiustavnosti in nezakonitosti. V obrazložitvi je poudarilo, da iz ustaljene sodne prakse Ustavnega sodišča izhaja, da za utemeljitev pravovarstvene potrebe iz drugega odstavka 47. člena Zakona o Ustavnem sodišču ne zadošča posplošeno sklicevanje na upad prihodkov. Poleg tega je v ustaljeni sodni praksi Ustavnega sodišča zavzeto stališče, da v primerih, ko pobudnik utemeljuje pravovarstveno potrebo s premoženjskim prikrajšanjem, kot na primer upadom prihodkov, morebitna ugotovitev protiustavnosti ter razveljavitev ali odprava izpodbijanih določb ne bi v ničemer spremenila pravnega položaja pobudnika.</w:t>
      </w:r>
    </w:p>
    <w:p w14:paraId="0DD349AA" w14:textId="77777777" w:rsidR="00695AE2" w:rsidRPr="00CB5050" w:rsidRDefault="00695AE2" w:rsidP="00695AE2">
      <w:pPr>
        <w:spacing w:line="240" w:lineRule="auto"/>
        <w:jc w:val="both"/>
        <w:rPr>
          <w:rFonts w:eastAsia="Aptos"/>
          <w:szCs w:val="22"/>
        </w:rPr>
      </w:pPr>
    </w:p>
    <w:p w14:paraId="7DBDA5CB" w14:textId="77777777" w:rsidR="00695AE2" w:rsidRPr="00CB5050" w:rsidRDefault="00695AE2" w:rsidP="00695AE2">
      <w:pPr>
        <w:spacing w:line="240" w:lineRule="auto"/>
        <w:jc w:val="both"/>
        <w:rPr>
          <w:rFonts w:eastAsia="Aptos"/>
          <w:szCs w:val="22"/>
        </w:rPr>
      </w:pPr>
      <w:r w:rsidRPr="00CB5050">
        <w:rPr>
          <w:rFonts w:eastAsia="Aptos"/>
          <w:szCs w:val="22"/>
        </w:rPr>
        <w:t>Pritožnik je poleg tega vložil tudi odškodninsko tožbo zoper Republiko Slovenijo, o kateri v času presoje še ni bilo odločeno. ESČP je ugotovilo, da pritožnik ni izčrpal odškodninske tožbe kot notranjega pravnega sredstva v zvezi z zatrjevano kršitvijo pravice do mirnega uživanja premoženja. Glede kršitve pravice do dostopa do sodišča pa je ugotovilo, da odločitev Ustavnega sodišča o zavrženju pobude za oceno ustavnosti in zakonitosti pritožnika ni bila očitno arbitrarna in da je bila obrazložitev Ustavnega sodišča zadostna.</w:t>
      </w:r>
    </w:p>
    <w:p w14:paraId="6F8E4EEF" w14:textId="77777777" w:rsidR="00695AE2" w:rsidRPr="00CB5050" w:rsidRDefault="00695AE2" w:rsidP="00695AE2">
      <w:pPr>
        <w:spacing w:line="240" w:lineRule="auto"/>
        <w:rPr>
          <w:rFonts w:eastAsia="Aptos"/>
          <w:szCs w:val="22"/>
        </w:rPr>
      </w:pPr>
    </w:p>
    <w:p w14:paraId="41772022" w14:textId="77777777" w:rsidR="00695AE2" w:rsidRPr="00CB5050" w:rsidRDefault="00695AE2" w:rsidP="00695AE2">
      <w:pPr>
        <w:pStyle w:val="Naslov4"/>
        <w:rPr>
          <w:rFonts w:eastAsia="Aptos"/>
        </w:rPr>
      </w:pPr>
      <w:bookmarkStart w:id="1216" w:name="_Toc223094150"/>
      <w:r w:rsidRPr="00CB5050">
        <w:rPr>
          <w:rFonts w:eastAsia="Aptos"/>
          <w:szCs w:val="22"/>
        </w:rPr>
        <w:t xml:space="preserve">Sklep o nedopustnosti zadev </w:t>
      </w:r>
      <w:r w:rsidRPr="00CB5050">
        <w:rPr>
          <w:rFonts w:eastAsia="Aptos"/>
        </w:rPr>
        <w:t>zaradi ne izčrpanja domačih pravnih sredstev</w:t>
      </w:r>
      <w:bookmarkEnd w:id="1216"/>
    </w:p>
    <w:p w14:paraId="12189531" w14:textId="77777777" w:rsidR="00695AE2" w:rsidRPr="00CB5050" w:rsidRDefault="00695AE2" w:rsidP="00695AE2">
      <w:pPr>
        <w:spacing w:line="240" w:lineRule="auto"/>
        <w:rPr>
          <w:rFonts w:eastAsia="Aptos"/>
          <w:i/>
          <w:iCs/>
          <w:color w:val="007466"/>
          <w:szCs w:val="22"/>
        </w:rPr>
      </w:pPr>
    </w:p>
    <w:p w14:paraId="54202E4C" w14:textId="77777777" w:rsidR="00695AE2" w:rsidRPr="00CB5050" w:rsidRDefault="00695AE2" w:rsidP="00695AE2">
      <w:pPr>
        <w:pStyle w:val="Naslov5"/>
        <w:rPr>
          <w:szCs w:val="22"/>
        </w:rPr>
      </w:pPr>
      <w:bookmarkStart w:id="1217" w:name="_Toc223094151"/>
      <w:r w:rsidRPr="00CB5050">
        <w:rPr>
          <w:i/>
          <w:iCs/>
        </w:rPr>
        <w:t xml:space="preserve">Kotnik in Jukič, </w:t>
      </w:r>
      <w:r w:rsidRPr="00CB5050">
        <w:t xml:space="preserve">št. </w:t>
      </w:r>
      <w:r w:rsidRPr="00CB5050">
        <w:rPr>
          <w:szCs w:val="20"/>
          <w:lang w:eastAsia="sl-SI"/>
        </w:rPr>
        <w:t>56605/19 in 25424/23</w:t>
      </w:r>
      <w:bookmarkEnd w:id="1217"/>
    </w:p>
    <w:p w14:paraId="719D0DF8" w14:textId="77777777" w:rsidR="00695AE2" w:rsidRPr="00CB5050" w:rsidRDefault="00695AE2" w:rsidP="00695AE2">
      <w:pPr>
        <w:spacing w:line="240" w:lineRule="auto"/>
        <w:rPr>
          <w:rFonts w:eastAsia="Aptos"/>
        </w:rPr>
      </w:pPr>
    </w:p>
    <w:p w14:paraId="312DE6AB" w14:textId="77777777" w:rsidR="00695AE2" w:rsidRPr="00CB5050" w:rsidRDefault="00695AE2" w:rsidP="00695AE2">
      <w:pPr>
        <w:spacing w:line="240" w:lineRule="auto"/>
        <w:jc w:val="both"/>
        <w:rPr>
          <w:rFonts w:eastAsia="Aptos"/>
        </w:rPr>
      </w:pPr>
      <w:r w:rsidRPr="00CB5050">
        <w:rPr>
          <w:rFonts w:eastAsia="Aptos"/>
        </w:rPr>
        <w:t>Sodišče je 6. marca 2025 v skladu s prvim in četrtim odstavkom 35. člena konvencije pritožbi</w:t>
      </w:r>
      <w:r w:rsidRPr="00CB5050">
        <w:rPr>
          <w:rFonts w:eastAsia="Aptos"/>
          <w:vertAlign w:val="superscript"/>
        </w:rPr>
        <w:footnoteReference w:id="35"/>
      </w:r>
      <w:r w:rsidRPr="00CB5050">
        <w:rPr>
          <w:rFonts w:eastAsia="Aptos"/>
        </w:rPr>
        <w:t xml:space="preserve"> zaradi ne izčrpanja domačih pravnih sredstev razglasilo za nedopustni. </w:t>
      </w:r>
    </w:p>
    <w:p w14:paraId="48F70676" w14:textId="77777777" w:rsidR="00695AE2" w:rsidRPr="00CB5050" w:rsidRDefault="00695AE2" w:rsidP="00695AE2">
      <w:pPr>
        <w:spacing w:line="240" w:lineRule="auto"/>
        <w:jc w:val="both"/>
        <w:rPr>
          <w:rFonts w:eastAsia="Aptos"/>
        </w:rPr>
      </w:pPr>
    </w:p>
    <w:p w14:paraId="47BFBCA0" w14:textId="77777777" w:rsidR="00695AE2" w:rsidRPr="00CB5050" w:rsidRDefault="00695AE2" w:rsidP="00695AE2">
      <w:pPr>
        <w:spacing w:line="240" w:lineRule="auto"/>
        <w:jc w:val="both"/>
        <w:rPr>
          <w:rFonts w:eastAsia="Aptos"/>
        </w:rPr>
      </w:pPr>
      <w:r w:rsidRPr="00CB5050">
        <w:rPr>
          <w:rFonts w:eastAsia="Aptos"/>
        </w:rPr>
        <w:t xml:space="preserve">Zadeva se je nanašala na izredne ukrepe, ki jih je Banka Slovenije v letih 2013 in 2014 sprejela v zvezi z več slovenskimi bankami, zaradi katerih so bile izbrisane vse delnice oziroma podrejene obveznice teh bank. Pritožnika sta se pritoževala, da še vedno nimata učinkovite možnosti izpodbijanja posega v njuno pravico do mirnega uživanja premoženja, ker slovenski organi niso izvršili sodbe v zadevi </w:t>
      </w:r>
      <w:r w:rsidRPr="00CB5050">
        <w:rPr>
          <w:rFonts w:eastAsia="Aptos"/>
          <w:i/>
          <w:iCs/>
        </w:rPr>
        <w:t>Pintar in drugi proti Sloveniji</w:t>
      </w:r>
      <w:r w:rsidRPr="00CB5050">
        <w:rPr>
          <w:rFonts w:eastAsia="Aptos"/>
        </w:rPr>
        <w:t>, št. 49969/14 in 4 druge z dne 14. septembra 2021. Na tisoče posameznikov in družb je v podobnem položaju kot pritožnika.</w:t>
      </w:r>
    </w:p>
    <w:p w14:paraId="21B42536" w14:textId="77777777" w:rsidR="00695AE2" w:rsidRPr="00CB5050" w:rsidRDefault="00695AE2" w:rsidP="00695AE2">
      <w:pPr>
        <w:spacing w:line="240" w:lineRule="auto"/>
        <w:jc w:val="both"/>
        <w:rPr>
          <w:rFonts w:eastAsia="Aptos"/>
        </w:rPr>
      </w:pPr>
    </w:p>
    <w:p w14:paraId="17044F5A" w14:textId="77777777" w:rsidR="00695AE2" w:rsidRPr="00CB5050" w:rsidRDefault="00695AE2" w:rsidP="00695AE2">
      <w:pPr>
        <w:spacing w:line="240" w:lineRule="auto"/>
        <w:jc w:val="both"/>
        <w:rPr>
          <w:rFonts w:eastAsia="Aptos"/>
          <w:lang w:val="sl"/>
        </w:rPr>
      </w:pPr>
      <w:r w:rsidRPr="00CB5050">
        <w:rPr>
          <w:rFonts w:eastAsia="Aptos"/>
        </w:rPr>
        <w:t xml:space="preserve">Pritožnik </w:t>
      </w:r>
      <w:r w:rsidRPr="00CB5050">
        <w:rPr>
          <w:rFonts w:eastAsia="Aptos"/>
          <w:i/>
          <w:iCs/>
        </w:rPr>
        <w:t>Kotnik</w:t>
      </w:r>
      <w:r w:rsidRPr="00CB5050">
        <w:rPr>
          <w:rFonts w:eastAsia="Aptos"/>
        </w:rPr>
        <w:t xml:space="preserve"> je bil imetnik podrejenih obveznic Banke Celje. Glede njihovega izbrisa je vložil pritožbo, o kateri je bilo odločeno s sodbo </w:t>
      </w:r>
      <w:r w:rsidRPr="00CB5050">
        <w:rPr>
          <w:rFonts w:eastAsia="Aptos"/>
          <w:i/>
          <w:iCs/>
        </w:rPr>
        <w:t>Pintar in drugi</w:t>
      </w:r>
      <w:r w:rsidRPr="00CB5050">
        <w:rPr>
          <w:rFonts w:eastAsia="Aptos"/>
        </w:rPr>
        <w:t xml:space="preserve">, ta pritožba pa se je nanašala na zavrnitev izplačila obresti iz njegovih obveznic BCE16 (imenovanih 'kuponska izplačila'), preden so bile te obveznice s sklepom iz leta 2014 izbrisane. Pritožnik </w:t>
      </w:r>
      <w:r w:rsidRPr="00CB5050">
        <w:rPr>
          <w:rFonts w:eastAsia="Aptos"/>
          <w:i/>
          <w:iCs/>
        </w:rPr>
        <w:t>Jukič</w:t>
      </w:r>
      <w:r w:rsidRPr="00CB5050">
        <w:rPr>
          <w:rFonts w:eastAsia="Aptos"/>
        </w:rPr>
        <w:t xml:space="preserve"> </w:t>
      </w:r>
      <w:r w:rsidRPr="00CB5050">
        <w:rPr>
          <w:rFonts w:eastAsia="Aptos"/>
          <w:lang w:val="sl"/>
        </w:rPr>
        <w:t xml:space="preserve">je imel v lasti delnice Nove KBM, ki so bile izbrisane na podlagi odločbe Banke Slovenije z dne 17. 12. 2013. V zvezi z navedeno odločbo Banke Slovenije je Sodišče v zadevi </w:t>
      </w:r>
      <w:r w:rsidRPr="00CB5050">
        <w:rPr>
          <w:rFonts w:eastAsia="Aptos"/>
          <w:i/>
          <w:iCs/>
          <w:lang w:val="sl"/>
        </w:rPr>
        <w:t>Pintar in drugi</w:t>
      </w:r>
      <w:r w:rsidRPr="00CB5050">
        <w:rPr>
          <w:rFonts w:eastAsia="Aptos"/>
          <w:lang w:val="sl"/>
        </w:rPr>
        <w:t xml:space="preserve"> ugotovilo kršitev 1. člena Protokola št. 1 h konvenciji, med drugimi tudi iz razloga, ker ni imel razumne možnosti za izpodbijanje spornih odločb Banke Slovenije in/ali zahtevanje odškodnine. Predmetno pritožbo je vložil eno leto in devet mesecev po izdaji sodbe </w:t>
      </w:r>
      <w:r w:rsidRPr="00CB5050">
        <w:rPr>
          <w:rFonts w:eastAsia="Aptos"/>
          <w:i/>
          <w:iCs/>
          <w:lang w:val="sl"/>
        </w:rPr>
        <w:t>Pintar in drugi</w:t>
      </w:r>
      <w:r w:rsidRPr="00CB5050">
        <w:rPr>
          <w:rFonts w:eastAsia="Aptos"/>
          <w:lang w:val="sl"/>
        </w:rPr>
        <w:t xml:space="preserve"> in zatrjeval, da tudi po sodbi </w:t>
      </w:r>
      <w:r w:rsidRPr="00CB5050">
        <w:rPr>
          <w:rFonts w:eastAsia="Aptos"/>
          <w:i/>
          <w:iCs/>
          <w:lang w:val="sl"/>
        </w:rPr>
        <w:t>Pintar in drugi</w:t>
      </w:r>
      <w:r w:rsidRPr="00CB5050">
        <w:rPr>
          <w:rFonts w:eastAsia="Aptos"/>
          <w:lang w:val="sl"/>
        </w:rPr>
        <w:t xml:space="preserve"> tožena država še vedno ni sprejela ustreznih ukrepov za zagotovitev pravic nekdanjih imetnikov izbrisanih obveznic in delnic, ki so zato ostali nezmožni izpodbijati odločbo iz leta 2013 in z njo povezanih ukrepov, sprejetih proti njim. </w:t>
      </w:r>
      <w:r w:rsidRPr="00CB5050">
        <w:rPr>
          <w:rFonts w:eastAsia="Aptos"/>
        </w:rPr>
        <w:t xml:space="preserve">Oba pritožnika </w:t>
      </w:r>
      <w:bookmarkStart w:id="1218" w:name="bookmark35"/>
      <w:r w:rsidRPr="00CB5050">
        <w:rPr>
          <w:rFonts w:eastAsia="Aptos"/>
          <w:lang w:val="sl"/>
        </w:rPr>
        <w:t xml:space="preserve">sta se pritoževala, da sta jima bili z odločbama Banke Slovenije o uvedbi izrednih ukrepov kršeni njuni pravici do premoženja; pritoževala sta se tudi zaradi trajajoče odsotnosti učinkovitega pravnega sredstva oziroma postopka, s katerim bi izpodbijala zadevne ukrepe in zahtevala odškodnino (ob tem sta se sklicevala na prvi odstavek 6. člena, 13. člen konvencije in na 1. člen Protokola št. 1 h konvenciji). V zvezi s tem se je pritožnik </w:t>
      </w:r>
      <w:r w:rsidRPr="00CB5050">
        <w:rPr>
          <w:rFonts w:eastAsia="Aptos"/>
          <w:i/>
          <w:iCs/>
          <w:lang w:val="sl"/>
        </w:rPr>
        <w:t>Kotnik</w:t>
      </w:r>
      <w:r w:rsidRPr="00CB5050">
        <w:rPr>
          <w:rFonts w:eastAsia="Aptos"/>
          <w:lang w:val="sl"/>
        </w:rPr>
        <w:t xml:space="preserve"> pritožil, da mu je bila retroaktivno odvzeta njegova pravica do plačila obresti obveznic, ki so predstavljale obstoječe premoženje, in je bil s tem kršen 1. člen Protokola št. 1 h konvenciji. Ob pritožnika sta trdila, da tožena država ni izvršila sodbe Sodišča v zadevi </w:t>
      </w:r>
      <w:r w:rsidRPr="00CB5050">
        <w:rPr>
          <w:rFonts w:eastAsia="Aptos"/>
          <w:i/>
          <w:iCs/>
          <w:lang w:val="sl"/>
        </w:rPr>
        <w:t>Pintar in drugi</w:t>
      </w:r>
      <w:r w:rsidRPr="00CB5050">
        <w:rPr>
          <w:rFonts w:eastAsia="Aptos"/>
          <w:lang w:val="sl"/>
        </w:rPr>
        <w:t>.</w:t>
      </w:r>
      <w:bookmarkEnd w:id="1218"/>
    </w:p>
    <w:p w14:paraId="1B64F528" w14:textId="77777777" w:rsidR="00695AE2" w:rsidRPr="00CB5050" w:rsidRDefault="00695AE2" w:rsidP="00695AE2">
      <w:pPr>
        <w:spacing w:line="240" w:lineRule="auto"/>
        <w:jc w:val="both"/>
        <w:rPr>
          <w:rFonts w:eastAsia="Aptos"/>
          <w:lang w:val="sl"/>
        </w:rPr>
      </w:pPr>
    </w:p>
    <w:p w14:paraId="0B1DC19F" w14:textId="77777777" w:rsidR="00695AE2" w:rsidRPr="00CB5050" w:rsidRDefault="00695AE2" w:rsidP="00695AE2">
      <w:pPr>
        <w:spacing w:line="240" w:lineRule="auto"/>
        <w:jc w:val="both"/>
        <w:rPr>
          <w:rFonts w:eastAsia="Aptos"/>
          <w:lang w:val="sl"/>
        </w:rPr>
      </w:pPr>
      <w:r w:rsidRPr="00CB5050">
        <w:rPr>
          <w:rFonts w:eastAsia="Aptos"/>
          <w:lang w:val="sl"/>
        </w:rPr>
        <w:t>Sodišče je menilo, da je treba očitke pritožnikov preučiti po 1. členu Protokola št. 1 h konvenciji.</w:t>
      </w:r>
    </w:p>
    <w:p w14:paraId="0F99AC2F" w14:textId="77777777" w:rsidR="00695AE2" w:rsidRPr="00CB5050" w:rsidRDefault="00695AE2" w:rsidP="00695AE2">
      <w:pPr>
        <w:spacing w:line="240" w:lineRule="auto"/>
        <w:jc w:val="both"/>
        <w:rPr>
          <w:rFonts w:eastAsia="Aptos"/>
        </w:rPr>
      </w:pPr>
    </w:p>
    <w:p w14:paraId="156F3C20" w14:textId="77777777" w:rsidR="00695AE2" w:rsidRPr="00CB5050" w:rsidRDefault="00695AE2" w:rsidP="00695AE2">
      <w:pPr>
        <w:spacing w:line="240" w:lineRule="auto"/>
        <w:jc w:val="both"/>
        <w:rPr>
          <w:rFonts w:eastAsia="Aptos"/>
        </w:rPr>
      </w:pPr>
      <w:r w:rsidRPr="00CB5050">
        <w:rPr>
          <w:rFonts w:eastAsia="Aptos"/>
        </w:rPr>
        <w:t xml:space="preserve">V sklepu je podrobno predstavilo razvoj domačih dogodkov po izdaji sodbe </w:t>
      </w:r>
      <w:r w:rsidRPr="00CB5050">
        <w:rPr>
          <w:rFonts w:eastAsia="Aptos"/>
          <w:i/>
          <w:iCs/>
        </w:rPr>
        <w:t>Pintar in drugi</w:t>
      </w:r>
      <w:r w:rsidRPr="00CB5050">
        <w:rPr>
          <w:rFonts w:eastAsia="Aptos"/>
        </w:rPr>
        <w:t xml:space="preserve">. Pojasnilo je, da je bil 23. 5. 2024 sprejet Zakon o postopku sodnega varstva nekdanjih imetnikov kvalificiranih obveznosti bank (v nadaljevanju: ZPSVIKOB-1), ki je bil objavljen 31. 5. 2024 in je začel veljati 15. 6. 2024. Sodišče je predstavilo tudi njegove najpomembnejše določbe. Pojasnilo je, da so pritožnik </w:t>
      </w:r>
      <w:r w:rsidRPr="00CB5050">
        <w:rPr>
          <w:rFonts w:eastAsia="Aptos"/>
          <w:i/>
          <w:iCs/>
        </w:rPr>
        <w:t>Kotnik</w:t>
      </w:r>
      <w:r w:rsidRPr="00CB5050">
        <w:rPr>
          <w:rFonts w:eastAsia="Aptos"/>
        </w:rPr>
        <w:t xml:space="preserve"> in nekateri drugi nekdanji imetniki 17. 10. 2024 vložili pobudo za začetek postopka za oceno ustavnosti in zakonitosti ZPSVIKOB-1 in predlagali začasno zadržanje tretjega odstavka 3. člena in prvega odstavka 48. člena ZPSVIKOB-1 ter absolutno prednostno obravnavo pobude. Ustavno sodišče je 5. 12. 2024 pobudo sprejelo v obravnavo, vendar je zavrnilo predlog pobudnikov za začasno zadržanje izvrševanja navedenih členov, z utemeljitvijo, da bi to zahtevalo prekinitev izvrševanja celotnega zakona, ter odločilo, da bo pobudo obravnavalo absolutno prednostno. Sodišče je tudi navedlo, katere ukrepe so domači organi sprejeli oziroma izvedli v zvezi z izvrševanjem ZPSVIKOB-1.</w:t>
      </w:r>
    </w:p>
    <w:p w14:paraId="6762622D" w14:textId="77777777" w:rsidR="00695AE2" w:rsidRPr="00CB5050" w:rsidRDefault="00695AE2" w:rsidP="00695AE2">
      <w:pPr>
        <w:spacing w:line="240" w:lineRule="auto"/>
        <w:jc w:val="both"/>
        <w:rPr>
          <w:rFonts w:eastAsia="Aptos"/>
        </w:rPr>
      </w:pPr>
    </w:p>
    <w:p w14:paraId="445D4E49" w14:textId="77777777" w:rsidR="00695AE2" w:rsidRPr="00CB5050" w:rsidRDefault="00695AE2" w:rsidP="00695AE2">
      <w:pPr>
        <w:spacing w:line="240" w:lineRule="auto"/>
        <w:jc w:val="both"/>
        <w:rPr>
          <w:rFonts w:eastAsia="Aptos"/>
          <w:lang w:val="sl"/>
        </w:rPr>
      </w:pPr>
      <w:r w:rsidRPr="00CB5050">
        <w:rPr>
          <w:rFonts w:eastAsia="Aptos"/>
        </w:rPr>
        <w:t xml:space="preserve">V zvezi z ugovorom vlade glede ne izčrpanja domačih pravnih sredstev je v okviru splošnih načel Sodišče najprej navedlo, da </w:t>
      </w:r>
      <w:r w:rsidRPr="00CB5050">
        <w:rPr>
          <w:rFonts w:eastAsia="Aptos"/>
          <w:lang w:val="sl"/>
        </w:rPr>
        <w:t xml:space="preserve">je temeljna značilnost mehanizma zaščite, vzpostavljenega </w:t>
      </w:r>
      <w:r w:rsidRPr="00CB5050">
        <w:rPr>
          <w:rFonts w:eastAsia="Aptos"/>
          <w:lang w:val="sl"/>
        </w:rPr>
        <w:lastRenderedPageBreak/>
        <w:t xml:space="preserve">s konvencijo, da je subsidiaren nacionalnim sistemom varovanja človekovih pravic. Sodišče se ukvarja z nadzorom nad izvajanjem obveznosti držav pogodbenic po konvenciji in ne bi smelo prevzeti vloge držav pogodbenic, katerih odgovornost je zagotoviti, da se temeljne pravice in svoboščine, ki so v njej zapisane, spoštujejo in varujejo na domači ravni (glej </w:t>
      </w:r>
      <w:r w:rsidRPr="00CB5050">
        <w:rPr>
          <w:rFonts w:eastAsia="Aptos"/>
          <w:i/>
          <w:iCs/>
          <w:lang w:val="sl"/>
        </w:rPr>
        <w:t>Communauté genevoise d'action syndicale (CGAS) proti Švici</w:t>
      </w:r>
      <w:r w:rsidRPr="00CB5050">
        <w:rPr>
          <w:rFonts w:eastAsia="Aptos"/>
          <w:lang w:val="sl"/>
        </w:rPr>
        <w:t xml:space="preserve"> </w:t>
      </w:r>
      <w:r w:rsidRPr="00CB5050">
        <w:rPr>
          <w:rFonts w:eastAsia="Aptos"/>
          <w:i/>
          <w:iCs/>
          <w:lang w:val="sl"/>
        </w:rPr>
        <w:t>[VS]</w:t>
      </w:r>
      <w:r w:rsidRPr="00CB5050">
        <w:rPr>
          <w:rFonts w:eastAsia="Aptos"/>
          <w:lang w:val="sl"/>
        </w:rPr>
        <w:t xml:space="preserve">, št. 21881/20, 138. odstavek, 27. november 2023). Pravilo izčrpanja domačih pravnih sredstev temelji na domnevi (odraženo v 13. členu konvencije, s katerim je tesno povezano), da je na voljo učinkovito pravno sredstvo glede zatrjevane kršitve. Pravilo je torej nepogrešljiv del delovanja tega sistema zaščite (glej </w:t>
      </w:r>
      <w:r w:rsidRPr="00CB5050">
        <w:rPr>
          <w:rFonts w:eastAsia="Aptos"/>
          <w:i/>
          <w:iCs/>
          <w:lang w:val="sl"/>
        </w:rPr>
        <w:t>Vučković in drugi proti Srbiji</w:t>
      </w:r>
      <w:r w:rsidRPr="00CB5050">
        <w:rPr>
          <w:rFonts w:eastAsia="Aptos"/>
          <w:lang w:val="sl"/>
        </w:rPr>
        <w:t xml:space="preserve"> </w:t>
      </w:r>
      <w:r w:rsidRPr="00CB5050">
        <w:rPr>
          <w:rFonts w:eastAsia="Aptos"/>
          <w:i/>
          <w:iCs/>
          <w:lang w:val="sl"/>
        </w:rPr>
        <w:t>(predhodni ugovor) [VS]</w:t>
      </w:r>
      <w:r w:rsidRPr="00CB5050">
        <w:rPr>
          <w:rFonts w:eastAsia="Aptos"/>
          <w:lang w:val="sl"/>
        </w:rPr>
        <w:t xml:space="preserve">, št. 17153/11 in 29 drugih, 69. odstavek, 25. marec 2014). Države so oproščene odgovornosti pred mednarodnim organom za svoja dejanja, preden so imele priložnost urediti zadeve v svojem pravnem sistemu, zato so tisti, ki se želijo sklicevati na nadzorno pristojnost Sodišča v zvezi s pritožbami zoper državo, dolžni najprej uporabiti pravna sredstva, ki jih zagotavlja nacionalni pravni sistem (glej, med številnimi viri, </w:t>
      </w:r>
      <w:r w:rsidRPr="00CB5050">
        <w:rPr>
          <w:rFonts w:eastAsia="Aptos"/>
          <w:i/>
          <w:iCs/>
          <w:lang w:val="sl"/>
        </w:rPr>
        <w:t>Akdivar in drugi proti Turčiji</w:t>
      </w:r>
      <w:r w:rsidRPr="00CB5050">
        <w:rPr>
          <w:rFonts w:eastAsia="Aptos"/>
          <w:lang w:val="sl"/>
        </w:rPr>
        <w:t xml:space="preserve">, 16. september 1996, 65. odstavek, Poročila o sodbah in sklepih 1996-IV). Sodišče je poudarilo, da ni sodišče prve stopnje – nima zmogljivosti (in niti ni primerno njegovi funkciji mednarodnega sodišča), da bi odločalo o velikem številu zadev, ki zahteva ugotavljanje osnovnih dejstev ali izračunavanje denarnega nadomestila – oboje bi moralo biti, kot stvar načela in učinkovite prakse, domena domače sodne pristojnosti (glej </w:t>
      </w:r>
      <w:r w:rsidRPr="00CB5050">
        <w:rPr>
          <w:rFonts w:eastAsia="Aptos"/>
          <w:i/>
          <w:iCs/>
          <w:lang w:val="sl"/>
        </w:rPr>
        <w:t>Vučković in drugi proti Srbiji</w:t>
      </w:r>
      <w:r w:rsidRPr="00CB5050">
        <w:rPr>
          <w:rFonts w:eastAsia="Aptos"/>
          <w:lang w:val="sl"/>
        </w:rPr>
        <w:t xml:space="preserve">, navedeno zgoraj, 70. odstavek, in </w:t>
      </w:r>
      <w:r w:rsidRPr="00CB5050">
        <w:rPr>
          <w:rFonts w:eastAsia="Aptos"/>
          <w:i/>
          <w:iCs/>
          <w:lang w:val="sl"/>
        </w:rPr>
        <w:t>Hodžić proti Sloveniji</w:t>
      </w:r>
      <w:r w:rsidRPr="00CB5050">
        <w:rPr>
          <w:rFonts w:eastAsia="Aptos"/>
          <w:lang w:val="sl"/>
        </w:rPr>
        <w:t xml:space="preserve"> (sklep), št. </w:t>
      </w:r>
      <w:hyperlink r:id="rId87" w:history="1">
        <w:r w:rsidRPr="00CB5050">
          <w:rPr>
            <w:rFonts w:eastAsia="Aptos"/>
            <w:lang w:val="sl"/>
          </w:rPr>
          <w:t>3461/08</w:t>
        </w:r>
      </w:hyperlink>
      <w:r w:rsidRPr="00CB5050">
        <w:rPr>
          <w:rFonts w:eastAsia="Aptos"/>
          <w:lang w:val="sl"/>
        </w:rPr>
        <w:t xml:space="preserve">, 17. odstavek, 4. april 2017). Kljub temu so edina pravna sredstva, za katera 35. člen konvencije zahteva, da so izčrpana, tista, ki se nanašajo na zatrjevane kršitve in ki so hkrati na voljo in zadostna. Obstoj takih pravnih sredstev mora biti dovolj gotov ne le v teoriji, temveč tudi v praksi, sicer ne bodo imela potrebne dostopnosti in učinkovitosti (glej </w:t>
      </w:r>
      <w:r w:rsidRPr="00CB5050">
        <w:rPr>
          <w:rFonts w:eastAsia="Aptos"/>
          <w:i/>
          <w:iCs/>
          <w:lang w:val="sl"/>
        </w:rPr>
        <w:t>Communauté genevoise d'action syndicale (CGAS)</w:t>
      </w:r>
      <w:r w:rsidRPr="00CB5050">
        <w:rPr>
          <w:rFonts w:eastAsia="Aptos"/>
          <w:lang w:val="sl"/>
        </w:rPr>
        <w:t xml:space="preserve">, navedeno zgoraj, 139. odstavek; </w:t>
      </w:r>
      <w:r w:rsidRPr="00CB5050">
        <w:rPr>
          <w:rFonts w:eastAsia="Aptos"/>
          <w:i/>
          <w:iCs/>
          <w:lang w:val="sl"/>
        </w:rPr>
        <w:t>Akdivar in drugi</w:t>
      </w:r>
      <w:r w:rsidRPr="00CB5050">
        <w:rPr>
          <w:rFonts w:eastAsia="Aptos"/>
          <w:lang w:val="sl"/>
        </w:rPr>
        <w:t xml:space="preserve">, navedeno zgoraj, 66. odstavek; in </w:t>
      </w:r>
      <w:r w:rsidRPr="00CB5050">
        <w:rPr>
          <w:rFonts w:eastAsia="Aptos"/>
          <w:i/>
          <w:iCs/>
          <w:lang w:val="sl"/>
        </w:rPr>
        <w:t>Dalia proti Franciji</w:t>
      </w:r>
      <w:r w:rsidRPr="00CB5050">
        <w:rPr>
          <w:rFonts w:eastAsia="Aptos"/>
          <w:lang w:val="sl"/>
        </w:rPr>
        <w:t xml:space="preserve">, 19. februar 1998, 38. odstavek, Poročila 1998 I). Poleg tega v skladu s »splošno priznanimi načeli mednarodnega prava« lahko obstajajo posebne okoliščine, ki pritožnika oprostijo obveznosti izčrpanja domačih pravnih sredstev, ki so na voljo (glej </w:t>
      </w:r>
      <w:r w:rsidRPr="00CB5050">
        <w:rPr>
          <w:rFonts w:eastAsia="Aptos"/>
          <w:i/>
          <w:iCs/>
          <w:lang w:val="sl"/>
        </w:rPr>
        <w:t>Selmouni proti Franciji [VS]</w:t>
      </w:r>
      <w:r w:rsidRPr="00CB5050">
        <w:rPr>
          <w:rFonts w:eastAsia="Aptos"/>
          <w:lang w:val="sl"/>
        </w:rPr>
        <w:t>, št. 25803/94, 75. odstavek, ESČP 1999</w:t>
      </w:r>
      <w:r w:rsidRPr="00CB5050">
        <w:rPr>
          <w:rFonts w:eastAsia="Aptos"/>
          <w:lang w:val="sl"/>
        </w:rPr>
        <w:noBreakHyphen/>
        <w:t xml:space="preserve">V). Vendar Sodišče opozarja, da obstoj zgolj dvoma o možnostih uspeha določenega pravnega sredstva, ki ni očitno zaman, ni utemeljen razlog za neizčrpanje domačih pravnih sredstev (glej </w:t>
      </w:r>
      <w:r w:rsidRPr="00CB5050">
        <w:rPr>
          <w:rFonts w:eastAsia="Aptos"/>
          <w:i/>
          <w:iCs/>
          <w:lang w:val="sl"/>
        </w:rPr>
        <w:t>Communauté genevoise d'action syndicale (CGAS),</w:t>
      </w:r>
      <w:r w:rsidRPr="00CB5050">
        <w:rPr>
          <w:rFonts w:eastAsia="Aptos"/>
          <w:lang w:val="sl"/>
        </w:rPr>
        <w:t xml:space="preserve"> navedeno zgoraj, 142. odstavek; </w:t>
      </w:r>
      <w:r w:rsidRPr="00CB5050">
        <w:rPr>
          <w:rFonts w:eastAsia="Aptos"/>
          <w:i/>
          <w:iCs/>
          <w:lang w:val="sl"/>
        </w:rPr>
        <w:t>Brusco proti Italiji</w:t>
      </w:r>
      <w:r w:rsidRPr="00CB5050">
        <w:rPr>
          <w:rFonts w:eastAsia="Aptos"/>
          <w:lang w:val="sl"/>
        </w:rPr>
        <w:t xml:space="preserve"> (sklep), št. 69789/01, ESČP 2001-IX; in </w:t>
      </w:r>
      <w:r w:rsidRPr="00CB5050">
        <w:rPr>
          <w:rFonts w:eastAsia="Aptos"/>
          <w:i/>
          <w:iCs/>
          <w:lang w:val="sl"/>
        </w:rPr>
        <w:t>Grzinčič proti Sloveniji</w:t>
      </w:r>
      <w:r w:rsidRPr="00CB5050">
        <w:rPr>
          <w:rFonts w:eastAsia="Aptos"/>
          <w:lang w:val="sl"/>
        </w:rPr>
        <w:t>, št. 26867/02, 84. odstavek, 3. maj 2007).</w:t>
      </w:r>
    </w:p>
    <w:p w14:paraId="4A911C9D" w14:textId="77777777" w:rsidR="00695AE2" w:rsidRPr="00CB5050" w:rsidRDefault="00695AE2" w:rsidP="00695AE2">
      <w:pPr>
        <w:spacing w:line="240" w:lineRule="auto"/>
        <w:jc w:val="both"/>
        <w:rPr>
          <w:rFonts w:eastAsia="Aptos"/>
          <w:lang w:val="sl"/>
        </w:rPr>
      </w:pPr>
    </w:p>
    <w:p w14:paraId="3C038190" w14:textId="77777777" w:rsidR="00695AE2" w:rsidRPr="00CB5050" w:rsidRDefault="00695AE2" w:rsidP="00695AE2">
      <w:pPr>
        <w:spacing w:line="240" w:lineRule="auto"/>
        <w:jc w:val="both"/>
        <w:rPr>
          <w:rFonts w:eastAsia="Aptos"/>
          <w:lang w:val="sl"/>
        </w:rPr>
      </w:pPr>
      <w:r w:rsidRPr="00CB5050">
        <w:rPr>
          <w:rFonts w:eastAsia="Aptos"/>
          <w:lang w:val="sl"/>
        </w:rPr>
        <w:t xml:space="preserve">Ocena, ali so bila domača pravna sredstva izčrpana, se običajno izvede glede na datum, na katerega je bila pritožba vložena pri Sodišču. Vendar, kot je Sodišče odločilo ob številnih priložnostih, je to pravilo predmet izjem, ki jih lahko upravičijo posebne okoliščine posamezne zadeve. Med takšnimi izjemami so primeri, ko je po pilotni sodbi o vsebini, v kateri Sodišče ugotovilo sistematično kršitev konvencije, tožena država vzpostavila posebno pravno sredstvo za reševanje pritožb oseb v podobnem položaju na domači ravni (glej </w:t>
      </w:r>
      <w:r w:rsidRPr="00CB5050">
        <w:rPr>
          <w:rFonts w:eastAsia="Aptos"/>
          <w:i/>
          <w:iCs/>
          <w:lang w:val="sl"/>
        </w:rPr>
        <w:t>Hodžić</w:t>
      </w:r>
      <w:r w:rsidRPr="00CB5050">
        <w:rPr>
          <w:rFonts w:eastAsia="Aptos"/>
          <w:lang w:val="sl"/>
        </w:rPr>
        <w:t>, navedeno zgoraj, 19. odstavek, in</w:t>
      </w:r>
      <w:r w:rsidRPr="00CB5050">
        <w:rPr>
          <w:rFonts w:eastAsia="Aptos"/>
          <w:i/>
          <w:iCs/>
          <w:lang w:val="sl"/>
        </w:rPr>
        <w:t xml:space="preserve"> Muratović proti Srbiji</w:t>
      </w:r>
      <w:r w:rsidRPr="00CB5050">
        <w:rPr>
          <w:rFonts w:eastAsia="Aptos"/>
          <w:lang w:val="sl"/>
        </w:rPr>
        <w:t xml:space="preserve"> (sklep), št. 41698/06, 16. odstavek, 21. marec 2017). Kar zadeva dokazno breme, je dolžnost vlade, ki zatrjuje ne izčrpanje, prepričati Sodišče, da je bilo pravno sredstvo učinkovito, na voljo v teoriji in praksi v ustreznem času. Ko je to breme izpolnjeno, mora pritožnik dokazati, da je bilo pravno sredstvo, ki ga je predlagala vlada, dejansko izčrpano ali da je bilo iz nekega razloga neustrezno in neučinkovito v posebnih okoliščinah primera ali da so obstajale posebne okoliščine, ki so ga oproščale te zahteve (glej </w:t>
      </w:r>
      <w:r w:rsidRPr="00CB5050">
        <w:rPr>
          <w:rFonts w:eastAsia="Aptos"/>
          <w:i/>
          <w:iCs/>
          <w:lang w:val="sl"/>
        </w:rPr>
        <w:lastRenderedPageBreak/>
        <w:t>Communauté genevoise d'action syndicale (CGAS),</w:t>
      </w:r>
      <w:r w:rsidRPr="00CB5050">
        <w:rPr>
          <w:rFonts w:eastAsia="Aptos"/>
          <w:lang w:val="sl"/>
        </w:rPr>
        <w:t xml:space="preserve"> navedeno zgoraj, 143. odstavek, in </w:t>
      </w:r>
      <w:r w:rsidRPr="00CB5050">
        <w:rPr>
          <w:rFonts w:eastAsia="Aptos"/>
          <w:i/>
          <w:iCs/>
          <w:lang w:val="sl"/>
        </w:rPr>
        <w:t>Vučković in drugi,</w:t>
      </w:r>
      <w:r w:rsidRPr="00CB5050">
        <w:rPr>
          <w:rFonts w:eastAsia="Aptos"/>
          <w:lang w:val="sl"/>
        </w:rPr>
        <w:t xml:space="preserve"> navedeno zgoraj, 77. odstavek).</w:t>
      </w:r>
    </w:p>
    <w:p w14:paraId="6D8E3293" w14:textId="77777777" w:rsidR="00695AE2" w:rsidRPr="00CB5050" w:rsidRDefault="00695AE2" w:rsidP="00695AE2">
      <w:pPr>
        <w:spacing w:line="240" w:lineRule="auto"/>
        <w:jc w:val="both"/>
        <w:rPr>
          <w:rFonts w:eastAsia="Aptos"/>
          <w:lang w:val="sl"/>
        </w:rPr>
      </w:pPr>
    </w:p>
    <w:p w14:paraId="03371343" w14:textId="77777777" w:rsidR="00695AE2" w:rsidRPr="00CB5050" w:rsidRDefault="00695AE2" w:rsidP="00695AE2">
      <w:pPr>
        <w:spacing w:line="240" w:lineRule="auto"/>
        <w:jc w:val="both"/>
        <w:rPr>
          <w:rFonts w:eastAsia="Aptos"/>
          <w:lang w:val="sl"/>
        </w:rPr>
      </w:pPr>
      <w:r w:rsidRPr="00CB5050">
        <w:rPr>
          <w:rFonts w:eastAsia="Aptos"/>
          <w:lang w:val="sl"/>
        </w:rPr>
        <w:t xml:space="preserve">V okviru uporabe navedenih splošnih načel na predmetno zadevo je Sodišče ugotovilo, da je leta 2016 slovensko Ustavno sodišče odločilo, da Zakon o bančništvu (ki je veljal v času zadevnih dogodkov) nekdanjim imetnikom obveznic ali delnic, izbrisanih z odločbami Banke Slovenije v 2013 in 2014, ni zagotavljal učinkovitega sodnega varstva, in zakonodajalcu naložilo, naj oblikuje primeren zakonodajni okvir. V ta namen je bil v 2019 sprejet ZPSVIKOB, vendar ni bil nikoli uveljavljen, saj je bil začasno zadržan manj kot tri mesece po tem, ko je stopil v veljavo; posledično je bil v 2023 po uspešni zahtevi za presojo ustavnosti, vloženi s strani Banke Slovenije, in izdaji relevantne sodbe SEU, razveljavljen s strani Ustavnega sodišča. V zvezi s tem, da tožena država nekdanjim imetnikom ni zagotovila učinkovitega pravnega sredstva, je Sodišče leta 2021 v zadevi </w:t>
      </w:r>
      <w:r w:rsidRPr="00CB5050">
        <w:rPr>
          <w:rFonts w:eastAsia="Aptos"/>
          <w:i/>
          <w:iCs/>
          <w:lang w:val="sl"/>
        </w:rPr>
        <w:t xml:space="preserve">Pintar in drugi </w:t>
      </w:r>
      <w:r w:rsidRPr="00CB5050">
        <w:rPr>
          <w:rFonts w:eastAsia="Aptos"/>
          <w:lang w:val="sl"/>
        </w:rPr>
        <w:t>ugotovilo kršitev 1. člena Protokola št. 1 h konvenciji. Sodba je bila v navedeni zadevi izdana po začasnem zadržanju izvrševanja ZPSVIKOB in pred njegovo razveljavitvijo.</w:t>
      </w:r>
    </w:p>
    <w:p w14:paraId="72EAAD81" w14:textId="77777777" w:rsidR="00695AE2" w:rsidRPr="00CB5050" w:rsidRDefault="00695AE2" w:rsidP="00695AE2">
      <w:pPr>
        <w:spacing w:line="240" w:lineRule="auto"/>
        <w:jc w:val="both"/>
        <w:rPr>
          <w:rFonts w:eastAsia="Aptos"/>
          <w:lang w:val="sl"/>
        </w:rPr>
      </w:pPr>
      <w:bookmarkStart w:id="1219" w:name="bookmark45"/>
    </w:p>
    <w:p w14:paraId="300F2899" w14:textId="77777777" w:rsidR="00695AE2" w:rsidRPr="00CB5050" w:rsidRDefault="00695AE2" w:rsidP="00695AE2">
      <w:pPr>
        <w:spacing w:line="240" w:lineRule="auto"/>
        <w:jc w:val="both"/>
        <w:rPr>
          <w:rFonts w:eastAsia="Aptos"/>
          <w:lang w:val="sl"/>
        </w:rPr>
      </w:pPr>
      <w:r w:rsidRPr="00CB5050">
        <w:rPr>
          <w:rFonts w:eastAsia="Aptos"/>
          <w:lang w:val="sl"/>
        </w:rPr>
        <w:t xml:space="preserve">Pritožnika sta pritožbi vložila leta 2019 in 2023, v obdobju, ko domače pravo ni zagotavljalo učinkovite rešitve za njuna zadevna položaja. Vendar je junija 2024 stopil v veljavo nov zakon – ZPSVIKOB-1. Ta omogoča nekdanjim imetnikom, da vložijo tožbe proti Banki Slovenije, in določa, da je Republika Slovenija odgovorna za morebitno prisojeno odškodnino. ZPSVIKOB-1 ureja tudi pravico nekdanjih imetnikov do dostopa do dokumentacije v zvezi z odločbami Banke Slovenije iz 2013 in 2014. Podatki in relevantna dokumentacija – </w:t>
      </w:r>
      <w:bookmarkStart w:id="1220" w:name="bookmark46"/>
      <w:bookmarkEnd w:id="1219"/>
      <w:r w:rsidRPr="00CB5050">
        <w:rPr>
          <w:rFonts w:eastAsia="Aptos"/>
          <w:lang w:val="sl"/>
        </w:rPr>
        <w:t>velik del tega je bil zaupne narave in prej ni bil dostopen – morajo biti na voljo v »virtualnih podatkovnih sobah«, do katerih mora biti omogočen dostop nekdanjim imetnikom in njihovim pooblaščenim zastopnikom. Poleg tega ZPSVIKOB-1 predvideva potencialno oblikovanje poravnalne sheme, prek katere lahko nekdanji imetniki dobijo povrnjenih 60 % njihove ugotovljene finančne izgube. Vsaka taka shema bi bila odvisna od predhodne ocene, ki bi jo izvedel strokovni odbor in ugotovil, da so nekdanji imetniki zaradi izrednih ukrepov utrpeli izgubo. Sprejem takega poplačila v okviru odškodninske sheme je prostovoljno in nekdanji imetnik bo lahko zavrnil plačilo v okviru sheme in zahteval celotno odškodnino v sodnem postopku, v katerem bo dokazno breme glede, med drugim, upravičenosti izrednih ukrepov, na vladi. ZPSVIKOB-1 predvideva tudi možnost kolektivnih tožb in vzorčnega postopka, da bi bil postopek bolj učinkovit in dostopen za nekdanje imetnike.</w:t>
      </w:r>
      <w:bookmarkEnd w:id="1220"/>
    </w:p>
    <w:p w14:paraId="5095545E" w14:textId="77777777" w:rsidR="00695AE2" w:rsidRPr="00CB5050" w:rsidRDefault="00695AE2" w:rsidP="00695AE2">
      <w:pPr>
        <w:spacing w:line="240" w:lineRule="auto"/>
        <w:jc w:val="both"/>
        <w:rPr>
          <w:rFonts w:eastAsia="Aptos"/>
          <w:lang w:val="sl"/>
        </w:rPr>
      </w:pPr>
    </w:p>
    <w:p w14:paraId="0BD26B60" w14:textId="77777777" w:rsidR="00695AE2" w:rsidRPr="00CB5050" w:rsidRDefault="00695AE2" w:rsidP="00695AE2">
      <w:pPr>
        <w:spacing w:line="240" w:lineRule="auto"/>
        <w:jc w:val="both"/>
        <w:rPr>
          <w:rFonts w:eastAsia="Aptos"/>
          <w:lang w:val="sl"/>
        </w:rPr>
      </w:pPr>
      <w:r w:rsidRPr="00CB5050">
        <w:rPr>
          <w:rFonts w:eastAsia="Aptos"/>
          <w:lang w:val="sl"/>
        </w:rPr>
        <w:t xml:space="preserve">Sodišče je ugotovilo, da se zdi postopek ugotavljanja odgovornosti za kakršnekoli finančne izgube, ki so jih utrpeli nekdanji imetniki, kompleksen in vključuje več postopkovnih korakov (kot določeno v ZPSVIKOB-1). Nadalje je ugotovilo, da so bili ukrepi, ki so jih morali sprejeti organi, doslej izvedeni v predvidenem roku: npr. virtualne podatkovne sobe so bile vzpostavljene in člani strokovnega odbora so bili predlagani s strani vlade in Banke Slovenije. Sodišču se zdi pomembno dejstvo, da ZPSVIKOB-1 določa stroge roke za ustanovitev strokovnega odbora in pripravo predhodnega mnenja. Določa tudi, da se tek roka za vložitev tožbe nadaljuje, če povzetek predhodnega mnenja ni objavljen v 12 mesecih od imenovanja strokovnega odbora. Tudi za druge ključne postopkovne korake veljajo roki in tožbe, vložene na podlagi ZPSVIKOB-1, imajo prednostno obravnavo. Ta časovna omejitev skupaj z drugimi elementi postopka (kot dostop do relevantnih podatkov in obrnjeno dokazno breme) kaže, da bi postopek načeloma lahko služil kot učinkovita pravna pot za nekdanje imetnike. </w:t>
      </w:r>
    </w:p>
    <w:p w14:paraId="226DF175" w14:textId="77777777" w:rsidR="00695AE2" w:rsidRPr="00CB5050" w:rsidRDefault="00695AE2" w:rsidP="00695AE2">
      <w:pPr>
        <w:spacing w:line="240" w:lineRule="auto"/>
        <w:jc w:val="both"/>
        <w:rPr>
          <w:rFonts w:eastAsia="Aptos"/>
          <w:lang w:val="sl"/>
        </w:rPr>
      </w:pPr>
    </w:p>
    <w:p w14:paraId="6ED4D617" w14:textId="77777777" w:rsidR="00695AE2" w:rsidRPr="00CB5050" w:rsidRDefault="00695AE2" w:rsidP="00695AE2">
      <w:pPr>
        <w:spacing w:line="240" w:lineRule="auto"/>
        <w:jc w:val="both"/>
        <w:rPr>
          <w:rFonts w:eastAsia="Aptos"/>
          <w:lang w:val="sl"/>
        </w:rPr>
      </w:pPr>
      <w:r w:rsidRPr="00CB5050">
        <w:rPr>
          <w:rFonts w:eastAsia="Aptos"/>
          <w:lang w:val="sl"/>
        </w:rPr>
        <w:lastRenderedPageBreak/>
        <w:t xml:space="preserve">Sodišče je upoštevalo tudi dejstvo, da je pritožnik </w:t>
      </w:r>
      <w:r w:rsidRPr="00CB5050">
        <w:rPr>
          <w:rFonts w:eastAsia="Aptos"/>
          <w:i/>
          <w:iCs/>
          <w:lang w:val="sl"/>
        </w:rPr>
        <w:t xml:space="preserve">Kotnik </w:t>
      </w:r>
      <w:r w:rsidRPr="00CB5050">
        <w:rPr>
          <w:rFonts w:eastAsia="Aptos"/>
          <w:lang w:val="sl"/>
        </w:rPr>
        <w:t xml:space="preserve">skupaj s 13 drugimi nekdanjimi imetniki vložil pobudo za oceno ustavnosti nekaterih določb ZPSVIKOB-1, vendar ni stvar Sodišča, da bi ugibalo o izidu teh postopkov pred Ustavnim sodiščem. Navedlo je, da se bo omejilo na ugotovitev, da je bil ZPSVIKOB-1 (i) sprejet po podaljšanem nadzoru prejšnje zakonodaje, ki je urejala to vprašanje, s strani Ustavnega sodišča in SEU, (ii) je v veljavi od 15. junija 2024 in (iii) se trenutno izvaja, kot je pojasnjeno. Poleg tega so pritožnik </w:t>
      </w:r>
      <w:r w:rsidRPr="00CB5050">
        <w:rPr>
          <w:rFonts w:eastAsia="Aptos"/>
          <w:i/>
          <w:iCs/>
          <w:lang w:val="sl"/>
        </w:rPr>
        <w:t>Kotnik</w:t>
      </w:r>
      <w:r w:rsidRPr="00CB5050">
        <w:rPr>
          <w:rFonts w:eastAsia="Aptos"/>
          <w:lang w:val="sl"/>
        </w:rPr>
        <w:t xml:space="preserve"> in drugi pobudniki vložili pobudo, ki se je nanašala le na nekaj določb zakona, in njihove zahteve za začasno zadržanje izvrševanja nekaterih teh določb je Ustavno sodišče zavrnilo. Navedlo je tudi, da se je v povezavi s tem Ustavno sodišče med drugim sklicevalo na razlike med to pobudo za oceno ustavnosti (glede ZPSVIKOB-1) in prejšnjo pobudo za oceno ustavnosti (ki je privedla do začasnega zadržanja in nazadnje razveljavitve ZPSVIKOB).</w:t>
      </w:r>
    </w:p>
    <w:p w14:paraId="76262038" w14:textId="77777777" w:rsidR="00695AE2" w:rsidRPr="00CB5050" w:rsidRDefault="00695AE2" w:rsidP="00695AE2">
      <w:pPr>
        <w:spacing w:line="240" w:lineRule="auto"/>
        <w:jc w:val="both"/>
        <w:rPr>
          <w:rFonts w:eastAsia="Aptos"/>
          <w:lang w:val="sl"/>
        </w:rPr>
      </w:pPr>
    </w:p>
    <w:p w14:paraId="2FAF0BE4" w14:textId="77777777" w:rsidR="00695AE2" w:rsidRPr="00CB5050" w:rsidRDefault="00695AE2" w:rsidP="00695AE2">
      <w:pPr>
        <w:spacing w:line="240" w:lineRule="auto"/>
        <w:jc w:val="both"/>
        <w:rPr>
          <w:rFonts w:eastAsia="Aptos"/>
          <w:lang w:val="sl"/>
        </w:rPr>
      </w:pPr>
      <w:r w:rsidRPr="00CB5050">
        <w:rPr>
          <w:rFonts w:eastAsia="Aptos"/>
          <w:lang w:val="sl"/>
        </w:rPr>
        <w:t xml:space="preserve">Glede trditev pritožnika </w:t>
      </w:r>
      <w:r w:rsidRPr="00CB5050">
        <w:rPr>
          <w:rFonts w:eastAsia="Aptos"/>
          <w:i/>
          <w:iCs/>
          <w:lang w:val="sl"/>
        </w:rPr>
        <w:t>Kotnika</w:t>
      </w:r>
      <w:r w:rsidRPr="00CB5050">
        <w:rPr>
          <w:rFonts w:eastAsia="Aptos"/>
          <w:lang w:val="sl"/>
        </w:rPr>
        <w:t xml:space="preserve"> glede določb ZPSVIKOB-1 o pristojnosti domačih sodišč in s tem povezanih posledic, vprašanja obrestnih mer in intervencije države kot tretje osebe, je Sodišče navedlo, da mora ustrezno upoštevati načelo subsidiarnosti in ustrezno polje proste presoje, ki je prepuščeno domačim organom v zvezi z izvajanjem pilotne sodbe (smiselno glej </w:t>
      </w:r>
      <w:r w:rsidRPr="00CB5050">
        <w:rPr>
          <w:rFonts w:eastAsia="Aptos"/>
          <w:i/>
          <w:iCs/>
          <w:lang w:val="sl"/>
        </w:rPr>
        <w:t>Hodžić</w:t>
      </w:r>
      <w:r w:rsidRPr="00CB5050">
        <w:rPr>
          <w:rFonts w:eastAsia="Aptos"/>
          <w:lang w:val="sl"/>
        </w:rPr>
        <w:t xml:space="preserve">, navedeno zgoraj, 13. odstavek, in </w:t>
      </w:r>
      <w:r w:rsidRPr="00CB5050">
        <w:rPr>
          <w:rFonts w:eastAsia="Aptos"/>
          <w:i/>
          <w:iCs/>
          <w:lang w:val="sl"/>
        </w:rPr>
        <w:t>Anastasov in drugi proti Sloveniji</w:t>
      </w:r>
      <w:r w:rsidRPr="00CB5050">
        <w:rPr>
          <w:rFonts w:eastAsia="Aptos"/>
          <w:lang w:val="sl"/>
        </w:rPr>
        <w:t xml:space="preserve"> (sklep), št. </w:t>
      </w:r>
      <w:hyperlink r:id="rId88" w:history="1">
        <w:r w:rsidRPr="00CB5050">
          <w:rPr>
            <w:rFonts w:eastAsia="Aptos"/>
            <w:lang w:val="sl"/>
          </w:rPr>
          <w:t>65020/13</w:t>
        </w:r>
      </w:hyperlink>
      <w:r w:rsidRPr="00CB5050">
        <w:rPr>
          <w:rFonts w:eastAsia="Aptos"/>
          <w:lang w:val="sl"/>
        </w:rPr>
        <w:t xml:space="preserve">, 68., 71. in 75. odstavek, 18. oktober 2016). V zvezi s tem je ponovno poudarilo, da kadar pritožnik izpodbija določbo zakona ali predpisa, ker naj bi bila sama po sebi v nasprotju s konvencijo, priporočeno pravno sredstvo po nacionalni zakonodaji za pregled skladnosti zakonodaje z določbami višje pravne moči predstavlja domače pravno sredstvo, ki ga je treba izčrpati, pod pogojem, da je to neposredno dostopno zadevnim strankam v postopku in pod pogojem, da je sodišče, pri katerem je vložena zahteva, v teoriji in praksi pristojno za razveljavitev določbe zakona ali predpisa, za katere meni, da so v nasprotju z določbo, ki ima višjo pravno moč (glej </w:t>
      </w:r>
      <w:r w:rsidRPr="00CB5050">
        <w:rPr>
          <w:rFonts w:eastAsia="Aptos"/>
          <w:i/>
          <w:iCs/>
          <w:lang w:val="sl"/>
        </w:rPr>
        <w:t>Communauté genevoise d'action syndicale (CGAS)</w:t>
      </w:r>
      <w:r w:rsidRPr="00CB5050">
        <w:rPr>
          <w:rFonts w:eastAsia="Aptos"/>
          <w:lang w:val="sl"/>
        </w:rPr>
        <w:t xml:space="preserve">, navedeno zgoraj, 145. odstavek). V predmetni zadevi je pritožnik </w:t>
      </w:r>
      <w:r w:rsidRPr="00CB5050">
        <w:rPr>
          <w:rFonts w:eastAsia="Aptos"/>
          <w:i/>
          <w:iCs/>
          <w:lang w:val="sl"/>
        </w:rPr>
        <w:t>Kotnik</w:t>
      </w:r>
      <w:r w:rsidRPr="00CB5050">
        <w:rPr>
          <w:rFonts w:eastAsia="Aptos"/>
          <w:lang w:val="sl"/>
        </w:rPr>
        <w:t xml:space="preserve"> (skupaj z drugimi pobudniki), ki meni, da nekatere določbe ZPSVIKOB-1 niso v skladu s slovensko Ustavo, zadevo predložil Ustavnemu sodišču in s tem ravnal v skladu z zgoraj navedeno zahtevo. Nesporno je, da je Ustavno sodišče pristojno za odločanje o tem vprašanju in, če soglaša z argumenti pobudnikov, je pristojno tudi za razveljavitev vseh ali nekaterih izpodbijanih določb (za ponazoritev glej </w:t>
      </w:r>
      <w:r w:rsidRPr="00CB5050">
        <w:rPr>
          <w:rFonts w:eastAsia="Aptos"/>
          <w:i/>
          <w:iCs/>
          <w:lang w:val="sl"/>
        </w:rPr>
        <w:t>Zeljković proti Sloveniji</w:t>
      </w:r>
      <w:r w:rsidRPr="00CB5050">
        <w:rPr>
          <w:rFonts w:eastAsia="Aptos"/>
          <w:lang w:val="sl"/>
        </w:rPr>
        <w:t xml:space="preserve">, [Odbor], št. 33805/17, 18. odstavek, 5. september 2017). Ker je postopek pred Ustavnim sodiščem v zvezi s to zadevo še v teku, je potrebno vsako pritožbo v zvezi s tem šteti za preuranjeno. </w:t>
      </w:r>
    </w:p>
    <w:p w14:paraId="6967F3EE" w14:textId="77777777" w:rsidR="00695AE2" w:rsidRPr="00CB5050" w:rsidRDefault="00695AE2" w:rsidP="00695AE2">
      <w:pPr>
        <w:spacing w:line="240" w:lineRule="auto"/>
        <w:jc w:val="both"/>
        <w:rPr>
          <w:rFonts w:eastAsia="Aptos"/>
          <w:lang w:val="sl"/>
        </w:rPr>
      </w:pPr>
    </w:p>
    <w:p w14:paraId="5405E3F3" w14:textId="77777777" w:rsidR="00695AE2" w:rsidRPr="00CB5050" w:rsidRDefault="00695AE2" w:rsidP="00695AE2">
      <w:pPr>
        <w:spacing w:line="240" w:lineRule="auto"/>
        <w:jc w:val="both"/>
        <w:rPr>
          <w:rFonts w:eastAsia="Aptos"/>
          <w:lang w:val="sl"/>
        </w:rPr>
      </w:pPr>
      <w:r w:rsidRPr="00CB5050">
        <w:rPr>
          <w:rFonts w:eastAsia="Aptos"/>
          <w:lang w:val="sl"/>
        </w:rPr>
        <w:t xml:space="preserve">Glede na navedeno in brez prejudica glede izida presoje pobude z dne 17. oktobra 2024, ki jo bo opravilo Ustavno sodišče, je Sodišče menilo, da bi morala pritožnika in drugi nekdanji imetniki za izpolnjevanje zahteve iz prvega odstavka 35. člena konvencije načeloma izčrpati pravno sredstvo, ki ga zagotavlja ZPSVIKOB-1, in vsa neposredno povezana dostopna in učinkovita pravna sredstva pred Ustavnim sodiščem. </w:t>
      </w:r>
    </w:p>
    <w:p w14:paraId="0106D01A" w14:textId="77777777" w:rsidR="00695AE2" w:rsidRPr="00CB5050" w:rsidRDefault="00695AE2" w:rsidP="00695AE2">
      <w:pPr>
        <w:spacing w:line="240" w:lineRule="auto"/>
        <w:jc w:val="both"/>
        <w:rPr>
          <w:rFonts w:eastAsia="Aptos"/>
          <w:lang w:val="sl"/>
        </w:rPr>
      </w:pPr>
    </w:p>
    <w:p w14:paraId="7D6A1B5B" w14:textId="77777777" w:rsidR="00695AE2" w:rsidRPr="00CB5050" w:rsidRDefault="00695AE2" w:rsidP="00695AE2">
      <w:pPr>
        <w:spacing w:line="240" w:lineRule="auto"/>
        <w:jc w:val="both"/>
        <w:rPr>
          <w:rFonts w:eastAsia="Aptos"/>
          <w:lang w:val="sl"/>
        </w:rPr>
      </w:pPr>
      <w:r w:rsidRPr="00CB5050">
        <w:rPr>
          <w:rFonts w:eastAsia="Aptos"/>
          <w:lang w:val="sl"/>
        </w:rPr>
        <w:t xml:space="preserve">V zvezi s konkretnima pritožbama je Sodišče opozorilo še, da pritožnik </w:t>
      </w:r>
      <w:r w:rsidRPr="00CB5050">
        <w:rPr>
          <w:rFonts w:eastAsia="Aptos"/>
          <w:i/>
          <w:iCs/>
          <w:lang w:val="sl"/>
        </w:rPr>
        <w:t>Kotnik</w:t>
      </w:r>
      <w:r w:rsidRPr="00CB5050">
        <w:rPr>
          <w:rFonts w:eastAsia="Aptos"/>
          <w:lang w:val="sl"/>
        </w:rPr>
        <w:t xml:space="preserve"> ni opozoril na nobeno določbo ZPSVIKOB-1, ki bi mu preprečevala, da v okviru postopka, opredeljenega v zakonu, zahteva odškodnino v zvezi s kuponskimi obrestmi. Pravzaprav, v skladu z njegovim 3. členom ZPSVIKOB-1 velja za odškodninske zahtevke nekdanjih imetnikov, ki izhajajo iz učinkov zadevne odločbe, ki jo je sprejela Banka Slovenija. Glede na stališče domačih sodišč, da so bile pritožnikove kuponske obresti (skupaj z zadevnimi obveznicami) izbrisane kot rezultat odločbe Banke Slovenije iz leta 2014, je – glede na trenutno situacijo – razumno domnevati, da bi vsak </w:t>
      </w:r>
      <w:r w:rsidRPr="00CB5050">
        <w:rPr>
          <w:rFonts w:eastAsia="Aptos"/>
          <w:lang w:val="sl"/>
        </w:rPr>
        <w:lastRenderedPageBreak/>
        <w:t xml:space="preserve">tak zahtevek spadal v področje uporabe ZPSVIKOB-1. Pritožnik </w:t>
      </w:r>
      <w:r w:rsidRPr="00CB5050">
        <w:rPr>
          <w:rFonts w:eastAsia="Aptos"/>
          <w:i/>
          <w:iCs/>
          <w:lang w:val="sl"/>
        </w:rPr>
        <w:t>Kotnik</w:t>
      </w:r>
      <w:r w:rsidRPr="00CB5050">
        <w:rPr>
          <w:rFonts w:eastAsia="Aptos"/>
          <w:lang w:val="sl"/>
        </w:rPr>
        <w:t xml:space="preserve"> dejansko ni dokazal drugače.</w:t>
      </w:r>
    </w:p>
    <w:p w14:paraId="6AA86ED0" w14:textId="77777777" w:rsidR="00695AE2" w:rsidRPr="00CB5050" w:rsidRDefault="00695AE2" w:rsidP="00695AE2">
      <w:pPr>
        <w:spacing w:line="240" w:lineRule="auto"/>
        <w:jc w:val="both"/>
        <w:rPr>
          <w:rFonts w:eastAsia="Aptos"/>
          <w:lang w:val="sl"/>
        </w:rPr>
      </w:pPr>
    </w:p>
    <w:p w14:paraId="5AB01793" w14:textId="77777777" w:rsidR="00695AE2" w:rsidRPr="00CB5050" w:rsidRDefault="00695AE2" w:rsidP="00695AE2">
      <w:pPr>
        <w:spacing w:line="240" w:lineRule="auto"/>
        <w:jc w:val="both"/>
        <w:rPr>
          <w:rFonts w:eastAsia="Aptos"/>
          <w:lang w:val="sl"/>
        </w:rPr>
      </w:pPr>
      <w:r w:rsidRPr="00CB5050">
        <w:rPr>
          <w:rFonts w:eastAsia="Aptos"/>
          <w:lang w:val="sl"/>
        </w:rPr>
        <w:t xml:space="preserve">V času, ko sta pritožnika sedanji pritožbi vložila pri Sodišču, nista imela na voljo učinkovitega pravnega sredstva v slovenskem pravu glede izpodbijanega izbrisa njunih zadevnih kuponskih obresti in delnic. Vendar je Sodišče ugotovilo, da v tem primeru več faktorjev upravičuje izjemo od splošnega pravila, ki oceno izčrpanja domačih pravnih sredstev povezuje z datumom, na katerega sta bili pritožbi vloženi pri Sodišču. Navedlo je, da je tako, kot je bilo ugotovljeno v sodbi </w:t>
      </w:r>
      <w:r w:rsidRPr="00CB5050">
        <w:rPr>
          <w:rFonts w:eastAsia="Aptos"/>
          <w:i/>
          <w:iCs/>
          <w:lang w:val="sl"/>
        </w:rPr>
        <w:t>Pintar in drugi</w:t>
      </w:r>
      <w:r w:rsidRPr="00CB5050">
        <w:rPr>
          <w:rFonts w:eastAsia="Aptos"/>
          <w:lang w:val="sl"/>
        </w:rPr>
        <w:t>, zatrjevana kršitev 1. člena Protokola št. 1, ki je izhajala iz izbrisa delnic in obveznic v letih 2013 in 2014, prizadela številne osebe in subjekte – in sicer na tisoče nekdanjih imetnikov teh finančnih instrumentov. Na podlagi te sodbe je bila slovenska država dolžna čim prej zagotoviti pravno pot, ki nekdanjim imetnikom omogoča učinkovito izpodbijanje posega v njihovo pravico do premoženja. Namen pravnih sredstev, uvedenih z ZPSVIKOB-1, je prav zagotoviti takšno pravno pot.</w:t>
      </w:r>
    </w:p>
    <w:p w14:paraId="30853F77" w14:textId="77777777" w:rsidR="00695AE2" w:rsidRPr="00CB5050" w:rsidRDefault="00695AE2" w:rsidP="00695AE2">
      <w:pPr>
        <w:spacing w:line="240" w:lineRule="auto"/>
        <w:jc w:val="both"/>
        <w:rPr>
          <w:rFonts w:eastAsia="Aptos"/>
          <w:lang w:val="sl"/>
        </w:rPr>
      </w:pPr>
    </w:p>
    <w:p w14:paraId="02E082A3" w14:textId="77777777" w:rsidR="00695AE2" w:rsidRPr="00CB5050" w:rsidRDefault="00695AE2" w:rsidP="00695AE2">
      <w:pPr>
        <w:spacing w:line="240" w:lineRule="auto"/>
        <w:jc w:val="both"/>
        <w:rPr>
          <w:rFonts w:eastAsia="Aptos"/>
          <w:lang w:val="sl"/>
        </w:rPr>
      </w:pPr>
      <w:r w:rsidRPr="00CB5050">
        <w:rPr>
          <w:rFonts w:eastAsia="Aptos"/>
          <w:lang w:val="sl"/>
        </w:rPr>
        <w:t xml:space="preserve">Sodišče je navedlo tudi, da je že večkrat odločilo (kadar so pogodbenice sprejele zakonodajne ukrepe za zagotovitev posebnega pravnega sredstva na domači ravni za odpravo pritožb oseb, ki jih je prizadela sistemska kršitev konvencije), da morajo pritožniki izčrpati taka pravna sredstva ne glede na to, da so bile njihove pritožbe vložene pri Sodišču pred sprejetjem zadevne zakonodaje (glej </w:t>
      </w:r>
      <w:r w:rsidRPr="00CB5050">
        <w:rPr>
          <w:rFonts w:eastAsia="Aptos"/>
          <w:i/>
          <w:iCs/>
          <w:lang w:val="sl"/>
        </w:rPr>
        <w:t>Korenjak proti Sloveniji</w:t>
      </w:r>
      <w:r w:rsidRPr="00CB5050">
        <w:rPr>
          <w:rFonts w:eastAsia="Aptos"/>
          <w:lang w:val="sl"/>
        </w:rPr>
        <w:t xml:space="preserve"> (sklep), št. </w:t>
      </w:r>
      <w:hyperlink r:id="rId89" w:history="1">
        <w:r w:rsidRPr="00CB5050">
          <w:rPr>
            <w:rFonts w:eastAsia="Aptos"/>
            <w:lang w:val="sl"/>
          </w:rPr>
          <w:t>463/03</w:t>
        </w:r>
      </w:hyperlink>
      <w:r w:rsidRPr="00CB5050">
        <w:rPr>
          <w:rFonts w:eastAsia="Aptos"/>
          <w:lang w:val="sl"/>
        </w:rPr>
        <w:t xml:space="preserve">, 71.-76. odstavek, 15. maj 2007, in </w:t>
      </w:r>
      <w:r w:rsidRPr="00CB5050">
        <w:rPr>
          <w:rFonts w:eastAsia="Aptos"/>
          <w:i/>
          <w:iCs/>
          <w:lang w:val="sl"/>
        </w:rPr>
        <w:t>Hodžić</w:t>
      </w:r>
      <w:r w:rsidRPr="00CB5050">
        <w:rPr>
          <w:rFonts w:eastAsia="Aptos"/>
          <w:lang w:val="sl"/>
        </w:rPr>
        <w:t xml:space="preserve">, navedeno zgoraj, 19. in 20. odstavek). Posledično je ugotovilo, da je upravičeno uporabiti izjemo od načela glede izčrpanja domačih pravnih sredstev za sedanja pritožnika, ki lahko začneta postopek na podlagi ZPSVIKOB-1. Navedlo je, da je glede na navedene ugotovitve, kolikor se pritožbi nanašata na pomanjkanje učinkovite pravne poti za izpodbijanje posega v premoženjske pravice pritožnikov, pritožbi treba zavrniti zaradi ne izčrpanja domačih pravnih sredstev. Enak zaključek velja za njuno pritožbo glede vsebinske utemeljitve posega v njuno pravico po 1. členu Protokola št. 1, ki je ostala odprta v zadevi </w:t>
      </w:r>
      <w:r w:rsidRPr="00CB5050">
        <w:rPr>
          <w:rFonts w:eastAsia="Aptos"/>
          <w:i/>
          <w:iCs/>
          <w:lang w:val="sl"/>
        </w:rPr>
        <w:t>Pintar in drugi</w:t>
      </w:r>
      <w:r w:rsidRPr="00CB5050">
        <w:rPr>
          <w:rFonts w:eastAsia="Aptos"/>
          <w:lang w:val="sl"/>
        </w:rPr>
        <w:t xml:space="preserve"> (navedeno zgoraj, 110. odstavek). Ocenjevanje tega vprašanja – skupaj s potrebnim strokovnim znanjem in pomisleki glede zaupnosti – je osrednjega pomena za postopek, vzpostavljen z ZPSVIKOB-1. V skladu z načelom, da so za izvrševanje konvencije primarno odgovorni domači organi, bi morala to vprašanje na prvi stopnji obravnavati pristojna domača sodišča.</w:t>
      </w:r>
    </w:p>
    <w:p w14:paraId="7A0068D9" w14:textId="77777777" w:rsidR="00695AE2" w:rsidRPr="00CB5050" w:rsidRDefault="00695AE2" w:rsidP="00695AE2">
      <w:pPr>
        <w:spacing w:line="240" w:lineRule="auto"/>
        <w:jc w:val="both"/>
        <w:rPr>
          <w:rFonts w:eastAsia="Aptos"/>
          <w:lang w:val="sl"/>
        </w:rPr>
      </w:pPr>
    </w:p>
    <w:p w14:paraId="7CC35187" w14:textId="77777777" w:rsidR="00695AE2" w:rsidRPr="00CB5050" w:rsidRDefault="00695AE2" w:rsidP="00695AE2">
      <w:pPr>
        <w:spacing w:line="240" w:lineRule="auto"/>
        <w:jc w:val="both"/>
        <w:rPr>
          <w:rFonts w:eastAsia="Aptos"/>
          <w:lang w:val="sl"/>
        </w:rPr>
      </w:pPr>
      <w:r w:rsidRPr="00CB5050">
        <w:rPr>
          <w:rFonts w:eastAsia="Aptos"/>
          <w:lang w:val="sl"/>
        </w:rPr>
        <w:t xml:space="preserve">Za konec je Sodišče pomenljivo poudarilo, da bosta pritožnika v primeru neuspešnosti s pravnimi sredstvi v Sloveniji lahko vložila novo pritožbo pri Sodišču v štirih mesecih po izčrpanju vseh učinkovitih domačih pravnih sredstev. Navedlo je, da se bo pristop Sodišča glede morebitne učinkovitosti zadevnega pravnega sredstva spremenil v primeru, če bosta potek postopka po ZPSVIKOB-1 in domača sodna praksa kazala, da pravno sredstvo ne izpolnjuje zahtev konvencije ali če pri izvrševanju ZPSVIKOB-1 prihaja do prevelikih zamud. Posebej je poudarilo, da je treba o zahtevkih nekdanjih imetnikov odločiti hitro – dejavnik, ki glede na čas, ki je pretekel od sprejetja izpodbijanih ukrepov, ostaja posebnega pomena. </w:t>
      </w:r>
    </w:p>
    <w:p w14:paraId="6C1BB32F" w14:textId="77777777" w:rsidR="00695AE2" w:rsidRPr="00CB5050" w:rsidRDefault="00695AE2" w:rsidP="00695AE2">
      <w:pPr>
        <w:spacing w:line="240" w:lineRule="auto"/>
        <w:rPr>
          <w:rFonts w:eastAsia="Aptos"/>
        </w:rPr>
      </w:pPr>
    </w:p>
    <w:p w14:paraId="7DB5F7C0" w14:textId="1FD47215" w:rsidR="00695AE2" w:rsidRPr="00CB5050" w:rsidRDefault="00AF1686" w:rsidP="00695AE2">
      <w:pPr>
        <w:pStyle w:val="Naslov4"/>
        <w:ind w:left="0" w:firstLine="0"/>
      </w:pPr>
      <w:r>
        <w:t xml:space="preserve"> </w:t>
      </w:r>
      <w:bookmarkStart w:id="1221" w:name="_Toc223094152"/>
      <w:r w:rsidR="00695AE2" w:rsidRPr="00CB5050">
        <w:t>Sklepi o izbrisu zadev s seznama zadev zaradi sklenitve prijateljske poravnave ali podane enostranske izjave</w:t>
      </w:r>
      <w:bookmarkEnd w:id="1221"/>
    </w:p>
    <w:p w14:paraId="48EE6D52" w14:textId="77777777" w:rsidR="00695AE2" w:rsidRPr="00CB5050" w:rsidRDefault="00695AE2" w:rsidP="00695AE2">
      <w:pPr>
        <w:spacing w:line="240" w:lineRule="auto"/>
        <w:rPr>
          <w:rFonts w:eastAsia="Aptos"/>
          <w:color w:val="007466"/>
          <w:szCs w:val="22"/>
        </w:rPr>
      </w:pPr>
    </w:p>
    <w:p w14:paraId="7DE4C444" w14:textId="77777777" w:rsidR="00695AE2" w:rsidRPr="00CB5050" w:rsidRDefault="00695AE2" w:rsidP="00695AE2">
      <w:pPr>
        <w:pStyle w:val="Naslov5"/>
        <w:rPr>
          <w:szCs w:val="22"/>
          <w:shd w:val="clear" w:color="auto" w:fill="FFFFFF"/>
        </w:rPr>
      </w:pPr>
      <w:bookmarkStart w:id="1222" w:name="_Toc223094153"/>
      <w:r w:rsidRPr="00256503">
        <w:rPr>
          <w:i/>
          <w:iCs/>
        </w:rPr>
        <w:t>Koella proti Sloveniji</w:t>
      </w:r>
      <w:r w:rsidRPr="00CB5050">
        <w:t xml:space="preserve">, št. </w:t>
      </w:r>
      <w:r w:rsidRPr="00CB5050">
        <w:rPr>
          <w:szCs w:val="20"/>
          <w:lang w:eastAsia="sl-SI"/>
        </w:rPr>
        <w:t>12482/24</w:t>
      </w:r>
      <w:bookmarkEnd w:id="1222"/>
    </w:p>
    <w:p w14:paraId="4C4A70F8" w14:textId="77777777" w:rsidR="00695AE2" w:rsidRPr="00CB5050" w:rsidRDefault="00695AE2" w:rsidP="00695AE2">
      <w:pPr>
        <w:spacing w:line="240" w:lineRule="auto"/>
        <w:jc w:val="both"/>
        <w:rPr>
          <w:rFonts w:eastAsia="Aptos"/>
          <w:color w:val="000000"/>
          <w:shd w:val="clear" w:color="auto" w:fill="FFFFFF"/>
        </w:rPr>
      </w:pPr>
    </w:p>
    <w:p w14:paraId="5EDCB521"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lastRenderedPageBreak/>
        <w:t>Evropsko sodišče za človekove pravice je 25. septembra 2025 objavilo sklep, s katerim je v skladu z 39. členom konvencije zadevo izbrisalo s seznama zadev.</w:t>
      </w:r>
    </w:p>
    <w:p w14:paraId="541DA76D" w14:textId="77777777" w:rsidR="00695AE2" w:rsidRPr="00CB5050" w:rsidRDefault="00695AE2" w:rsidP="00695AE2">
      <w:pPr>
        <w:spacing w:line="240" w:lineRule="auto"/>
        <w:jc w:val="both"/>
        <w:rPr>
          <w:rFonts w:eastAsia="Times New Roman"/>
          <w:lang w:eastAsia="sl-SI"/>
        </w:rPr>
      </w:pPr>
    </w:p>
    <w:p w14:paraId="10ACE4C8"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Pritožnica se je v pritožbi pred ESČP sklicevala na kršitev pravice do sojenja v razumnem roku po 6. členu, kršitev pravice do učinkovitega pravnega sredstva po 13. členu, kršitev prepovedi diskriminacije po 14. členu konvencije in kršitev pravice do varstva premoženja po 1. členu Protokola št. 1, vse v zvezi z izvršilnim postopkom. ESČP je pritožbo obravnavalo z vidika 6. in 13. člena konvencije, v preostalem je sodnik posameznik odločil, da je pritožba nedopustna.</w:t>
      </w:r>
    </w:p>
    <w:p w14:paraId="53D17A83" w14:textId="77777777" w:rsidR="00695AE2" w:rsidRPr="00CB5050" w:rsidRDefault="00695AE2" w:rsidP="00695AE2">
      <w:pPr>
        <w:spacing w:line="240" w:lineRule="auto"/>
        <w:jc w:val="both"/>
        <w:rPr>
          <w:rFonts w:eastAsia="Times New Roman"/>
          <w:lang w:eastAsia="sl-SI"/>
        </w:rPr>
      </w:pPr>
    </w:p>
    <w:p w14:paraId="2655D3BA"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V postopku pred ESČP sta pritožnica in vlada sklenili prijateljsko poravnavo, na podlagi katere se je vlada zavezala pritožnici plačati pravično zadoščenje v višini 10.000 EUR. ESČP je na tej podlagi zaključilo, da nadaljnja obravnava pritožbe ni potrebna, in je pritožbo izbrisalo s seznama zadev.</w:t>
      </w:r>
    </w:p>
    <w:p w14:paraId="45A83BC5" w14:textId="77777777" w:rsidR="00695AE2" w:rsidRPr="00CB5050" w:rsidRDefault="00695AE2" w:rsidP="00695AE2">
      <w:pPr>
        <w:spacing w:line="240" w:lineRule="auto"/>
        <w:jc w:val="both"/>
        <w:rPr>
          <w:rFonts w:eastAsia="Times New Roman"/>
          <w:lang w:eastAsia="sl-SI"/>
        </w:rPr>
      </w:pPr>
    </w:p>
    <w:p w14:paraId="6209CD0E" w14:textId="77777777" w:rsidR="00695AE2" w:rsidRPr="00CB5050" w:rsidRDefault="00695AE2" w:rsidP="00695AE2">
      <w:pPr>
        <w:pStyle w:val="Naslov5"/>
        <w:rPr>
          <w:shd w:val="clear" w:color="auto" w:fill="FFFFFF"/>
        </w:rPr>
      </w:pPr>
      <w:bookmarkStart w:id="1223" w:name="_Toc223094154"/>
      <w:r w:rsidRPr="00256503">
        <w:rPr>
          <w:i/>
          <w:iCs/>
          <w:lang w:eastAsia="sl-SI"/>
        </w:rPr>
        <w:t>Božičnik proti Sloveniji</w:t>
      </w:r>
      <w:r w:rsidRPr="00CB5050">
        <w:rPr>
          <w:lang w:eastAsia="sl-SI"/>
        </w:rPr>
        <w:t>, št. 1703/23</w:t>
      </w:r>
      <w:bookmarkEnd w:id="1223"/>
    </w:p>
    <w:p w14:paraId="2D0C7FC8" w14:textId="77777777" w:rsidR="00695AE2" w:rsidRPr="00CB5050" w:rsidRDefault="00695AE2" w:rsidP="00695AE2">
      <w:pPr>
        <w:spacing w:line="240" w:lineRule="auto"/>
        <w:jc w:val="both"/>
        <w:rPr>
          <w:rFonts w:eastAsia="Aptos"/>
          <w:color w:val="000000"/>
          <w:shd w:val="clear" w:color="auto" w:fill="FFFFFF"/>
        </w:rPr>
      </w:pPr>
    </w:p>
    <w:p w14:paraId="538EF27F" w14:textId="77777777" w:rsidR="00695AE2" w:rsidRPr="00CB5050" w:rsidRDefault="00695AE2" w:rsidP="00695AE2">
      <w:pPr>
        <w:spacing w:line="240" w:lineRule="auto"/>
        <w:jc w:val="both"/>
        <w:rPr>
          <w:rFonts w:eastAsia="Times New Roman"/>
          <w:lang w:eastAsia="sl-SI"/>
        </w:rPr>
      </w:pPr>
      <w:r w:rsidRPr="00CB5050">
        <w:rPr>
          <w:rFonts w:eastAsia="Times New Roman"/>
          <w:lang w:eastAsia="sl-SI"/>
        </w:rPr>
        <w:t>ESČP je 6. februarja 2025 objavilo sklep, s katerim je po preučitvi vsebine in pogojev podane enostranske izjave Slovenije menilo, da obravnava predmetne pritožbene zadeve ni več potrebna, in pritožbo podlagi točke c) prvega odstavka 37. člena konvencije izbrisalo s seznama zadev.</w:t>
      </w:r>
    </w:p>
    <w:p w14:paraId="2DF9DFFC" w14:textId="77777777" w:rsidR="00695AE2" w:rsidRPr="00CB5050" w:rsidRDefault="00695AE2" w:rsidP="00695AE2">
      <w:pPr>
        <w:spacing w:line="240" w:lineRule="auto"/>
        <w:jc w:val="both"/>
        <w:rPr>
          <w:rFonts w:eastAsia="Times New Roman"/>
          <w:lang w:eastAsia="sl-SI"/>
        </w:rPr>
      </w:pPr>
    </w:p>
    <w:p w14:paraId="661284F6" w14:textId="77777777" w:rsidR="00695AE2" w:rsidRPr="00CB5050" w:rsidRDefault="00695AE2" w:rsidP="00695AE2">
      <w:pPr>
        <w:spacing w:line="240" w:lineRule="auto"/>
        <w:jc w:val="both"/>
        <w:rPr>
          <w:rFonts w:eastAsia="Aptos"/>
        </w:rPr>
      </w:pPr>
      <w:r w:rsidRPr="00CB5050">
        <w:rPr>
          <w:rFonts w:eastAsia="Aptos"/>
        </w:rPr>
        <w:t xml:space="preserve">Pritožnik je pred ESČP v zadevi </w:t>
      </w:r>
      <w:r w:rsidRPr="00CB5050">
        <w:rPr>
          <w:rFonts w:eastAsia="Aptos"/>
          <w:i/>
          <w:iCs/>
        </w:rPr>
        <w:t>Cerovšek in Božičnik proti Sloveniji</w:t>
      </w:r>
      <w:r w:rsidRPr="00CB5050">
        <w:rPr>
          <w:rFonts w:eastAsia="Aptos"/>
        </w:rPr>
        <w:t>, pritožba št. 68939/12 in 68949/12 (sodba z dne 7. marca 2017) s pritožbo uspel. ESČP je v predmetni zadevi ugotovilo, da mu je bila kršena pravica, varovana po prvem odstavku 6. člena konvencije, ker je kazensko sodbo zoper pritožnika spisala sodnica, ki ni sodelovala pri sojenju.</w:t>
      </w:r>
    </w:p>
    <w:p w14:paraId="6F83B6F8" w14:textId="77777777" w:rsidR="00695AE2" w:rsidRPr="00CB5050" w:rsidRDefault="00695AE2" w:rsidP="00695AE2">
      <w:pPr>
        <w:spacing w:line="240" w:lineRule="auto"/>
        <w:jc w:val="both"/>
        <w:rPr>
          <w:rFonts w:eastAsia="Aptos"/>
        </w:rPr>
      </w:pPr>
    </w:p>
    <w:p w14:paraId="2B0F2DA0" w14:textId="77777777" w:rsidR="00695AE2" w:rsidRPr="00CB5050" w:rsidRDefault="00695AE2" w:rsidP="00695AE2">
      <w:pPr>
        <w:spacing w:line="240" w:lineRule="auto"/>
        <w:jc w:val="both"/>
        <w:rPr>
          <w:rFonts w:eastAsia="Aptos"/>
        </w:rPr>
      </w:pPr>
      <w:r w:rsidRPr="00CB5050">
        <w:rPr>
          <w:rFonts w:eastAsia="Aptos"/>
        </w:rPr>
        <w:t>Po dokončnosti sodbe ESČP je pritožnik uporabil pravno sredstvo, zahtevo za varstvo zakonitosti, ki je na voljo v domačem pravnem sistemu, kadar ESČP ugotovi kršitev pravic, varovanih s konvencijo, v kazenskih zadevah. Z zadevnim pravnim sredstvom je uspel, tako da je Vrhovno sodišče razveljavilo sodbe ter zadevo vrnilo v novo sojenje na sodišče prve stopnje.</w:t>
      </w:r>
    </w:p>
    <w:p w14:paraId="00560B66" w14:textId="77777777" w:rsidR="00695AE2" w:rsidRPr="00CB5050" w:rsidRDefault="00695AE2" w:rsidP="00695AE2">
      <w:pPr>
        <w:spacing w:line="240" w:lineRule="auto"/>
        <w:jc w:val="both"/>
        <w:rPr>
          <w:rFonts w:eastAsia="Aptos"/>
        </w:rPr>
      </w:pPr>
    </w:p>
    <w:p w14:paraId="00000B58" w14:textId="77777777" w:rsidR="00695AE2" w:rsidRPr="00CB5050" w:rsidRDefault="00695AE2" w:rsidP="00695AE2">
      <w:pPr>
        <w:spacing w:line="240" w:lineRule="auto"/>
        <w:jc w:val="both"/>
        <w:rPr>
          <w:rFonts w:eastAsia="Aptos"/>
        </w:rPr>
      </w:pPr>
      <w:r w:rsidRPr="00CB5050">
        <w:rPr>
          <w:rFonts w:eastAsia="Aptos"/>
        </w:rPr>
        <w:t>V ponovljenem postopku je bil pritožnik ponovno spoznan za krivega storitve kaznivega dejanja tatvine in posledično obsojen na pogojno kazen enega leta oziroma na štiri mesece zapora. Pritožnik je neuspešno uveljavljal vsa pravna sredstva zoper obsodbo, vključno s pritožbo na Ustavno sodišče.</w:t>
      </w:r>
    </w:p>
    <w:p w14:paraId="1CBFE6CB" w14:textId="77777777" w:rsidR="00695AE2" w:rsidRPr="00CB5050" w:rsidRDefault="00695AE2" w:rsidP="00695AE2">
      <w:pPr>
        <w:spacing w:line="240" w:lineRule="auto"/>
        <w:jc w:val="both"/>
        <w:rPr>
          <w:rFonts w:eastAsia="Aptos"/>
        </w:rPr>
      </w:pPr>
    </w:p>
    <w:p w14:paraId="0905C7F6" w14:textId="77777777" w:rsidR="00695AE2" w:rsidRPr="00CB5050" w:rsidRDefault="00695AE2" w:rsidP="00695AE2">
      <w:pPr>
        <w:spacing w:line="240" w:lineRule="auto"/>
        <w:jc w:val="both"/>
        <w:rPr>
          <w:rFonts w:eastAsia="Aptos"/>
        </w:rPr>
      </w:pPr>
      <w:r w:rsidRPr="00CB5050">
        <w:rPr>
          <w:rFonts w:eastAsia="Aptos"/>
        </w:rPr>
        <w:t>V pritožbi je pritožnik zatrjeval kršitev pravice, varovane po 4. členu Protokola št. 7 h konvenciji (pravica, da nisi dvakrat sojen ali kaznovan za isto kaznivo dejanje),</w:t>
      </w:r>
      <w:r w:rsidRPr="00CB5050">
        <w:rPr>
          <w:rFonts w:eastAsia="Aptos"/>
          <w:i/>
          <w:iCs/>
        </w:rPr>
        <w:t xml:space="preserve"> </w:t>
      </w:r>
      <w:r w:rsidRPr="00CB5050">
        <w:rPr>
          <w:rFonts w:eastAsia="Aptos"/>
        </w:rPr>
        <w:t>ker je bila njegova obsodba dvakrat zavedena v register kaznivih dejanj, ker je zoper njega dvakrat teklo preizkusno obdobje pogojne obsodbe in ker je moral dvakrat plačati stroške sojenja.</w:t>
      </w:r>
    </w:p>
    <w:p w14:paraId="3DD4EDE7" w14:textId="77777777" w:rsidR="00695AE2" w:rsidRPr="00CB5050" w:rsidRDefault="00695AE2" w:rsidP="00695AE2">
      <w:pPr>
        <w:spacing w:line="240" w:lineRule="auto"/>
        <w:jc w:val="both"/>
        <w:rPr>
          <w:rFonts w:eastAsia="Aptos"/>
        </w:rPr>
      </w:pPr>
    </w:p>
    <w:p w14:paraId="2CB77FF9" w14:textId="77777777" w:rsidR="00695AE2" w:rsidRPr="00CB5050" w:rsidRDefault="00695AE2" w:rsidP="00695AE2">
      <w:pPr>
        <w:spacing w:line="240" w:lineRule="auto"/>
        <w:jc w:val="both"/>
        <w:rPr>
          <w:rFonts w:eastAsia="Times New Roman"/>
          <w:lang w:eastAsia="sl-SI"/>
        </w:rPr>
      </w:pPr>
      <w:r w:rsidRPr="00CB5050">
        <w:rPr>
          <w:rFonts w:eastAsia="Aptos"/>
        </w:rPr>
        <w:t>Vlada je z enostransko izjavo priznala, da je bila pritožniku zaradi dveh pogojnih obsodb za isto kaznivo dejanje kršena pravica iz 4. člena Protokola št. 7 h konvenciji, ter se zavezala izplačati 3.500 EUR za vso premoženjsko in nepremoženjsko škodo ter za stroške, ki so mu nastali zaradi nastale kršitve.</w:t>
      </w:r>
      <w:r w:rsidRPr="00CB5050">
        <w:rPr>
          <w:rFonts w:eastAsia="Times New Roman"/>
          <w:lang w:eastAsia="sl-SI"/>
        </w:rPr>
        <w:t xml:space="preserve"> ESČP je pogoje podane enostranske izjave Slovenije presodilo kot ustrezne in zaključilo, da nadaljnja obravnava pritožbe ni potrebna, ter pritožbo izbrisalo s seznama zadev.</w:t>
      </w:r>
    </w:p>
    <w:p w14:paraId="16B5511F" w14:textId="77777777" w:rsidR="00695AE2" w:rsidRPr="00CB5050" w:rsidRDefault="00695AE2" w:rsidP="00695AE2">
      <w:pPr>
        <w:spacing w:line="240" w:lineRule="auto"/>
        <w:jc w:val="both"/>
        <w:rPr>
          <w:rFonts w:eastAsia="Times New Roman"/>
          <w:lang w:eastAsia="sl-SI"/>
        </w:rPr>
      </w:pPr>
    </w:p>
    <w:p w14:paraId="44F5C7B0" w14:textId="77777777" w:rsidR="00695AE2" w:rsidRPr="00CB5050" w:rsidRDefault="00695AE2" w:rsidP="00695AE2">
      <w:pPr>
        <w:pStyle w:val="Naslov4"/>
      </w:pPr>
      <w:bookmarkStart w:id="1224" w:name="_Toc223094155"/>
      <w:r w:rsidRPr="00CB5050">
        <w:lastRenderedPageBreak/>
        <w:t>Sodba v meddržavnem postopku, v katerem je intervenirala Republika Slovenija</w:t>
      </w:r>
      <w:bookmarkEnd w:id="1224"/>
      <w:r w:rsidRPr="00CB5050">
        <w:t xml:space="preserve"> </w:t>
      </w:r>
    </w:p>
    <w:p w14:paraId="23FA71F9" w14:textId="77777777" w:rsidR="00695AE2" w:rsidRPr="00CB5050" w:rsidRDefault="00695AE2" w:rsidP="00695AE2">
      <w:pPr>
        <w:spacing w:line="240" w:lineRule="auto"/>
        <w:jc w:val="both"/>
        <w:rPr>
          <w:rFonts w:eastAsia="Times New Roman"/>
          <w:lang w:eastAsia="sl-SI"/>
        </w:rPr>
      </w:pPr>
    </w:p>
    <w:p w14:paraId="59F3186D" w14:textId="77777777" w:rsidR="00695AE2" w:rsidRPr="00CB5050" w:rsidRDefault="00695AE2" w:rsidP="00695AE2">
      <w:pPr>
        <w:pStyle w:val="Naslov5"/>
        <w:ind w:left="0" w:firstLine="0"/>
      </w:pPr>
      <w:bookmarkStart w:id="1225" w:name="_Toc223094156"/>
      <w:r w:rsidRPr="00CB5050">
        <w:rPr>
          <w:i/>
          <w:iCs/>
        </w:rPr>
        <w:t>Ukrajina in Nizozemska proti Ruski federaciji</w:t>
      </w:r>
      <w:r w:rsidRPr="00CB5050">
        <w:t>, št. 8019/16, 43800/14, 28525/20 in 11055/22</w:t>
      </w:r>
      <w:bookmarkEnd w:id="1225"/>
    </w:p>
    <w:p w14:paraId="5DFCE590" w14:textId="77777777" w:rsidR="00695AE2" w:rsidRPr="00CB5050" w:rsidRDefault="00695AE2" w:rsidP="00695AE2">
      <w:pPr>
        <w:suppressAutoHyphens/>
        <w:spacing w:line="240" w:lineRule="auto"/>
        <w:jc w:val="both"/>
        <w:rPr>
          <w:rFonts w:eastAsia="Times New Roman"/>
          <w:b/>
          <w:bCs/>
          <w:lang w:eastAsia="sl-SI"/>
        </w:rPr>
      </w:pPr>
    </w:p>
    <w:p w14:paraId="49FFA898" w14:textId="77777777" w:rsidR="00695AE2" w:rsidRPr="00CB5050" w:rsidRDefault="00695AE2" w:rsidP="00695AE2">
      <w:pPr>
        <w:spacing w:line="240" w:lineRule="auto"/>
        <w:jc w:val="both"/>
        <w:rPr>
          <w:rFonts w:eastAsia="Aptos"/>
        </w:rPr>
      </w:pPr>
      <w:r w:rsidRPr="00CB5050">
        <w:rPr>
          <w:rFonts w:eastAsia="Aptos"/>
        </w:rPr>
        <w:t xml:space="preserve">Republika Slovenija je skupaj s še 25 visokimi pogodbenicami konvencije priglasila intervencijo v meddržavni zadevi </w:t>
      </w:r>
      <w:r w:rsidRPr="00CB5050">
        <w:rPr>
          <w:rFonts w:eastAsia="Aptos"/>
          <w:i/>
          <w:iCs/>
        </w:rPr>
        <w:t>Ukrajina proti Ruski federaciji</w:t>
      </w:r>
      <w:r w:rsidRPr="00CB5050">
        <w:rPr>
          <w:rFonts w:eastAsia="Aptos"/>
        </w:rPr>
        <w:t xml:space="preserve">, št. 11055/22. To pritožbeno zadevo je veliki senat ESČP februarja 2023 združil s predhodno meddržavno zadevo </w:t>
      </w:r>
      <w:r w:rsidRPr="00CB5050">
        <w:rPr>
          <w:rFonts w:eastAsia="Aptos"/>
          <w:i/>
          <w:iCs/>
        </w:rPr>
        <w:t>Ukrajina in Nizozemska proti Ruski federaciji</w:t>
      </w:r>
      <w:r w:rsidRPr="00CB5050">
        <w:rPr>
          <w:rFonts w:eastAsia="Aptos"/>
        </w:rPr>
        <w:t>, št. 8019/16, 43800/14, 28525/20 in 9. julija 2025 o združenih pritožbah odločil s skupno sodbo.</w:t>
      </w:r>
    </w:p>
    <w:p w14:paraId="6FF39C8B" w14:textId="77777777" w:rsidR="00695AE2" w:rsidRPr="00CB5050" w:rsidRDefault="00695AE2" w:rsidP="00695AE2">
      <w:pPr>
        <w:spacing w:line="240" w:lineRule="auto"/>
        <w:jc w:val="both"/>
        <w:rPr>
          <w:rFonts w:eastAsia="Aptos"/>
        </w:rPr>
      </w:pPr>
    </w:p>
    <w:p w14:paraId="6FC96BB7" w14:textId="77777777" w:rsidR="00695AE2" w:rsidRPr="00CB5050" w:rsidRDefault="00695AE2" w:rsidP="00695AE2">
      <w:pPr>
        <w:spacing w:line="240" w:lineRule="auto"/>
        <w:jc w:val="both"/>
        <w:rPr>
          <w:rFonts w:eastAsia="Aptos"/>
        </w:rPr>
      </w:pPr>
      <w:r w:rsidRPr="00CB5050">
        <w:rPr>
          <w:rFonts w:eastAsia="Aptos"/>
        </w:rPr>
        <w:t>Sodišče je odločilo, da ima pristojnost:</w:t>
      </w:r>
    </w:p>
    <w:p w14:paraId="1D3648FD" w14:textId="77777777" w:rsidR="00695AE2" w:rsidRPr="00CB5050" w:rsidRDefault="00695AE2" w:rsidP="006D16C0">
      <w:pPr>
        <w:numPr>
          <w:ilvl w:val="0"/>
          <w:numId w:val="162"/>
        </w:numPr>
        <w:spacing w:line="240" w:lineRule="auto"/>
        <w:contextualSpacing/>
        <w:jc w:val="both"/>
        <w:rPr>
          <w:rFonts w:eastAsia="Aptos"/>
        </w:rPr>
      </w:pPr>
      <w:r w:rsidRPr="00CB5050">
        <w:rPr>
          <w:rFonts w:eastAsia="Aptos"/>
          <w:i/>
          <w:iCs/>
        </w:rPr>
        <w:t>ratione tem</w:t>
      </w:r>
      <w:r w:rsidRPr="00CB5050">
        <w:rPr>
          <w:rFonts w:eastAsia="Aptos"/>
        </w:rPr>
        <w:t xml:space="preserve">poris za obravnavo primera v obsegu, ki se nanaša na dogodke pred 16. septembrom 2022, </w:t>
      </w:r>
    </w:p>
    <w:p w14:paraId="469ACEFA" w14:textId="77777777" w:rsidR="00695AE2" w:rsidRPr="00CB5050" w:rsidRDefault="00695AE2" w:rsidP="006D16C0">
      <w:pPr>
        <w:numPr>
          <w:ilvl w:val="0"/>
          <w:numId w:val="162"/>
        </w:numPr>
        <w:spacing w:line="240" w:lineRule="auto"/>
        <w:contextualSpacing/>
        <w:jc w:val="both"/>
        <w:rPr>
          <w:rFonts w:eastAsia="Aptos"/>
        </w:rPr>
      </w:pPr>
      <w:r w:rsidRPr="00CB5050">
        <w:rPr>
          <w:rFonts w:eastAsia="Aptos"/>
        </w:rPr>
        <w:t>da pritožbe ukrajinske vlade glede dogodkov na ozemlju pod nadzorom separatistov v regijah Donetsk in Lugansk od 26. januarja 2022 do 16. septembra 2022 spadajo v pristojnost Ruske federacije v smislu 1. člena konvencije;</w:t>
      </w:r>
    </w:p>
    <w:p w14:paraId="3C032815" w14:textId="77777777" w:rsidR="00695AE2" w:rsidRPr="00CB5050" w:rsidRDefault="00695AE2" w:rsidP="006D16C0">
      <w:pPr>
        <w:numPr>
          <w:ilvl w:val="0"/>
          <w:numId w:val="162"/>
        </w:numPr>
        <w:spacing w:line="240" w:lineRule="auto"/>
        <w:jc w:val="both"/>
        <w:rPr>
          <w:rFonts w:eastAsia="Aptos"/>
        </w:rPr>
      </w:pPr>
      <w:r w:rsidRPr="00CB5050">
        <w:rPr>
          <w:rFonts w:eastAsia="Aptos"/>
        </w:rPr>
        <w:t>da pritožbe ukrajinske vlade glede dogodkov, ki so se zgodili na ozemlju Ruske federacije ali na ozemlju pod nadzorom ruskih oboroženih sil od 24. februarja 2022 do 16. septembra 2022, spadajo v pristojnost Ruske federacije v smislu 1. člena konvencije;</w:t>
      </w:r>
    </w:p>
    <w:p w14:paraId="6025909C" w14:textId="77777777" w:rsidR="00695AE2" w:rsidRPr="00CB5050" w:rsidRDefault="00695AE2" w:rsidP="006D16C0">
      <w:pPr>
        <w:numPr>
          <w:ilvl w:val="0"/>
          <w:numId w:val="162"/>
        </w:numPr>
        <w:spacing w:line="240" w:lineRule="auto"/>
        <w:jc w:val="both"/>
        <w:rPr>
          <w:rFonts w:eastAsia="Aptos"/>
        </w:rPr>
      </w:pPr>
      <w:r w:rsidRPr="00CB5050">
        <w:rPr>
          <w:rFonts w:eastAsia="Aptos"/>
        </w:rPr>
        <w:t>da pritožbe ukrajinske vlade glede vojaških napadov separatistov ali ruskih oboroženih sil spadajo v pristojnost Ruske federacije v smislu 1. člena konvencije.</w:t>
      </w:r>
    </w:p>
    <w:p w14:paraId="1C29887E" w14:textId="77777777" w:rsidR="00695AE2" w:rsidRPr="00CB5050" w:rsidRDefault="00695AE2" w:rsidP="00695AE2">
      <w:pPr>
        <w:spacing w:line="240" w:lineRule="auto"/>
        <w:jc w:val="both"/>
        <w:rPr>
          <w:rFonts w:eastAsia="Aptos"/>
        </w:rPr>
      </w:pPr>
    </w:p>
    <w:p w14:paraId="0065F8C2" w14:textId="77777777" w:rsidR="00695AE2" w:rsidRPr="00CB5050" w:rsidRDefault="00695AE2" w:rsidP="00695AE2">
      <w:pPr>
        <w:spacing w:line="240" w:lineRule="auto"/>
        <w:jc w:val="both"/>
        <w:rPr>
          <w:rFonts w:eastAsia="Aptos"/>
        </w:rPr>
      </w:pPr>
      <w:r w:rsidRPr="00CB5050">
        <w:rPr>
          <w:rFonts w:eastAsia="Aptos"/>
        </w:rPr>
        <w:t>Glede utemeljenosti pritožb je Sodišče odločilo:</w:t>
      </w:r>
    </w:p>
    <w:p w14:paraId="6304D9AE" w14:textId="77777777" w:rsidR="00695AE2" w:rsidRPr="00CB5050" w:rsidRDefault="00695AE2" w:rsidP="006D16C0">
      <w:pPr>
        <w:widowControl w:val="0"/>
        <w:numPr>
          <w:ilvl w:val="0"/>
          <w:numId w:val="161"/>
        </w:numPr>
        <w:spacing w:line="240" w:lineRule="auto"/>
        <w:jc w:val="both"/>
        <w:rPr>
          <w:rFonts w:eastAsia="Aptos"/>
        </w:rPr>
      </w:pPr>
      <w:r w:rsidRPr="00CB5050">
        <w:rPr>
          <w:rFonts w:eastAsia="Aptos"/>
        </w:rPr>
        <w:t>da je bil kršen vsebinski del 2. člena konvencije v zvezi s sestrelitvijo leta MH17;</w:t>
      </w:r>
    </w:p>
    <w:p w14:paraId="4C1FD2AF" w14:textId="77777777" w:rsidR="00695AE2" w:rsidRPr="00CB5050" w:rsidRDefault="00695AE2" w:rsidP="006D16C0">
      <w:pPr>
        <w:widowControl w:val="0"/>
        <w:numPr>
          <w:ilvl w:val="0"/>
          <w:numId w:val="161"/>
        </w:numPr>
        <w:spacing w:line="240" w:lineRule="auto"/>
        <w:jc w:val="both"/>
        <w:rPr>
          <w:rFonts w:eastAsia="Aptos"/>
        </w:rPr>
      </w:pPr>
      <w:r w:rsidRPr="00CB5050">
        <w:rPr>
          <w:rFonts w:eastAsia="Aptos"/>
        </w:rPr>
        <w:t>da je bil kršen procesni del 2. člena konvencije v zvezi s sestrelitvijo leta MH17;</w:t>
      </w:r>
    </w:p>
    <w:p w14:paraId="7BE27011" w14:textId="77777777" w:rsidR="00695AE2" w:rsidRPr="00CB5050" w:rsidRDefault="00695AE2" w:rsidP="006D16C0">
      <w:pPr>
        <w:widowControl w:val="0"/>
        <w:numPr>
          <w:ilvl w:val="0"/>
          <w:numId w:val="161"/>
        </w:numPr>
        <w:spacing w:line="240" w:lineRule="auto"/>
        <w:jc w:val="both"/>
        <w:rPr>
          <w:rFonts w:eastAsia="Aptos"/>
        </w:rPr>
      </w:pPr>
      <w:r w:rsidRPr="00CB5050">
        <w:rPr>
          <w:rFonts w:eastAsia="Aptos"/>
        </w:rPr>
        <w:t>da je bil kršen 13. člen skupaj z 2. členom v zvezi s sestrelitvijo leta MH17;</w:t>
      </w:r>
    </w:p>
    <w:p w14:paraId="38F23CFA" w14:textId="77777777" w:rsidR="00695AE2" w:rsidRPr="00CB5050" w:rsidRDefault="00695AE2" w:rsidP="006D16C0">
      <w:pPr>
        <w:widowControl w:val="0"/>
        <w:numPr>
          <w:ilvl w:val="0"/>
          <w:numId w:val="161"/>
        </w:numPr>
        <w:spacing w:line="240" w:lineRule="auto"/>
        <w:jc w:val="both"/>
        <w:rPr>
          <w:rFonts w:eastAsia="Aptos"/>
        </w:rPr>
      </w:pPr>
      <w:r w:rsidRPr="00CB5050">
        <w:rPr>
          <w:rFonts w:eastAsia="Aptos"/>
        </w:rPr>
        <w:t>da je trpljenje svojcev žrtev sestrelitve leta MH17 spadalo v področje 3. člena konvencije, in da je bil posledično kršen ta člen;</w:t>
      </w:r>
    </w:p>
    <w:p w14:paraId="401A25F3" w14:textId="77777777" w:rsidR="00695AE2" w:rsidRPr="00CB5050" w:rsidRDefault="00695AE2" w:rsidP="006D16C0">
      <w:pPr>
        <w:numPr>
          <w:ilvl w:val="0"/>
          <w:numId w:val="161"/>
        </w:numPr>
        <w:spacing w:line="240" w:lineRule="auto"/>
        <w:jc w:val="both"/>
        <w:rPr>
          <w:rFonts w:eastAsia="Aptos"/>
        </w:rPr>
      </w:pPr>
      <w:r w:rsidRPr="00CB5050">
        <w:rPr>
          <w:rFonts w:eastAsia="Aptos"/>
        </w:rPr>
        <w:t>da je Ruska federacija zagrešila številne, sistematične in hude kršitve človekovih pravic po več členih konvencije na teritoriju Ukrajine po 26. januarju 2022.</w:t>
      </w:r>
    </w:p>
    <w:p w14:paraId="462EC108" w14:textId="77777777" w:rsidR="00695AE2" w:rsidRPr="00CB5050" w:rsidRDefault="00695AE2" w:rsidP="00775C33">
      <w:pPr>
        <w:spacing w:line="240" w:lineRule="auto"/>
        <w:ind w:left="284"/>
        <w:jc w:val="both"/>
        <w:rPr>
          <w:rFonts w:eastAsia="Aptos"/>
        </w:rPr>
      </w:pPr>
    </w:p>
    <w:p w14:paraId="0AB01D03" w14:textId="77777777" w:rsidR="00695AE2" w:rsidRPr="00CB5050" w:rsidRDefault="00695AE2" w:rsidP="00695AE2">
      <w:pPr>
        <w:spacing w:line="240" w:lineRule="auto"/>
        <w:jc w:val="both"/>
        <w:rPr>
          <w:rFonts w:eastAsia="Aptos"/>
        </w:rPr>
      </w:pPr>
      <w:r w:rsidRPr="00CB5050">
        <w:rPr>
          <w:rFonts w:eastAsia="Aptos"/>
        </w:rPr>
        <w:t>Sodišče je toženi državi naložilo:</w:t>
      </w:r>
    </w:p>
    <w:p w14:paraId="2155AC0C" w14:textId="77777777" w:rsidR="00695AE2" w:rsidRPr="00CB5050" w:rsidRDefault="00695AE2" w:rsidP="006D16C0">
      <w:pPr>
        <w:numPr>
          <w:ilvl w:val="0"/>
          <w:numId w:val="163"/>
        </w:numPr>
        <w:spacing w:line="240" w:lineRule="auto"/>
        <w:jc w:val="both"/>
        <w:rPr>
          <w:rFonts w:eastAsia="Aptos"/>
        </w:rPr>
      </w:pPr>
      <w:r w:rsidRPr="00CB5050">
        <w:rPr>
          <w:rFonts w:eastAsia="Aptos"/>
        </w:rPr>
        <w:t>da mora nemudoma izpustiti ali na varno vrniti vse osebe, ki so bile pridržane na ukrajinskem ozemlju pod okupacijo ruskih sil ali tistih, ki so pod nadzorom Ruske federacije, v nasprotju s 5. členom konvencije pred 16. septembrom 2022 in so še vedno v ruskem pridržanju;</w:t>
      </w:r>
    </w:p>
    <w:p w14:paraId="6EB6056C" w14:textId="77777777" w:rsidR="00695AE2" w:rsidRPr="00CB5050" w:rsidRDefault="00695AE2" w:rsidP="006D16C0">
      <w:pPr>
        <w:numPr>
          <w:ilvl w:val="0"/>
          <w:numId w:val="163"/>
        </w:numPr>
        <w:spacing w:line="240" w:lineRule="auto"/>
        <w:jc w:val="both"/>
        <w:rPr>
          <w:rFonts w:eastAsia="Aptos"/>
        </w:rPr>
      </w:pPr>
      <w:r w:rsidRPr="00CB5050">
        <w:rPr>
          <w:rFonts w:eastAsia="Aptos"/>
        </w:rPr>
        <w:t>da mora nemudoma sodelovati pri vzpostavitvi mednarodnega in neodvisnega mehanizma za čimprejšnjo, ob upoštevanju najboljših interesov otrok, identifikacijo vseh otrok, premeščenih iz Ukrajine v Rusijo in na ozemlja pod ruskim nadzorom pred 16. septembrom 2022, vzpostavitev stika med temi otroki in njihovimi preživelimi družinskimi člani ali zakonitimi skrbniki ter njihovo varno združitev z družinami ali skrbniki;</w:t>
      </w:r>
    </w:p>
    <w:p w14:paraId="57FB01DC" w14:textId="77777777" w:rsidR="00695AE2" w:rsidRPr="00CB5050" w:rsidRDefault="00695AE2" w:rsidP="006D16C0">
      <w:pPr>
        <w:numPr>
          <w:ilvl w:val="0"/>
          <w:numId w:val="163"/>
        </w:numPr>
        <w:spacing w:line="240" w:lineRule="auto"/>
        <w:jc w:val="both"/>
        <w:rPr>
          <w:rFonts w:eastAsia="Aptos"/>
        </w:rPr>
      </w:pPr>
      <w:r w:rsidRPr="00CB5050">
        <w:rPr>
          <w:rFonts w:eastAsia="Aptos"/>
        </w:rPr>
        <w:t>da vprašanje uporabe 41. člena Konvencije še ni primerno za odločitev, zato se njegova obravnava odloži.</w:t>
      </w:r>
    </w:p>
    <w:p w14:paraId="5383380D" w14:textId="77777777" w:rsidR="00695AE2" w:rsidRPr="00CB5050" w:rsidRDefault="00695AE2" w:rsidP="00695AE2">
      <w:pPr>
        <w:spacing w:line="240" w:lineRule="auto"/>
        <w:ind w:left="142"/>
        <w:jc w:val="both"/>
        <w:rPr>
          <w:rFonts w:eastAsia="Aptos"/>
          <w:sz w:val="32"/>
          <w:szCs w:val="32"/>
        </w:rPr>
      </w:pPr>
    </w:p>
    <w:p w14:paraId="6C0A3079" w14:textId="77777777" w:rsidR="00695AE2" w:rsidRPr="00CB5050" w:rsidRDefault="00695AE2" w:rsidP="00695AE2">
      <w:pPr>
        <w:pStyle w:val="Naslov2"/>
      </w:pPr>
      <w:bookmarkStart w:id="1226" w:name="_Toc95149882"/>
      <w:bookmarkStart w:id="1227" w:name="_Toc168845154"/>
      <w:bookmarkStart w:id="1228" w:name="_Toc191562149"/>
      <w:bookmarkStart w:id="1229" w:name="_Toc223094157"/>
      <w:r w:rsidRPr="00CB5050">
        <w:t>Postopki pred Sodiščem Evropske unije</w:t>
      </w:r>
      <w:bookmarkEnd w:id="1226"/>
      <w:bookmarkEnd w:id="1227"/>
      <w:bookmarkEnd w:id="1228"/>
      <w:bookmarkEnd w:id="1229"/>
    </w:p>
    <w:p w14:paraId="5DF2856C" w14:textId="77777777" w:rsidR="00695AE2" w:rsidRPr="00CB5050" w:rsidRDefault="00695AE2" w:rsidP="00695AE2">
      <w:pPr>
        <w:spacing w:line="240" w:lineRule="auto"/>
        <w:jc w:val="both"/>
        <w:rPr>
          <w:rFonts w:eastAsia="Calibri"/>
          <w:sz w:val="32"/>
          <w:szCs w:val="32"/>
        </w:rPr>
      </w:pPr>
    </w:p>
    <w:p w14:paraId="3BF556A1" w14:textId="77777777" w:rsidR="00695AE2" w:rsidRPr="00CB5050" w:rsidRDefault="00695AE2" w:rsidP="00695AE2">
      <w:pPr>
        <w:pStyle w:val="Naslov3"/>
      </w:pPr>
      <w:bookmarkStart w:id="1230" w:name="_Toc95149883"/>
      <w:bookmarkStart w:id="1231" w:name="_Toc168845155"/>
      <w:bookmarkStart w:id="1232" w:name="_Toc191562150"/>
      <w:bookmarkStart w:id="1233" w:name="_Toc223094158"/>
      <w:r w:rsidRPr="00CB5050">
        <w:t>Pomembnejše nove zadeve</w:t>
      </w:r>
      <w:bookmarkEnd w:id="1230"/>
      <w:bookmarkEnd w:id="1231"/>
      <w:bookmarkEnd w:id="1232"/>
      <w:bookmarkEnd w:id="1233"/>
    </w:p>
    <w:p w14:paraId="4E092286" w14:textId="77777777" w:rsidR="00695AE2" w:rsidRPr="00CB5050" w:rsidRDefault="00695AE2" w:rsidP="00695AE2">
      <w:pPr>
        <w:spacing w:line="240" w:lineRule="auto"/>
        <w:jc w:val="both"/>
        <w:rPr>
          <w:rFonts w:eastAsia="Calibri"/>
          <w:sz w:val="28"/>
          <w:szCs w:val="28"/>
        </w:rPr>
      </w:pPr>
    </w:p>
    <w:p w14:paraId="4F7E45D2" w14:textId="77777777" w:rsidR="00695AE2" w:rsidRPr="00CB5050" w:rsidRDefault="00695AE2" w:rsidP="00695AE2">
      <w:pPr>
        <w:spacing w:line="240" w:lineRule="auto"/>
        <w:jc w:val="both"/>
        <w:rPr>
          <w:rFonts w:eastAsia="Calibri"/>
        </w:rPr>
      </w:pPr>
      <w:r w:rsidRPr="00CB5050">
        <w:rPr>
          <w:rFonts w:eastAsia="Calibri"/>
        </w:rPr>
        <w:t>Slovenija se je v letu 2025 vključila v dva postopka predhodnega odločanja na podlagi člena 267 PDEU, od katerih je bil en (</w:t>
      </w:r>
      <w:r w:rsidRPr="00CB5050">
        <w:rPr>
          <w:rFonts w:eastAsia="Calibri"/>
          <w:i/>
          <w:iCs/>
        </w:rPr>
        <w:t>Telekom</w:t>
      </w:r>
      <w:r w:rsidRPr="00CB5050">
        <w:rPr>
          <w:rFonts w:eastAsia="Calibri"/>
        </w:rPr>
        <w:t>) začet na predlog Vrhovnega sodišča Republike Slovenije, drugi (</w:t>
      </w:r>
      <w:r w:rsidRPr="00CB5050">
        <w:rPr>
          <w:rFonts w:eastAsia="Calibri"/>
          <w:i/>
          <w:iCs/>
        </w:rPr>
        <w:t>MS KLJUČAROVCI</w:t>
      </w:r>
      <w:r w:rsidRPr="00CB5050">
        <w:rPr>
          <w:rFonts w:eastAsia="Calibri"/>
        </w:rPr>
        <w:t>) pa na predlog Upravnega sodišča Republike Slovenije. V enem postopku po direktni tožbi je sodelovala kot intervenientka (</w:t>
      </w:r>
      <w:r w:rsidRPr="00CB5050">
        <w:rPr>
          <w:rFonts w:eastAsia="Calibri"/>
          <w:i/>
          <w:iCs/>
        </w:rPr>
        <w:t>Zdravniška zbornica Slovenije proti Evropski komisiji</w:t>
      </w:r>
      <w:r w:rsidRPr="00CB5050">
        <w:rPr>
          <w:rFonts w:eastAsia="Calibri"/>
        </w:rPr>
        <w:t xml:space="preserve">). </w:t>
      </w:r>
    </w:p>
    <w:p w14:paraId="3A496CA5" w14:textId="77777777" w:rsidR="00695AE2" w:rsidRPr="00CB5050" w:rsidRDefault="00695AE2" w:rsidP="00695AE2">
      <w:pPr>
        <w:spacing w:line="240" w:lineRule="auto"/>
        <w:jc w:val="both"/>
        <w:rPr>
          <w:rFonts w:eastAsia="Calibri"/>
        </w:rPr>
      </w:pPr>
    </w:p>
    <w:p w14:paraId="2DD9CA3D" w14:textId="77777777" w:rsidR="00695AE2" w:rsidRPr="00CB5050" w:rsidRDefault="00695AE2" w:rsidP="00695AE2">
      <w:pPr>
        <w:spacing w:line="240" w:lineRule="auto"/>
        <w:jc w:val="both"/>
        <w:rPr>
          <w:rFonts w:eastAsia="Calibri"/>
        </w:rPr>
      </w:pPr>
      <w:r w:rsidRPr="00CB5050">
        <w:rPr>
          <w:rFonts w:eastAsia="Calibri"/>
        </w:rPr>
        <w:t>V letu 2025 Sloveniji ni bila vročena nobena tožba Komisije zaradi kršitev prava Evropske unije.</w:t>
      </w:r>
    </w:p>
    <w:p w14:paraId="173046E7" w14:textId="77777777" w:rsidR="00695AE2" w:rsidRPr="00CB5050" w:rsidRDefault="00695AE2" w:rsidP="00695AE2">
      <w:pPr>
        <w:spacing w:line="240" w:lineRule="auto"/>
        <w:jc w:val="both"/>
        <w:rPr>
          <w:rFonts w:eastAsia="Calibri"/>
        </w:rPr>
      </w:pPr>
    </w:p>
    <w:p w14:paraId="321CBCFF" w14:textId="77777777" w:rsidR="00695AE2" w:rsidRPr="00CB5050" w:rsidRDefault="00695AE2" w:rsidP="00695AE2">
      <w:pPr>
        <w:spacing w:line="240" w:lineRule="auto"/>
        <w:jc w:val="both"/>
        <w:rPr>
          <w:rFonts w:eastAsia="Calibri"/>
        </w:rPr>
      </w:pPr>
      <w:r w:rsidRPr="00CB5050">
        <w:rPr>
          <w:rFonts w:eastAsia="Calibri"/>
        </w:rPr>
        <w:t xml:space="preserve">Ker je Splošno sodišče v zadevi predhodnega odločanja </w:t>
      </w:r>
      <w:r w:rsidRPr="00CB5050">
        <w:rPr>
          <w:rFonts w:eastAsia="Calibri"/>
          <w:i/>
          <w:iCs/>
        </w:rPr>
        <w:t>MS KLJUČAROVCI</w:t>
      </w:r>
      <w:r w:rsidRPr="00CB5050">
        <w:rPr>
          <w:rFonts w:eastAsia="Calibri"/>
        </w:rPr>
        <w:t xml:space="preserve"> odločilo že v letu 2025, je predstavljena med zaključenimi zadevami, med novimi pa sta predstavljeni le zadevi, v katerih je Slovenija aktivno sodelovala v pisnem delu postopka, a o njih pristojni sodišči še nista odločili.</w:t>
      </w:r>
    </w:p>
    <w:p w14:paraId="138B5B81" w14:textId="77777777" w:rsidR="00695AE2" w:rsidRPr="00CB5050" w:rsidRDefault="00695AE2" w:rsidP="00695AE2">
      <w:pPr>
        <w:spacing w:line="240" w:lineRule="auto"/>
        <w:jc w:val="both"/>
        <w:rPr>
          <w:rFonts w:eastAsia="Calibri"/>
        </w:rPr>
      </w:pPr>
    </w:p>
    <w:p w14:paraId="644227AC" w14:textId="77777777" w:rsidR="00695AE2" w:rsidRPr="00B53C7B" w:rsidRDefault="00695AE2" w:rsidP="00695AE2">
      <w:pPr>
        <w:pStyle w:val="Naslov4"/>
        <w:rPr>
          <w:caps/>
        </w:rPr>
      </w:pPr>
      <w:bookmarkStart w:id="1234" w:name="_Toc155975486"/>
      <w:bookmarkStart w:id="1235" w:name="_Toc168845156"/>
      <w:bookmarkStart w:id="1236" w:name="_Toc191562151"/>
      <w:bookmarkStart w:id="1237" w:name="_Toc223094159"/>
      <w:r w:rsidRPr="00B53C7B">
        <w:t>Postopki predhodnega odločanja</w:t>
      </w:r>
      <w:bookmarkEnd w:id="1234"/>
      <w:bookmarkEnd w:id="1235"/>
      <w:bookmarkEnd w:id="1236"/>
      <w:bookmarkEnd w:id="1237"/>
    </w:p>
    <w:p w14:paraId="58F8DA15" w14:textId="77777777" w:rsidR="00695AE2" w:rsidRPr="00CB5050" w:rsidRDefault="00695AE2" w:rsidP="00695AE2">
      <w:pPr>
        <w:spacing w:line="240" w:lineRule="auto"/>
        <w:rPr>
          <w:rFonts w:eastAsia="Calibri"/>
          <w:color w:val="007466"/>
          <w:szCs w:val="22"/>
        </w:rPr>
      </w:pPr>
    </w:p>
    <w:p w14:paraId="5DD34758" w14:textId="77777777" w:rsidR="00695AE2" w:rsidRPr="00CB5050" w:rsidRDefault="00695AE2" w:rsidP="00695AE2">
      <w:pPr>
        <w:pStyle w:val="Naslov5"/>
      </w:pPr>
      <w:bookmarkStart w:id="1238" w:name="_Toc191562152"/>
      <w:bookmarkStart w:id="1239" w:name="_Toc223094160"/>
      <w:r w:rsidRPr="00CB5050">
        <w:rPr>
          <w:i/>
        </w:rPr>
        <w:t xml:space="preserve">Telekom, </w:t>
      </w:r>
      <w:r w:rsidRPr="00CB5050">
        <w:t>C-164/2</w:t>
      </w:r>
      <w:bookmarkEnd w:id="1238"/>
      <w:r w:rsidRPr="00CB5050">
        <w:t>5</w:t>
      </w:r>
      <w:bookmarkStart w:id="1240" w:name="_Hlk93401036"/>
      <w:bookmarkEnd w:id="1239"/>
    </w:p>
    <w:p w14:paraId="0D64F481" w14:textId="77777777" w:rsidR="00695AE2" w:rsidRPr="00CB5050" w:rsidRDefault="00695AE2" w:rsidP="00695AE2">
      <w:pPr>
        <w:spacing w:line="240" w:lineRule="auto"/>
        <w:jc w:val="both"/>
        <w:rPr>
          <w:rFonts w:eastAsia="Calibri"/>
          <w:b/>
        </w:rPr>
      </w:pPr>
    </w:p>
    <w:p w14:paraId="7504C42A" w14:textId="77777777" w:rsidR="00695AE2" w:rsidRPr="00CB5050" w:rsidRDefault="00695AE2" w:rsidP="00695AE2">
      <w:pPr>
        <w:suppressAutoHyphens/>
        <w:spacing w:line="240" w:lineRule="auto"/>
        <w:jc w:val="both"/>
        <w:rPr>
          <w:rFonts w:eastAsia="Calibri"/>
          <w:szCs w:val="22"/>
          <w:lang w:eastAsia="ar-SA"/>
        </w:rPr>
      </w:pPr>
      <w:r w:rsidRPr="00CB5050">
        <w:rPr>
          <w:rFonts w:eastAsia="Calibri"/>
          <w:szCs w:val="22"/>
          <w:lang w:eastAsia="ar-SA"/>
        </w:rPr>
        <w:t>Predlog za predhodno odločanje izvira iz gospodarskega spora tožeče stranke T-2 družbe za ustvarjanje, razvoj in trženje elektronskih komunikacij in opreme, d. o. o., zoper toženo stranko Telekom Slovenije d. d., o katere odloča Vrhovno sodišče RS.</w:t>
      </w:r>
    </w:p>
    <w:p w14:paraId="52E66E27" w14:textId="77777777" w:rsidR="00695AE2" w:rsidRPr="00CB5050" w:rsidRDefault="00695AE2" w:rsidP="00695AE2">
      <w:pPr>
        <w:suppressAutoHyphens/>
        <w:spacing w:line="240" w:lineRule="auto"/>
        <w:jc w:val="both"/>
        <w:rPr>
          <w:rFonts w:eastAsia="Calibri"/>
          <w:szCs w:val="22"/>
          <w:lang w:eastAsia="ar-SA"/>
        </w:rPr>
      </w:pPr>
    </w:p>
    <w:p w14:paraId="6D1CA169" w14:textId="77777777" w:rsidR="00695AE2" w:rsidRPr="00CB5050" w:rsidRDefault="00695AE2" w:rsidP="00695AE2">
      <w:pPr>
        <w:suppressAutoHyphens/>
        <w:spacing w:line="240" w:lineRule="auto"/>
        <w:jc w:val="both"/>
        <w:rPr>
          <w:rFonts w:eastAsia="Calibri"/>
          <w:szCs w:val="22"/>
          <w:lang w:eastAsia="ar-SA"/>
        </w:rPr>
      </w:pPr>
      <w:r w:rsidRPr="00CB5050">
        <w:rPr>
          <w:rFonts w:eastAsia="Calibri"/>
          <w:szCs w:val="22"/>
          <w:lang w:eastAsia="ar-SA"/>
        </w:rPr>
        <w:t>Družba Telekom Slovenije je pri Agenciji za komunikacijska omrežja in storitve Republike Slovenije (AKOS) vložila predlog za rešitev medoperaterskega spora z družbo T-2 v zvezi z dostopom do obstoječe fizične infrastrukture T-2. AKOS je v skladu z 220.a členom Zakona o elektronskih komunikacijah (ZEKom-1) uvedla postopek reševanja spora v zvezi s sedmim odstavkom 93. člena ZEKom-1 ter družbi T-2 posredovala predlog Telekoma Slovenije za rešitev spora in jo pozvala na izjasnitev in predložitev dokazil, s katerimi bo podprla svoje navedbe. Družba T-2 je zavrnila dostop do zahtevane fizične infrastrukture in AKOS predlagala, da predlog za reševanje medoperaterskega spora zavrže oziroma zavrne.</w:t>
      </w:r>
    </w:p>
    <w:p w14:paraId="7E6931C7" w14:textId="77777777" w:rsidR="00695AE2" w:rsidRPr="00CB5050" w:rsidRDefault="00695AE2" w:rsidP="00695AE2">
      <w:pPr>
        <w:suppressAutoHyphens/>
        <w:spacing w:line="240" w:lineRule="auto"/>
        <w:jc w:val="both"/>
        <w:rPr>
          <w:rFonts w:eastAsia="Calibri"/>
          <w:szCs w:val="22"/>
          <w:lang w:eastAsia="ar-SA"/>
        </w:rPr>
      </w:pPr>
    </w:p>
    <w:p w14:paraId="24A78A38" w14:textId="77777777" w:rsidR="00695AE2" w:rsidRPr="00CB5050" w:rsidRDefault="00695AE2" w:rsidP="00695AE2">
      <w:pPr>
        <w:suppressAutoHyphens/>
        <w:spacing w:line="240" w:lineRule="auto"/>
        <w:jc w:val="both"/>
        <w:rPr>
          <w:rFonts w:eastAsia="Calibri"/>
          <w:szCs w:val="22"/>
          <w:lang w:eastAsia="ar-SA"/>
        </w:rPr>
      </w:pPr>
      <w:r w:rsidRPr="00CB5050">
        <w:rPr>
          <w:rFonts w:eastAsia="Calibri"/>
          <w:szCs w:val="22"/>
          <w:lang w:eastAsia="ar-SA"/>
        </w:rPr>
        <w:t>Družba T-2 je na pristojno sodišče vložila ugotovitveno tožbo zaradi neobstoja pravice dostopa tožene stranke Telekoma Slovenije do fizične infrastrukture tožeče stranke T-2. Na podlagi četrtega odstavka 218. člena ZEKom-1 je tožnica predlagala AKOS, da postopek reševanja spora ustavi. AKOS je predlogu ugodila, saj je bila med tožbenim zahtevkom pred sodiščem in med zahtevkom iz predloga za rešitev spora pred AKOS podana vsebinska istovetnost.</w:t>
      </w:r>
    </w:p>
    <w:p w14:paraId="4A6E419D" w14:textId="77777777" w:rsidR="00695AE2" w:rsidRPr="00CB5050" w:rsidRDefault="00695AE2" w:rsidP="00695AE2">
      <w:pPr>
        <w:suppressAutoHyphens/>
        <w:spacing w:line="240" w:lineRule="auto"/>
        <w:jc w:val="both"/>
        <w:rPr>
          <w:rFonts w:eastAsia="Calibri"/>
          <w:szCs w:val="22"/>
          <w:lang w:eastAsia="ar-SA"/>
        </w:rPr>
      </w:pPr>
    </w:p>
    <w:p w14:paraId="02D7F184" w14:textId="77777777" w:rsidR="00695AE2" w:rsidRPr="00CB5050" w:rsidRDefault="00695AE2" w:rsidP="00695AE2">
      <w:pPr>
        <w:suppressAutoHyphens/>
        <w:spacing w:line="240" w:lineRule="auto"/>
        <w:jc w:val="both"/>
        <w:rPr>
          <w:rFonts w:eastAsia="Calibri"/>
          <w:szCs w:val="22"/>
          <w:lang w:eastAsia="ar-SA"/>
        </w:rPr>
      </w:pPr>
      <w:r w:rsidRPr="00CB5050">
        <w:rPr>
          <w:rFonts w:eastAsia="Calibri"/>
          <w:bCs/>
        </w:rPr>
        <w:t>Ker so se predložitvenemu sodišču</w:t>
      </w:r>
      <w:r w:rsidRPr="00CB5050">
        <w:rPr>
          <w:rFonts w:eastAsia="Calibri"/>
          <w:szCs w:val="22"/>
          <w:lang w:eastAsia="ar-SA"/>
        </w:rPr>
        <w:t xml:space="preserve"> pri odločanju o sporu zastavila vprašanja</w:t>
      </w:r>
      <w:r w:rsidRPr="00CB5050">
        <w:rPr>
          <w:rFonts w:eastAsia="Calibri"/>
          <w:bCs/>
        </w:rPr>
        <w:t xml:space="preserve"> glede razmejitve med sodno in upravno pristojnostjo pri odločanju o zahtevkih glede dostopa operaterjev do obstoječe fizične infrastrukture ter glede razlage Direktive 2014/61/EU,</w:t>
      </w:r>
      <w:r w:rsidRPr="00CB5050">
        <w:rPr>
          <w:rFonts w:eastAsia="Calibri"/>
          <w:szCs w:val="22"/>
          <w:lang w:eastAsia="ar-SA"/>
        </w:rPr>
        <w:t xml:space="preserve"> je Vrhovno sodišče postopek prekinilo in na Sodišče Evropske unije naslovilo naslednja vprašanja:</w:t>
      </w:r>
    </w:p>
    <w:p w14:paraId="31590163" w14:textId="77777777" w:rsidR="00695AE2" w:rsidRPr="00CB5050" w:rsidRDefault="00695AE2" w:rsidP="00695AE2">
      <w:pPr>
        <w:suppressAutoHyphens/>
        <w:spacing w:line="240" w:lineRule="auto"/>
        <w:jc w:val="both"/>
        <w:rPr>
          <w:rFonts w:eastAsia="Calibri"/>
          <w:szCs w:val="22"/>
          <w:lang w:eastAsia="ar-SA"/>
        </w:rPr>
      </w:pPr>
    </w:p>
    <w:p w14:paraId="3E9701CB" w14:textId="77777777" w:rsidR="00695AE2" w:rsidRPr="00CB5050" w:rsidRDefault="00695AE2" w:rsidP="006D16C0">
      <w:pPr>
        <w:numPr>
          <w:ilvl w:val="4"/>
          <w:numId w:val="148"/>
        </w:numPr>
        <w:suppressAutoHyphens/>
        <w:spacing w:line="240" w:lineRule="auto"/>
        <w:ind w:left="851"/>
        <w:contextualSpacing/>
        <w:jc w:val="both"/>
        <w:rPr>
          <w:rFonts w:eastAsia="Calibri"/>
          <w:i/>
          <w:szCs w:val="22"/>
          <w:lang w:eastAsia="ar-SA"/>
        </w:rPr>
      </w:pPr>
      <w:r w:rsidRPr="00CB5050">
        <w:rPr>
          <w:rFonts w:eastAsia="Calibri"/>
          <w:i/>
          <w:szCs w:val="22"/>
          <w:lang w:eastAsia="ar-SA"/>
        </w:rPr>
        <w:lastRenderedPageBreak/>
        <w:t>Ali je treba Direktivo 2014/61/EU Evropskega parlamenta in Sveta z dne 15. maja 2014 o ukrepih za znižanje stroškov za postavitev elektronskih komunikacijskih omrežij visokih hitrosti, zlasti besedilo drugega pododstavka petega odstavka 3. člena te direktive „brez poseganja v možnost katere koli stranke, da zadevo predloži sodišču“, razlagati tako, da nasprotuje nacionalni ureditvi, po kateri ima omrežni operater pravico vložiti zahtevek za rešitev spora v zvezi z dostopom do obstoječe fizične infrastrukture bodisi pred organom za reševanje sporov bodisi pred sodiščem (splošne pristojnosti)?</w:t>
      </w:r>
    </w:p>
    <w:p w14:paraId="422C9686" w14:textId="77777777" w:rsidR="00695AE2" w:rsidRPr="00CB5050" w:rsidRDefault="00695AE2" w:rsidP="00695AE2">
      <w:pPr>
        <w:suppressAutoHyphens/>
        <w:spacing w:line="240" w:lineRule="auto"/>
        <w:ind w:right="454"/>
        <w:jc w:val="both"/>
        <w:rPr>
          <w:rFonts w:eastAsia="Calibri"/>
          <w:i/>
          <w:szCs w:val="22"/>
          <w:lang w:eastAsia="ar-SA"/>
        </w:rPr>
      </w:pPr>
    </w:p>
    <w:p w14:paraId="43975AFC" w14:textId="77777777" w:rsidR="00695AE2" w:rsidRPr="00CB5050" w:rsidRDefault="00695AE2" w:rsidP="00695AE2">
      <w:pPr>
        <w:suppressAutoHyphens/>
        <w:spacing w:line="240" w:lineRule="auto"/>
        <w:ind w:right="454" w:firstLine="491"/>
        <w:jc w:val="both"/>
        <w:rPr>
          <w:rFonts w:eastAsia="Calibri"/>
          <w:i/>
          <w:szCs w:val="22"/>
          <w:lang w:eastAsia="ar-SA"/>
        </w:rPr>
      </w:pPr>
      <w:r w:rsidRPr="00CB5050">
        <w:rPr>
          <w:rFonts w:eastAsia="Calibri"/>
          <w:i/>
          <w:szCs w:val="22"/>
          <w:lang w:eastAsia="ar-SA"/>
        </w:rPr>
        <w:t>In če je na prejšnje vprašanje mogoče odgovoriti nikalno, še vprašanje:</w:t>
      </w:r>
    </w:p>
    <w:p w14:paraId="208A5A41" w14:textId="77777777" w:rsidR="00695AE2" w:rsidRPr="00CB5050" w:rsidRDefault="00695AE2" w:rsidP="00695AE2">
      <w:pPr>
        <w:suppressAutoHyphens/>
        <w:spacing w:line="240" w:lineRule="auto"/>
        <w:ind w:right="454"/>
        <w:jc w:val="both"/>
        <w:rPr>
          <w:rFonts w:eastAsia="Calibri"/>
          <w:i/>
          <w:szCs w:val="22"/>
          <w:lang w:eastAsia="ar-SA"/>
        </w:rPr>
      </w:pPr>
    </w:p>
    <w:p w14:paraId="76B527E2" w14:textId="77777777" w:rsidR="00695AE2" w:rsidRPr="00CB5050" w:rsidRDefault="00695AE2" w:rsidP="006D16C0">
      <w:pPr>
        <w:numPr>
          <w:ilvl w:val="1"/>
          <w:numId w:val="145"/>
        </w:numPr>
        <w:spacing w:line="240" w:lineRule="auto"/>
        <w:ind w:left="851"/>
        <w:contextualSpacing/>
        <w:jc w:val="both"/>
        <w:rPr>
          <w:rFonts w:eastAsia="Calibri"/>
          <w:szCs w:val="22"/>
          <w:lang w:eastAsia="ar-SA"/>
        </w:rPr>
      </w:pPr>
      <w:bookmarkStart w:id="1241" w:name="_Hlk199959890"/>
      <w:r w:rsidRPr="00CB5050">
        <w:rPr>
          <w:rFonts w:eastAsia="Calibri"/>
          <w:i/>
          <w:szCs w:val="22"/>
          <w:lang w:eastAsia="ar-SA"/>
        </w:rPr>
        <w:t>Ali je treba drugi pododstavek petega odstavka 3. člena Direktive 2014/61/EU Evropskega parlamenta in Sveta z dne 15. maja 2014 o ukrepih za znižanje stroškov za postavitev elektronskih komunikacijskih omrežij visokih hitrosti ob upoštevanju načel enakovrednosti in učinkovitosti ter 47. člena Listine Evropske unije o temeljnih pravicah razlagati tako, da nasprotuje nacionalnemu postopkovnemu pravilu, po katerem se postopek reševanja spora pred nacionalnim organom za reševanje sporov ustavi, če katera koli stranka med postopkom reševanja spora pred tem organom o isti zadevi začne pravdo pred pristojnim sodiščem?</w:t>
      </w:r>
      <w:bookmarkEnd w:id="1241"/>
    </w:p>
    <w:bookmarkEnd w:id="1240"/>
    <w:p w14:paraId="1EC7F2C1" w14:textId="77777777" w:rsidR="00695AE2" w:rsidRPr="00CB5050" w:rsidRDefault="00695AE2" w:rsidP="00695AE2">
      <w:pPr>
        <w:spacing w:line="240" w:lineRule="auto"/>
        <w:jc w:val="both"/>
        <w:rPr>
          <w:rFonts w:eastAsia="Calibri"/>
        </w:rPr>
      </w:pPr>
    </w:p>
    <w:p w14:paraId="77B88E15" w14:textId="77777777" w:rsidR="00695AE2" w:rsidRPr="006D16C0" w:rsidRDefault="00695AE2" w:rsidP="00695AE2">
      <w:pPr>
        <w:pStyle w:val="Naslov4"/>
      </w:pPr>
      <w:bookmarkStart w:id="1242" w:name="_Toc191562157"/>
      <w:bookmarkStart w:id="1243" w:name="_Toc223094161"/>
      <w:r w:rsidRPr="006D16C0">
        <w:t>Intervencija Republike Slovenije v postopku pred Splošnim sodiščem</w:t>
      </w:r>
      <w:bookmarkEnd w:id="1242"/>
      <w:bookmarkEnd w:id="1243"/>
    </w:p>
    <w:p w14:paraId="7E2FAFC4" w14:textId="77777777" w:rsidR="00695AE2" w:rsidRPr="00CB5050" w:rsidRDefault="00695AE2" w:rsidP="00695AE2">
      <w:pPr>
        <w:spacing w:line="240" w:lineRule="auto"/>
        <w:rPr>
          <w:rFonts w:eastAsia="Calibri"/>
          <w:szCs w:val="22"/>
        </w:rPr>
      </w:pPr>
    </w:p>
    <w:p w14:paraId="0676E107" w14:textId="77777777" w:rsidR="00695AE2" w:rsidRPr="00CB5050" w:rsidRDefault="00695AE2" w:rsidP="00695AE2">
      <w:pPr>
        <w:pStyle w:val="Naslov5"/>
      </w:pPr>
      <w:bookmarkStart w:id="1244" w:name="_Toc191562158"/>
      <w:bookmarkStart w:id="1245" w:name="_Toc223094162"/>
      <w:r w:rsidRPr="00256503">
        <w:rPr>
          <w:i/>
          <w:iCs/>
        </w:rPr>
        <w:t>Zdravniška zbornica Slovenije proti Evropski komisiji</w:t>
      </w:r>
      <w:r w:rsidRPr="00CB5050">
        <w:t xml:space="preserve">, </w:t>
      </w:r>
      <w:r w:rsidRPr="00CB5050">
        <w:rPr>
          <w:iCs/>
        </w:rPr>
        <w:t>T-499/24</w:t>
      </w:r>
      <w:bookmarkEnd w:id="1244"/>
      <w:bookmarkEnd w:id="1245"/>
    </w:p>
    <w:p w14:paraId="19A36F89" w14:textId="77777777" w:rsidR="00695AE2" w:rsidRPr="00CB5050" w:rsidRDefault="00695AE2" w:rsidP="00695AE2">
      <w:pPr>
        <w:spacing w:line="240" w:lineRule="auto"/>
        <w:jc w:val="both"/>
        <w:rPr>
          <w:rFonts w:eastAsia="Calibri"/>
          <w:b/>
          <w:bCs/>
        </w:rPr>
      </w:pPr>
    </w:p>
    <w:p w14:paraId="2DFA91C5" w14:textId="77777777" w:rsidR="00695AE2" w:rsidRPr="00CB5050" w:rsidRDefault="00695AE2" w:rsidP="00695AE2">
      <w:pPr>
        <w:spacing w:line="240" w:lineRule="auto"/>
        <w:jc w:val="both"/>
        <w:rPr>
          <w:rFonts w:eastAsia="Calibri"/>
          <w:bCs/>
          <w:szCs w:val="22"/>
        </w:rPr>
      </w:pPr>
      <w:r w:rsidRPr="00CB5050">
        <w:rPr>
          <w:rFonts w:eastAsia="Calibri"/>
          <w:bCs/>
          <w:szCs w:val="22"/>
        </w:rPr>
        <w:t xml:space="preserve">Zdravniška zbornica Slovenije (ZZS) je 25. septembra 2024 vložila tožbo proti Evropski komisiji (Komisija) in predlagala, da Splošno sodišče Evropske unije razglasi ničnost sklepa Komisije C(2024) 3755 z dne 10. junija 2024. S tem sklepom je bil v zadevi SA.45844 (2016/FC) – Slovenia končan postopek pregleda ukrepov, ki zadevajo javne bolnišnice in javne zdravstvene domove v Sloveniji, z vidika pravil o državnih pomočeh po členu 107 in 108 Pogodbe o delovanju Evropske unije. </w:t>
      </w:r>
    </w:p>
    <w:p w14:paraId="00B6F27C" w14:textId="77777777" w:rsidR="00695AE2" w:rsidRPr="00CB5050" w:rsidRDefault="00695AE2" w:rsidP="00695AE2">
      <w:pPr>
        <w:spacing w:line="240" w:lineRule="auto"/>
        <w:jc w:val="both"/>
        <w:rPr>
          <w:rFonts w:eastAsia="Calibri"/>
          <w:bCs/>
          <w:szCs w:val="22"/>
        </w:rPr>
      </w:pPr>
    </w:p>
    <w:p w14:paraId="05813034" w14:textId="77777777" w:rsidR="00695AE2" w:rsidRPr="00CB5050" w:rsidRDefault="00695AE2" w:rsidP="00695AE2">
      <w:pPr>
        <w:spacing w:line="240" w:lineRule="auto"/>
        <w:jc w:val="both"/>
        <w:rPr>
          <w:rFonts w:eastAsia="Calibri"/>
          <w:bCs/>
          <w:szCs w:val="22"/>
        </w:rPr>
      </w:pPr>
      <w:r w:rsidRPr="00CB5050">
        <w:rPr>
          <w:rFonts w:eastAsia="Calibri"/>
          <w:bCs/>
          <w:szCs w:val="22"/>
        </w:rPr>
        <w:t>Komisija je v odgovoru na tožbo zavrnila vse tožbene razloge ZZS kot neutemeljene ter Splošnemu sodišču predlagala zavrnitev tožbe ter naložitev ZZS plačilo stroškov postopka. Republika Slovenija je vložila predlog za intervencijo na strani Komisije, ki mu je Splošno sodišče ugodilo ter Republiki Sloveniji naložilo vložitev intervencijske vloge.</w:t>
      </w:r>
    </w:p>
    <w:p w14:paraId="4822F45D" w14:textId="77777777" w:rsidR="00695AE2" w:rsidRPr="00CB5050" w:rsidRDefault="00695AE2" w:rsidP="00695AE2">
      <w:pPr>
        <w:spacing w:line="240" w:lineRule="auto"/>
        <w:jc w:val="both"/>
        <w:rPr>
          <w:rFonts w:eastAsia="Calibri"/>
          <w:bCs/>
          <w:szCs w:val="22"/>
        </w:rPr>
      </w:pPr>
    </w:p>
    <w:p w14:paraId="00055EFA" w14:textId="77777777" w:rsidR="00695AE2" w:rsidRPr="00CB5050" w:rsidRDefault="00695AE2" w:rsidP="00695AE2">
      <w:pPr>
        <w:spacing w:line="240" w:lineRule="auto"/>
        <w:jc w:val="both"/>
        <w:rPr>
          <w:rFonts w:eastAsia="Calibri"/>
          <w:bCs/>
          <w:szCs w:val="22"/>
        </w:rPr>
      </w:pPr>
      <w:r w:rsidRPr="00CB5050">
        <w:rPr>
          <w:rFonts w:eastAsia="Calibri"/>
          <w:bCs/>
          <w:szCs w:val="22"/>
        </w:rPr>
        <w:t>Republika Slovenija je 29. aprila 2025 vložila pisno vlogo, s katero je podprla navedbe Komisije v odgovoru na tožbo in soglašala z njenim stališčem, da je tožba v celoti neutemeljena.</w:t>
      </w:r>
    </w:p>
    <w:p w14:paraId="6919401C" w14:textId="77777777" w:rsidR="00695AE2" w:rsidRPr="00CB5050" w:rsidRDefault="00695AE2" w:rsidP="00695AE2">
      <w:pPr>
        <w:spacing w:line="240" w:lineRule="auto"/>
        <w:contextualSpacing/>
        <w:jc w:val="both"/>
        <w:rPr>
          <w:rFonts w:eastAsia="Calibri"/>
          <w:sz w:val="28"/>
          <w:szCs w:val="28"/>
        </w:rPr>
      </w:pPr>
    </w:p>
    <w:p w14:paraId="08BD6139" w14:textId="77777777" w:rsidR="00695AE2" w:rsidRPr="00CB5050" w:rsidRDefault="00695AE2" w:rsidP="00695AE2">
      <w:pPr>
        <w:pStyle w:val="Naslov3"/>
      </w:pPr>
      <w:bookmarkStart w:id="1246" w:name="_Toc95149894"/>
      <w:bookmarkStart w:id="1247" w:name="_Toc168845164"/>
      <w:bookmarkStart w:id="1248" w:name="_Toc191562159"/>
      <w:bookmarkStart w:id="1249" w:name="_Toc223094163"/>
      <w:r w:rsidRPr="00CB5050">
        <w:t>Pomembnejše zaključene zadeve</w:t>
      </w:r>
      <w:bookmarkEnd w:id="1246"/>
      <w:bookmarkEnd w:id="1247"/>
      <w:bookmarkEnd w:id="1248"/>
      <w:bookmarkEnd w:id="1249"/>
    </w:p>
    <w:p w14:paraId="64476A06" w14:textId="77777777" w:rsidR="00695AE2" w:rsidRPr="00CB5050" w:rsidRDefault="00695AE2" w:rsidP="00695AE2">
      <w:pPr>
        <w:spacing w:line="240" w:lineRule="auto"/>
        <w:contextualSpacing/>
        <w:jc w:val="both"/>
        <w:rPr>
          <w:rFonts w:eastAsia="Calibri"/>
          <w:sz w:val="28"/>
          <w:szCs w:val="28"/>
        </w:rPr>
      </w:pPr>
    </w:p>
    <w:p w14:paraId="22BB495D" w14:textId="77777777" w:rsidR="00695AE2" w:rsidRPr="00CB5050" w:rsidRDefault="00695AE2" w:rsidP="00695AE2">
      <w:pPr>
        <w:spacing w:line="240" w:lineRule="auto"/>
        <w:contextualSpacing/>
        <w:jc w:val="both"/>
        <w:rPr>
          <w:rFonts w:eastAsia="Calibri"/>
        </w:rPr>
      </w:pPr>
      <w:r w:rsidRPr="00CB5050">
        <w:rPr>
          <w:rFonts w:eastAsia="Calibri"/>
        </w:rPr>
        <w:t>Med zadevami iz pristojnosti SEU, ki so bile zaključene v letu 2025, sta predstavljeni zadevi predhodnega odločanja, v katerih je Slovenija v sodnem postopku sodelovala kot udeleženka (</w:t>
      </w:r>
      <w:r w:rsidRPr="00CB5050">
        <w:rPr>
          <w:rFonts w:eastAsia="Calibri"/>
          <w:i/>
          <w:iCs/>
        </w:rPr>
        <w:t xml:space="preserve">Interzero e.a. </w:t>
      </w:r>
      <w:r w:rsidRPr="00CB5050">
        <w:rPr>
          <w:rFonts w:eastAsia="Calibri"/>
        </w:rPr>
        <w:t xml:space="preserve">in </w:t>
      </w:r>
      <w:r w:rsidRPr="00CB5050">
        <w:rPr>
          <w:rFonts w:eastAsia="Calibri"/>
          <w:i/>
          <w:iCs/>
        </w:rPr>
        <w:t>MS KLJUČAROVCI</w:t>
      </w:r>
      <w:r w:rsidRPr="00CB5050">
        <w:rPr>
          <w:rFonts w:eastAsia="Calibri"/>
        </w:rPr>
        <w:t xml:space="preserve">). Pritožbena zadeva </w:t>
      </w:r>
      <w:r w:rsidRPr="00CB5050">
        <w:rPr>
          <w:rFonts w:eastAsia="Calibri"/>
          <w:i/>
          <w:iCs/>
        </w:rPr>
        <w:t>Slovenija proti Flašker in Komisiji</w:t>
      </w:r>
      <w:r w:rsidRPr="00CB5050">
        <w:rPr>
          <w:rFonts w:eastAsia="Calibri"/>
        </w:rPr>
        <w:t xml:space="preserve"> je bila sicer zaključena v letu 2024 in vsebinsko predstavljena v lanskem poročilu, a izpostavlja problematiko izplačila DDV po sodbi Sodišča o povrnitvi stroškov postopka nasprotni stranki. </w:t>
      </w:r>
      <w:r w:rsidRPr="00CB5050">
        <w:rPr>
          <w:rFonts w:eastAsia="Calibri"/>
        </w:rPr>
        <w:lastRenderedPageBreak/>
        <w:t xml:space="preserve">Predstavljena je tudi sodba Splošnega sodišča v zadevi </w:t>
      </w:r>
      <w:r w:rsidRPr="00CB5050">
        <w:rPr>
          <w:rFonts w:eastAsia="Calibri"/>
          <w:i/>
          <w:iCs/>
        </w:rPr>
        <w:t>Avstrija proti Evropski komisiji</w:t>
      </w:r>
      <w:r w:rsidRPr="00CB5050">
        <w:rPr>
          <w:rFonts w:eastAsia="Calibri"/>
        </w:rPr>
        <w:t>, v kateri je Republika Slovenija intervenirala na strani Komisije.</w:t>
      </w:r>
    </w:p>
    <w:p w14:paraId="05FA3ED1" w14:textId="77777777" w:rsidR="00695AE2" w:rsidRPr="00CB5050" w:rsidRDefault="00695AE2" w:rsidP="00695AE2">
      <w:pPr>
        <w:spacing w:line="240" w:lineRule="auto"/>
        <w:contextualSpacing/>
        <w:jc w:val="both"/>
        <w:rPr>
          <w:rFonts w:eastAsia="Calibri"/>
        </w:rPr>
      </w:pPr>
    </w:p>
    <w:p w14:paraId="6C489D15" w14:textId="77777777" w:rsidR="00695AE2" w:rsidRPr="00CB5050" w:rsidRDefault="00695AE2" w:rsidP="00695AE2">
      <w:pPr>
        <w:pStyle w:val="Naslov4"/>
      </w:pPr>
      <w:bookmarkStart w:id="1250" w:name="_Toc155975483"/>
      <w:bookmarkStart w:id="1251" w:name="_Toc168845165"/>
      <w:bookmarkStart w:id="1252" w:name="_Toc191562160"/>
      <w:bookmarkStart w:id="1253" w:name="_Toc223094164"/>
      <w:r w:rsidRPr="00CB5050">
        <w:t>Postopek predhodnega odločanja</w:t>
      </w:r>
      <w:bookmarkEnd w:id="1250"/>
      <w:bookmarkEnd w:id="1251"/>
      <w:bookmarkEnd w:id="1252"/>
      <w:bookmarkEnd w:id="1253"/>
    </w:p>
    <w:p w14:paraId="38BF2192" w14:textId="77777777" w:rsidR="00695AE2" w:rsidRPr="00CB5050" w:rsidRDefault="00695AE2" w:rsidP="00695AE2">
      <w:pPr>
        <w:spacing w:line="240" w:lineRule="auto"/>
        <w:jc w:val="both"/>
        <w:rPr>
          <w:rFonts w:eastAsia="Calibri"/>
          <w:i/>
          <w:iCs/>
          <w:color w:val="007466"/>
        </w:rPr>
      </w:pPr>
    </w:p>
    <w:p w14:paraId="1777AA18" w14:textId="77777777" w:rsidR="00695AE2" w:rsidRPr="00CB5050" w:rsidRDefault="00695AE2" w:rsidP="00695AE2">
      <w:pPr>
        <w:pStyle w:val="Naslov5"/>
      </w:pPr>
      <w:bookmarkStart w:id="1254" w:name="_Toc191562161"/>
      <w:bookmarkStart w:id="1255" w:name="_Toc223094165"/>
      <w:r w:rsidRPr="00CB5050">
        <w:rPr>
          <w:i/>
        </w:rPr>
        <w:t>Interzero e.a.,</w:t>
      </w:r>
      <w:r w:rsidRPr="00CB5050">
        <w:t xml:space="preserve"> C-254/23</w:t>
      </w:r>
      <w:bookmarkEnd w:id="1254"/>
      <w:bookmarkEnd w:id="1255"/>
    </w:p>
    <w:p w14:paraId="64C51C34" w14:textId="77777777" w:rsidR="00695AE2" w:rsidRPr="00CB5050" w:rsidRDefault="00695AE2" w:rsidP="00695AE2">
      <w:pPr>
        <w:autoSpaceDE w:val="0"/>
        <w:autoSpaceDN w:val="0"/>
        <w:adjustRightInd w:val="0"/>
        <w:spacing w:line="240" w:lineRule="auto"/>
        <w:jc w:val="both"/>
        <w:rPr>
          <w:rFonts w:eastAsia="Calibri"/>
          <w:lang w:eastAsia="x-none"/>
        </w:rPr>
      </w:pPr>
    </w:p>
    <w:p w14:paraId="78D7EDA6" w14:textId="77777777" w:rsidR="00695AE2" w:rsidRPr="00CB5050" w:rsidRDefault="00695AE2" w:rsidP="00695AE2">
      <w:pPr>
        <w:autoSpaceDE w:val="0"/>
        <w:autoSpaceDN w:val="0"/>
        <w:adjustRightInd w:val="0"/>
        <w:spacing w:line="240" w:lineRule="auto"/>
        <w:jc w:val="both"/>
        <w:rPr>
          <w:rFonts w:eastAsia="Calibri"/>
          <w:lang w:eastAsia="x-none"/>
        </w:rPr>
      </w:pPr>
      <w:r w:rsidRPr="00CB5050">
        <w:rPr>
          <w:rFonts w:eastAsia="Calibri"/>
          <w:lang w:eastAsia="x-none"/>
        </w:rPr>
        <w:t>Predlog za sprejetje predhodne odločbe je vložilo Ustavno sodišče RS. SEU je zastavilo več vprašanj glede skladnosti določb Zakona o varstvu okolja (ZVO-2), ki urejajo izvajanje dejavnosti skupnega izpolnjevanja razširjene odgovornosti proizvajalca (PRO) za proizvajalce, ki dajejo na slovenski trg proizvode, namenjene za uporabo v gospodinjstvu, ter določb glede prilagoditve prejšnjega sistema izvajanja te dejavnosti na nov sistem, s pravom Unije.</w:t>
      </w:r>
    </w:p>
    <w:p w14:paraId="0EC4F5B0" w14:textId="77777777" w:rsidR="00695AE2" w:rsidRPr="00CB5050" w:rsidRDefault="00695AE2" w:rsidP="00695AE2">
      <w:pPr>
        <w:autoSpaceDE w:val="0"/>
        <w:autoSpaceDN w:val="0"/>
        <w:adjustRightInd w:val="0"/>
        <w:spacing w:line="240" w:lineRule="auto"/>
        <w:jc w:val="both"/>
        <w:rPr>
          <w:rFonts w:eastAsia="Calibri"/>
          <w:lang w:eastAsia="x-none"/>
        </w:rPr>
      </w:pPr>
    </w:p>
    <w:p w14:paraId="3512287F" w14:textId="77777777" w:rsidR="00695AE2" w:rsidRPr="00CB5050" w:rsidRDefault="00695AE2" w:rsidP="00695AE2">
      <w:pPr>
        <w:autoSpaceDE w:val="0"/>
        <w:autoSpaceDN w:val="0"/>
        <w:adjustRightInd w:val="0"/>
        <w:spacing w:line="240" w:lineRule="auto"/>
        <w:jc w:val="both"/>
        <w:rPr>
          <w:rFonts w:eastAsia="Calibri"/>
          <w:lang w:eastAsia="x-none"/>
        </w:rPr>
      </w:pPr>
      <w:r w:rsidRPr="00CB5050">
        <w:rPr>
          <w:rFonts w:eastAsia="Calibri"/>
          <w:lang w:eastAsia="x-none"/>
        </w:rPr>
        <w:t>Republika Slovenija je svoja stališča do zastavljenih vprašanj predstavila v pisni vlogi ter na ustni obravnavi.</w:t>
      </w:r>
    </w:p>
    <w:p w14:paraId="14A85586" w14:textId="77777777" w:rsidR="00695AE2" w:rsidRPr="00CB5050" w:rsidRDefault="00695AE2" w:rsidP="00695AE2">
      <w:pPr>
        <w:autoSpaceDE w:val="0"/>
        <w:autoSpaceDN w:val="0"/>
        <w:adjustRightInd w:val="0"/>
        <w:spacing w:line="240" w:lineRule="auto"/>
        <w:jc w:val="both"/>
        <w:rPr>
          <w:rFonts w:eastAsia="Calibri"/>
          <w:lang w:eastAsia="x-none"/>
        </w:rPr>
      </w:pPr>
    </w:p>
    <w:p w14:paraId="18E5B0CD" w14:textId="77777777" w:rsidR="00695AE2" w:rsidRPr="00CB5050" w:rsidRDefault="00695AE2" w:rsidP="00695AE2">
      <w:pPr>
        <w:autoSpaceDE w:val="0"/>
        <w:autoSpaceDN w:val="0"/>
        <w:adjustRightInd w:val="0"/>
        <w:spacing w:line="240" w:lineRule="auto"/>
        <w:jc w:val="both"/>
        <w:rPr>
          <w:rFonts w:eastAsia="Calibri"/>
          <w:lang w:eastAsia="x-none"/>
        </w:rPr>
      </w:pPr>
      <w:r w:rsidRPr="00CB5050">
        <w:rPr>
          <w:rFonts w:eastAsia="Calibri"/>
          <w:lang w:eastAsia="x-none"/>
        </w:rPr>
        <w:t>Veliki senat Sodišča je 10. julija 2025 razsodil:</w:t>
      </w:r>
    </w:p>
    <w:p w14:paraId="3EBC6803" w14:textId="77777777" w:rsidR="00695AE2" w:rsidRPr="00CB5050" w:rsidRDefault="00695AE2" w:rsidP="00695AE2">
      <w:pPr>
        <w:autoSpaceDE w:val="0"/>
        <w:autoSpaceDN w:val="0"/>
        <w:adjustRightInd w:val="0"/>
        <w:spacing w:line="240" w:lineRule="auto"/>
        <w:jc w:val="both"/>
        <w:rPr>
          <w:rFonts w:eastAsia="Calibri"/>
          <w:lang w:eastAsia="x-none"/>
        </w:rPr>
      </w:pPr>
    </w:p>
    <w:p w14:paraId="5CEF1620" w14:textId="77777777" w:rsidR="00695AE2" w:rsidRPr="00CB5050" w:rsidRDefault="00695AE2" w:rsidP="00695AE2">
      <w:pPr>
        <w:autoSpaceDE w:val="0"/>
        <w:autoSpaceDN w:val="0"/>
        <w:adjustRightInd w:val="0"/>
        <w:spacing w:line="240" w:lineRule="auto"/>
        <w:jc w:val="both"/>
        <w:rPr>
          <w:rFonts w:eastAsia="Calibri"/>
          <w:i/>
          <w:iCs/>
          <w:lang w:eastAsia="x-none"/>
        </w:rPr>
      </w:pPr>
      <w:r w:rsidRPr="00CB5050">
        <w:rPr>
          <w:rFonts w:eastAsia="Calibri"/>
          <w:i/>
          <w:iCs/>
          <w:lang w:eastAsia="x-none"/>
        </w:rPr>
        <w:t>1. Člen 106(2) PDEU</w:t>
      </w:r>
    </w:p>
    <w:p w14:paraId="5B30BE10" w14:textId="77777777" w:rsidR="00695AE2" w:rsidRPr="00CB5050" w:rsidRDefault="00695AE2" w:rsidP="00695AE2">
      <w:pPr>
        <w:autoSpaceDE w:val="0"/>
        <w:autoSpaceDN w:val="0"/>
        <w:adjustRightInd w:val="0"/>
        <w:spacing w:line="240" w:lineRule="auto"/>
        <w:jc w:val="both"/>
        <w:rPr>
          <w:rFonts w:eastAsia="Calibri"/>
          <w:i/>
          <w:iCs/>
          <w:lang w:eastAsia="x-none"/>
        </w:rPr>
      </w:pPr>
    </w:p>
    <w:p w14:paraId="77F84FFD" w14:textId="77777777" w:rsidR="00695AE2" w:rsidRPr="00CB5050" w:rsidRDefault="00695AE2" w:rsidP="00695AE2">
      <w:pPr>
        <w:autoSpaceDE w:val="0"/>
        <w:autoSpaceDN w:val="0"/>
        <w:adjustRightInd w:val="0"/>
        <w:spacing w:line="240" w:lineRule="auto"/>
        <w:jc w:val="both"/>
        <w:rPr>
          <w:rFonts w:eastAsia="Calibri"/>
          <w:i/>
          <w:iCs/>
          <w:lang w:eastAsia="x-none"/>
        </w:rPr>
      </w:pPr>
      <w:r w:rsidRPr="00CB5050">
        <w:rPr>
          <w:rFonts w:eastAsia="Calibri"/>
          <w:i/>
          <w:iCs/>
          <w:lang w:eastAsia="x-none"/>
        </w:rPr>
        <w:t>je treba razlagati tako, da:</w:t>
      </w:r>
    </w:p>
    <w:p w14:paraId="0C21977F" w14:textId="77777777" w:rsidR="00695AE2" w:rsidRPr="00CB5050" w:rsidRDefault="00695AE2" w:rsidP="00695AE2">
      <w:pPr>
        <w:autoSpaceDE w:val="0"/>
        <w:autoSpaceDN w:val="0"/>
        <w:adjustRightInd w:val="0"/>
        <w:spacing w:line="240" w:lineRule="auto"/>
        <w:jc w:val="both"/>
        <w:rPr>
          <w:rFonts w:eastAsia="Calibri"/>
          <w:i/>
          <w:iCs/>
          <w:lang w:eastAsia="x-none"/>
        </w:rPr>
      </w:pPr>
    </w:p>
    <w:p w14:paraId="7FBD9CE7" w14:textId="77777777" w:rsidR="00695AE2" w:rsidRPr="00CB5050" w:rsidRDefault="00695AE2" w:rsidP="00695AE2">
      <w:pPr>
        <w:autoSpaceDE w:val="0"/>
        <w:autoSpaceDN w:val="0"/>
        <w:adjustRightInd w:val="0"/>
        <w:spacing w:line="240" w:lineRule="auto"/>
        <w:jc w:val="both"/>
        <w:rPr>
          <w:rFonts w:eastAsia="Calibri"/>
          <w:i/>
          <w:iCs/>
          <w:lang w:eastAsia="x-none"/>
        </w:rPr>
      </w:pPr>
      <w:r w:rsidRPr="00CB5050">
        <w:rPr>
          <w:rFonts w:eastAsia="Calibri"/>
          <w:i/>
          <w:iCs/>
          <w:lang w:eastAsia="x-none"/>
        </w:rPr>
        <w:t>je treba pravno osebo, ki ima na eni strani izključno pravico do opravljanja dejavnosti izpolnjevanja obveznosti razširjene odgovornosti proizvajalca – za določeno kategorijo proizvodov in na celotnem ozemlju države članice – za račun zadevnih proizvajalcev v skladu s členoma 8 in 8a Direktive 2008/98/ES Evropskega parlamenta in Sveta z dne 19. novembra 2008 o odpadkih in razveljavitvi nekaterih direktiv, kakor je bila spremenjena z Direktivo (EU) 2018/851 Evropskega parlamenta in Sveta z dne 30. maja 2018, in ki mora na drugi strani to dejavnost opravljati nepridobitno, šteti za podjetje, pooblaščeno za opravljanje storitve splošnega gospodarskega pomena v smislu tega člena 106(2), če je bila ta pravna oseba dejansko pooblaščena za izpolnjevanje obveznosti javne službe ter če so narava, trajanje in obseg teh obveznosti jasno opredeljeni v nacionalnem pravu.</w:t>
      </w:r>
    </w:p>
    <w:p w14:paraId="28394BD8" w14:textId="77777777" w:rsidR="00695AE2" w:rsidRPr="00CB5050" w:rsidRDefault="00695AE2" w:rsidP="00695AE2">
      <w:pPr>
        <w:autoSpaceDE w:val="0"/>
        <w:autoSpaceDN w:val="0"/>
        <w:adjustRightInd w:val="0"/>
        <w:spacing w:line="240" w:lineRule="auto"/>
        <w:jc w:val="both"/>
        <w:rPr>
          <w:rFonts w:eastAsia="Calibri"/>
          <w:i/>
          <w:iCs/>
          <w:lang w:eastAsia="x-none"/>
        </w:rPr>
      </w:pPr>
    </w:p>
    <w:p w14:paraId="391F761C" w14:textId="77777777" w:rsidR="00695AE2" w:rsidRPr="00CB5050" w:rsidRDefault="00695AE2" w:rsidP="00695AE2">
      <w:pPr>
        <w:autoSpaceDE w:val="0"/>
        <w:autoSpaceDN w:val="0"/>
        <w:adjustRightInd w:val="0"/>
        <w:spacing w:line="240" w:lineRule="auto"/>
        <w:jc w:val="both"/>
        <w:rPr>
          <w:rFonts w:eastAsia="Calibri"/>
          <w:i/>
          <w:iCs/>
          <w:lang w:eastAsia="x-none"/>
        </w:rPr>
      </w:pPr>
      <w:r w:rsidRPr="00CB5050">
        <w:rPr>
          <w:rFonts w:eastAsia="Calibri"/>
          <w:i/>
          <w:iCs/>
          <w:lang w:eastAsia="x-none"/>
        </w:rPr>
        <w:t>2. Člena 8 in 8a Direktive 2008/98, kakor je bila spremenjena z Direktivo 2018/851, člen 15 Direktive 2006/123/ES Evropskega parlamenta in Sveta z dne 12. decembra 2006 o storitvah na notranjem trgu, člene 49, 56 in 106 PDEU, člena 16 in 17 Listine Evropske unije o temeljnih pravicah ter načeli pravne varnosti in varstva legitimnih pričakovanj</w:t>
      </w:r>
    </w:p>
    <w:p w14:paraId="0702E572" w14:textId="77777777" w:rsidR="00695AE2" w:rsidRPr="00CB5050" w:rsidRDefault="00695AE2" w:rsidP="00695AE2">
      <w:pPr>
        <w:autoSpaceDE w:val="0"/>
        <w:autoSpaceDN w:val="0"/>
        <w:adjustRightInd w:val="0"/>
        <w:spacing w:line="240" w:lineRule="auto"/>
        <w:jc w:val="both"/>
        <w:rPr>
          <w:rFonts w:eastAsia="Calibri"/>
          <w:i/>
          <w:iCs/>
          <w:lang w:eastAsia="x-none"/>
        </w:rPr>
      </w:pPr>
      <w:r w:rsidRPr="00CB5050">
        <w:rPr>
          <w:rFonts w:eastAsia="Calibri"/>
          <w:i/>
          <w:iCs/>
          <w:lang w:eastAsia="x-none"/>
        </w:rPr>
        <w:t>je treba razlagati tako, da</w:t>
      </w:r>
    </w:p>
    <w:p w14:paraId="1528EEA7" w14:textId="77777777" w:rsidR="00695AE2" w:rsidRPr="00CB5050" w:rsidRDefault="00695AE2" w:rsidP="00695AE2">
      <w:pPr>
        <w:autoSpaceDE w:val="0"/>
        <w:autoSpaceDN w:val="0"/>
        <w:adjustRightInd w:val="0"/>
        <w:spacing w:line="240" w:lineRule="auto"/>
        <w:jc w:val="both"/>
        <w:rPr>
          <w:rFonts w:eastAsia="Calibri"/>
          <w:i/>
          <w:iCs/>
          <w:lang w:eastAsia="x-none"/>
        </w:rPr>
      </w:pPr>
      <w:r w:rsidRPr="00CB5050">
        <w:rPr>
          <w:rFonts w:eastAsia="Calibri"/>
          <w:i/>
          <w:iCs/>
          <w:lang w:eastAsia="x-none"/>
        </w:rPr>
        <w:t>– ob upoštevanju načela sorazmernosti – ne nasprotujejo nacionalni ureditvi, s katero je:</w:t>
      </w:r>
    </w:p>
    <w:p w14:paraId="5E5844E6" w14:textId="77777777" w:rsidR="00695AE2" w:rsidRPr="00CB5050" w:rsidRDefault="00695AE2" w:rsidP="006D16C0">
      <w:pPr>
        <w:numPr>
          <w:ilvl w:val="0"/>
          <w:numId w:val="149"/>
        </w:numPr>
        <w:autoSpaceDE w:val="0"/>
        <w:autoSpaceDN w:val="0"/>
        <w:adjustRightInd w:val="0"/>
        <w:spacing w:line="240" w:lineRule="auto"/>
        <w:contextualSpacing/>
        <w:jc w:val="both"/>
        <w:rPr>
          <w:rFonts w:eastAsia="Calibri"/>
          <w:i/>
          <w:iCs/>
          <w:lang w:eastAsia="x-none"/>
        </w:rPr>
      </w:pPr>
      <w:r w:rsidRPr="00CB5050">
        <w:rPr>
          <w:rFonts w:eastAsia="Calibri"/>
          <w:i/>
          <w:iCs/>
          <w:lang w:eastAsia="x-none"/>
        </w:rPr>
        <w:t xml:space="preserve">uveden monopol z ustanovitvijo organizacije, pooblaščene za skupno izpolnjevanje obveznosti razširjene odgovornosti proizvajalca, ki ima izključno pravico za opravljanje te dejavnosti za določeno kategorijo proizvodov, hkrati pa je določeno tako ex lege prenehanje veljavnosti dovoljenj, na podlagi katerih so gospodarski subjekti opravljali navedene dejavnosti do tedaj, kot tudi ex lege prenehanje veljavnosti vseh pogodb, ki so jih ti gospodarski subjekti sklenili pri opravljanju te dejavnosti, vendar le, če na eni strani to ureditev spremlja vzpostavitev regulativnega okvira, ki zagotavlja, da bo lahko ta monopolist dejansko dosledno in sistematično uresničeval cilja varstva okolja in </w:t>
      </w:r>
      <w:r w:rsidRPr="00CB5050">
        <w:rPr>
          <w:rFonts w:eastAsia="Calibri"/>
          <w:i/>
          <w:iCs/>
          <w:lang w:eastAsia="x-none"/>
        </w:rPr>
        <w:lastRenderedPageBreak/>
        <w:t>varovanja javnega zdravja, ki ju je določila zadevna država članica, s ponudbo, ki je kvantitativno odmerjena in kvalitativno načrtovana glede na ta cilja in je pod strogim nadzorom javnih organov, in če na drugi strani navedena ureditev določa prilagoditve uporabe novih pravil, s katerimi se je mogoče izogniti pretiranemu bremenu za zadevne gospodarske subjekte, zlasti dovolj dolgo prehodno obdobje, da se ti lahko prilagodijo spremembam, ali sistem primernega nadomestila za škodo, ki jo utrpijo;</w:t>
      </w:r>
    </w:p>
    <w:p w14:paraId="7B580949" w14:textId="77777777" w:rsidR="00695AE2" w:rsidRPr="00CB5050" w:rsidRDefault="00695AE2" w:rsidP="006D16C0">
      <w:pPr>
        <w:numPr>
          <w:ilvl w:val="0"/>
          <w:numId w:val="149"/>
        </w:numPr>
        <w:autoSpaceDE w:val="0"/>
        <w:autoSpaceDN w:val="0"/>
        <w:adjustRightInd w:val="0"/>
        <w:spacing w:line="240" w:lineRule="auto"/>
        <w:contextualSpacing/>
        <w:jc w:val="both"/>
        <w:rPr>
          <w:rFonts w:eastAsia="Calibri"/>
          <w:i/>
          <w:iCs/>
          <w:lang w:eastAsia="x-none"/>
        </w:rPr>
      </w:pPr>
      <w:r w:rsidRPr="00CB5050">
        <w:rPr>
          <w:rFonts w:eastAsia="Calibri"/>
          <w:i/>
          <w:iCs/>
          <w:lang w:eastAsia="x-none"/>
        </w:rPr>
        <w:t>tej organizaciji naloženo, da svojo dejavnost opravlja nepridobitno;</w:t>
      </w:r>
    </w:p>
    <w:p w14:paraId="7B693EA3" w14:textId="77777777" w:rsidR="00695AE2" w:rsidRPr="00CB5050" w:rsidRDefault="00695AE2" w:rsidP="006D16C0">
      <w:pPr>
        <w:numPr>
          <w:ilvl w:val="0"/>
          <w:numId w:val="149"/>
        </w:numPr>
        <w:autoSpaceDE w:val="0"/>
        <w:autoSpaceDN w:val="0"/>
        <w:adjustRightInd w:val="0"/>
        <w:spacing w:line="240" w:lineRule="auto"/>
        <w:contextualSpacing/>
        <w:jc w:val="both"/>
        <w:rPr>
          <w:rFonts w:eastAsia="Calibri"/>
          <w:i/>
          <w:iCs/>
          <w:lang w:eastAsia="x-none"/>
        </w:rPr>
      </w:pPr>
      <w:r w:rsidRPr="00CB5050">
        <w:rPr>
          <w:rFonts w:eastAsia="Calibri"/>
          <w:i/>
          <w:iCs/>
          <w:lang w:eastAsia="x-none"/>
        </w:rPr>
        <w:t>za proizvajalce, za katere veljajo obveznosti razširjene odgovornosti proizvajalca in ki dajejo na trg najmanj 51 % celotne količine iste kategorije proizvodov, za katere velja ta razširjena odgovornost, določena obveznost, da ustanovijo tako organizacijo in da imajo v njej poslovni delež;</w:t>
      </w:r>
    </w:p>
    <w:p w14:paraId="0F94DCA4" w14:textId="77777777" w:rsidR="00695AE2" w:rsidRPr="00CB5050" w:rsidRDefault="00695AE2" w:rsidP="006D16C0">
      <w:pPr>
        <w:numPr>
          <w:ilvl w:val="0"/>
          <w:numId w:val="149"/>
        </w:numPr>
        <w:autoSpaceDE w:val="0"/>
        <w:autoSpaceDN w:val="0"/>
        <w:adjustRightInd w:val="0"/>
        <w:spacing w:line="240" w:lineRule="auto"/>
        <w:contextualSpacing/>
        <w:jc w:val="both"/>
        <w:rPr>
          <w:rFonts w:eastAsia="Calibri"/>
          <w:i/>
          <w:iCs/>
          <w:lang w:eastAsia="x-none"/>
        </w:rPr>
      </w:pPr>
      <w:r w:rsidRPr="00CB5050">
        <w:rPr>
          <w:rFonts w:eastAsia="Calibri"/>
          <w:i/>
          <w:iCs/>
          <w:lang w:eastAsia="x-none"/>
        </w:rPr>
        <w:t>za imetnike poslovnega deleža v tej organizaciji določeno, da morajo biti proizvajalci na zadevnem trgu;</w:t>
      </w:r>
    </w:p>
    <w:p w14:paraId="5CE148EE" w14:textId="77777777" w:rsidR="00695AE2" w:rsidRPr="00CB5050" w:rsidRDefault="00695AE2" w:rsidP="006D16C0">
      <w:pPr>
        <w:numPr>
          <w:ilvl w:val="0"/>
          <w:numId w:val="149"/>
        </w:numPr>
        <w:autoSpaceDE w:val="0"/>
        <w:autoSpaceDN w:val="0"/>
        <w:adjustRightInd w:val="0"/>
        <w:spacing w:line="240" w:lineRule="auto"/>
        <w:contextualSpacing/>
        <w:jc w:val="both"/>
        <w:rPr>
          <w:rFonts w:eastAsia="Calibri"/>
          <w:i/>
          <w:iCs/>
          <w:lang w:eastAsia="x-none"/>
        </w:rPr>
      </w:pPr>
      <w:r w:rsidRPr="00CB5050">
        <w:rPr>
          <w:rFonts w:eastAsia="Calibri"/>
          <w:i/>
          <w:iCs/>
          <w:lang w:eastAsia="x-none"/>
        </w:rPr>
        <w:t>za te proizvajalce določena prepoved opravljanja dejavnosti zbiranja in obdelave odpadkov ter prepoved kapitalskih in sorodstvenih povezav med navedeno organizacijo, člani njenega poslovodnega organa in proizvajalci, ki imajo poslovni delež v njej, na eni strani ter osebami, ki zbirajo in obdelujejo odpadke, in osebami, ki imajo glasovalno pravico v organu upravljanja ali organu nadzora navedene organizacije, na drugi strani;</w:t>
      </w:r>
    </w:p>
    <w:p w14:paraId="49B7CBFF" w14:textId="77777777" w:rsidR="00695AE2" w:rsidRPr="00CB5050" w:rsidRDefault="00695AE2" w:rsidP="006D16C0">
      <w:pPr>
        <w:numPr>
          <w:ilvl w:val="0"/>
          <w:numId w:val="149"/>
        </w:numPr>
        <w:autoSpaceDE w:val="0"/>
        <w:autoSpaceDN w:val="0"/>
        <w:adjustRightInd w:val="0"/>
        <w:spacing w:line="240" w:lineRule="auto"/>
        <w:contextualSpacing/>
        <w:jc w:val="both"/>
        <w:rPr>
          <w:rFonts w:eastAsia="Calibri"/>
          <w:i/>
          <w:iCs/>
          <w:lang w:eastAsia="x-none"/>
        </w:rPr>
      </w:pPr>
      <w:r w:rsidRPr="00CB5050">
        <w:rPr>
          <w:rFonts w:eastAsia="Calibri"/>
          <w:i/>
          <w:iCs/>
          <w:lang w:eastAsia="x-none"/>
        </w:rPr>
        <w:t>določeno obvezno skupno izpolnjevanje obveznosti razširjene odgovornosti proizvajalca za proizvajalce proizvodov, za katere velja ta razširjena odgovornost, in tem proizvajalcem naloženo, da s to organizacijo sklenejo pogodbo, vendar le, če te obveznosti spremljajo zadostna procesna jamstva, zlasti v zvezi z morebitnimi nasprotji interesov ali neugodnim konkurenčnim položajem, s katerimi je mogoče preprečiti kakršno koli pretirano breme za zadevne proizvajalce pri opravljanju njihove gospodarske dejavnosti, ki bi bilo posledica samovoljnih ali nepredvidljivih vplivov na njihova pogodbena razmerja.</w:t>
      </w:r>
    </w:p>
    <w:p w14:paraId="2B19C0F1" w14:textId="77777777" w:rsidR="00695AE2" w:rsidRPr="00CB5050" w:rsidRDefault="00695AE2" w:rsidP="00695AE2">
      <w:pPr>
        <w:autoSpaceDE w:val="0"/>
        <w:autoSpaceDN w:val="0"/>
        <w:adjustRightInd w:val="0"/>
        <w:spacing w:line="240" w:lineRule="auto"/>
        <w:jc w:val="both"/>
        <w:rPr>
          <w:rFonts w:eastAsia="Calibri"/>
          <w:lang w:eastAsia="x-none"/>
        </w:rPr>
      </w:pPr>
    </w:p>
    <w:p w14:paraId="160BA616" w14:textId="77777777" w:rsidR="00695AE2" w:rsidRPr="00CB5050" w:rsidRDefault="00695AE2" w:rsidP="00695AE2">
      <w:pPr>
        <w:pStyle w:val="Naslov5"/>
      </w:pPr>
      <w:bookmarkStart w:id="1256" w:name="_Toc223094166"/>
      <w:r w:rsidRPr="00CB5050">
        <w:rPr>
          <w:i/>
        </w:rPr>
        <w:t>MS Ključarovci,</w:t>
      </w:r>
      <w:r w:rsidRPr="00CB5050">
        <w:t xml:space="preserve"> T-646/24</w:t>
      </w:r>
      <w:bookmarkStart w:id="1257" w:name="_Toc191562165"/>
      <w:bookmarkEnd w:id="1256"/>
      <w:r w:rsidRPr="00CB5050">
        <w:t xml:space="preserve"> </w:t>
      </w:r>
    </w:p>
    <w:p w14:paraId="57EF46E0" w14:textId="77777777" w:rsidR="00695AE2" w:rsidRPr="00CB5050" w:rsidRDefault="00695AE2" w:rsidP="00695AE2">
      <w:pPr>
        <w:spacing w:line="240" w:lineRule="auto"/>
        <w:rPr>
          <w:rFonts w:eastAsia="Calibri"/>
          <w:szCs w:val="22"/>
        </w:rPr>
      </w:pPr>
    </w:p>
    <w:p w14:paraId="117ED1A6" w14:textId="77777777" w:rsidR="00695AE2" w:rsidRPr="00CB5050" w:rsidRDefault="00695AE2" w:rsidP="00695AE2">
      <w:pPr>
        <w:spacing w:line="240" w:lineRule="auto"/>
        <w:jc w:val="both"/>
        <w:rPr>
          <w:rFonts w:eastAsia="Calibri"/>
          <w:szCs w:val="22"/>
        </w:rPr>
      </w:pPr>
      <w:r w:rsidRPr="00CB5050">
        <w:rPr>
          <w:rFonts w:eastAsia="Calibri"/>
          <w:szCs w:val="22"/>
        </w:rPr>
        <w:t>Predlog za sprejetje predhodne odločbe je vložilo Upravno sodišče Republike Slovenije v okviru spora med MS KLJUČAROVCI, d. o. o.-v stečaju (MS), ter Republiko Slovenijo, glede zakonitosti davčne odločbe o izračunu DDV, ki jo je izdala Finančna uprava Republike Slovenije (FURS).</w:t>
      </w:r>
    </w:p>
    <w:p w14:paraId="493D91B7" w14:textId="77777777" w:rsidR="00695AE2" w:rsidRPr="00CB5050" w:rsidRDefault="00695AE2" w:rsidP="00695AE2">
      <w:pPr>
        <w:spacing w:line="240" w:lineRule="auto"/>
        <w:jc w:val="both"/>
        <w:rPr>
          <w:rFonts w:eastAsia="Calibri"/>
          <w:szCs w:val="22"/>
        </w:rPr>
      </w:pPr>
    </w:p>
    <w:p w14:paraId="5A0BED19" w14:textId="77777777" w:rsidR="00695AE2" w:rsidRPr="00CB5050" w:rsidRDefault="00695AE2" w:rsidP="00695AE2">
      <w:pPr>
        <w:spacing w:line="240" w:lineRule="auto"/>
        <w:jc w:val="both"/>
        <w:rPr>
          <w:rFonts w:eastAsia="Calibri"/>
          <w:szCs w:val="22"/>
        </w:rPr>
      </w:pPr>
      <w:r w:rsidRPr="00CB5050">
        <w:rPr>
          <w:rFonts w:eastAsia="Calibri"/>
          <w:szCs w:val="22"/>
        </w:rPr>
        <w:t>Družba MS je v letih 2015 in 2016 od dobaviteljev, registriranih v Nemčiji, pridobivala različno blago, ki ga je naprej prodajala trem družbam, identificiranim za DDV na Danskem. Prevoz blaga, ki ga je organizirala in plačala družba MS, je bil opravljen neposredno iz Nemčije na Dansko. Veriga dobav je vključevala štiri gospodarske subjekte, registrirane v treh različnih državah članicah, in sicer, nemškega dobavitelja, družbo MS, dansko družbo, ki je bila stranka družbe MS, in družbo ANC Group, ki je bila stranka omenjenih treh danskih družb.</w:t>
      </w:r>
    </w:p>
    <w:p w14:paraId="1693CD33" w14:textId="77777777" w:rsidR="00695AE2" w:rsidRPr="00CB5050" w:rsidRDefault="00695AE2" w:rsidP="00695AE2">
      <w:pPr>
        <w:spacing w:line="240" w:lineRule="auto"/>
        <w:jc w:val="both"/>
        <w:rPr>
          <w:rFonts w:eastAsia="Calibri"/>
          <w:szCs w:val="22"/>
        </w:rPr>
      </w:pPr>
    </w:p>
    <w:p w14:paraId="3F33CD55" w14:textId="77777777" w:rsidR="00695AE2" w:rsidRPr="00CB5050" w:rsidRDefault="00695AE2" w:rsidP="00695AE2">
      <w:pPr>
        <w:spacing w:line="240" w:lineRule="auto"/>
        <w:jc w:val="both"/>
        <w:rPr>
          <w:rFonts w:eastAsia="Calibri"/>
          <w:szCs w:val="22"/>
        </w:rPr>
      </w:pPr>
      <w:r w:rsidRPr="00CB5050">
        <w:rPr>
          <w:rFonts w:eastAsia="Calibri"/>
          <w:szCs w:val="22"/>
        </w:rPr>
        <w:t xml:space="preserve">Na računih, ki jih je MS izdala svojim strankam, je bila navedba »obrnjena davčna obveznos«. MS je uporabila poenostavitev, ki je v Zakonu o davku na dodano vrednost določena za tako imenovane tristranske posle, tako da je davčno obveznost plačila DDV za pridobitve blaga znotraj Skupnosti prenesla na tri danske družbe. Po poizvedbi pri danski davčni upravi je FURS ugotovil, da so tri danske družbe nedelujoči gospodarski subjekti in da DDV od pridobitev blaga ni bil plačan ne na Danskem ne v Sloveniji. V okviru davčnega nadzora je določil znesek DDV, </w:t>
      </w:r>
      <w:r w:rsidRPr="00CB5050">
        <w:rPr>
          <w:rFonts w:eastAsia="Calibri"/>
          <w:szCs w:val="22"/>
        </w:rPr>
        <w:lastRenderedPageBreak/>
        <w:t>ki ga je MS dolgovala za leti 2015 in 2016. Po stališču FURS družba MS ni bila upravičena do uporabe poenostavitve za tristranske posle, ker sta bili znotraj enega prevoza opravljeni več kot dve dobavi blaga. FURS je kot relevantno dejstvo štel, da zadevno blago ni bilo dano na voljo tretjemu subjektu v verigi dobav, temveč je bilo izročeno družbi ANC Group kot četrtemu subjektu v verigi. Zato naj bi bil po stališču FURS kraj obdavčitve v Sloveniji, kjer je MS identificirana za DDV.</w:t>
      </w:r>
    </w:p>
    <w:p w14:paraId="41590B5F" w14:textId="77777777" w:rsidR="00695AE2" w:rsidRPr="00CB5050" w:rsidRDefault="00695AE2" w:rsidP="00695AE2">
      <w:pPr>
        <w:spacing w:line="240" w:lineRule="auto"/>
        <w:jc w:val="both"/>
        <w:rPr>
          <w:rFonts w:eastAsia="Calibri"/>
          <w:szCs w:val="22"/>
        </w:rPr>
      </w:pPr>
    </w:p>
    <w:p w14:paraId="10161F05" w14:textId="77777777" w:rsidR="00695AE2" w:rsidRPr="00CB5050" w:rsidRDefault="00695AE2" w:rsidP="00695AE2">
      <w:pPr>
        <w:spacing w:line="240" w:lineRule="auto"/>
        <w:jc w:val="both"/>
        <w:rPr>
          <w:rFonts w:eastAsia="Calibri"/>
          <w:szCs w:val="22"/>
        </w:rPr>
      </w:pPr>
      <w:r w:rsidRPr="00CB5050">
        <w:rPr>
          <w:rFonts w:eastAsia="Calibri"/>
          <w:szCs w:val="22"/>
        </w:rPr>
        <w:t>Upravno sodišče je v upravnem sporu, ki ga je sprožila MS zaradi odprave odločbe FURS, Sodišču v predhodno odločanje predložilo tri vprašanja v zvezi z razlago Direktive o DDV.</w:t>
      </w:r>
    </w:p>
    <w:p w14:paraId="3BB0BEAF" w14:textId="77777777" w:rsidR="00695AE2" w:rsidRPr="00CB5050" w:rsidRDefault="00695AE2" w:rsidP="00695AE2">
      <w:pPr>
        <w:spacing w:line="240" w:lineRule="auto"/>
        <w:jc w:val="both"/>
        <w:rPr>
          <w:rFonts w:eastAsia="Calibri"/>
          <w:szCs w:val="22"/>
        </w:rPr>
      </w:pPr>
    </w:p>
    <w:p w14:paraId="06901E70" w14:textId="77777777" w:rsidR="00695AE2" w:rsidRPr="00CB5050" w:rsidRDefault="00695AE2" w:rsidP="00695AE2">
      <w:pPr>
        <w:spacing w:line="240" w:lineRule="auto"/>
        <w:jc w:val="both"/>
        <w:rPr>
          <w:rFonts w:eastAsia="Calibri"/>
          <w:szCs w:val="22"/>
        </w:rPr>
      </w:pPr>
      <w:r w:rsidRPr="00CB5050">
        <w:rPr>
          <w:rFonts w:eastAsia="Calibri"/>
          <w:szCs w:val="22"/>
        </w:rPr>
        <w:t>S prvim vprašanjem je predložitveno sodišče spraševalo, ali se za gospodarski subjekt v verigi dobav uporabi poenostavitev, ki je za tristranske posle določena v Direktivi o DDV, v posebnem primeru, v katerem ta veriga dobav ne vključuje treh, ampak štiri gospodarske subjekte, ki so identificirani v treh različnih državah članicah. Z drugim vprašanjem je Upravno sodišče spraševalo, ali dejstvo, da je gospodarski subjekt, ki uveljavlja poenostavitev, določeno za tristranske posle, seznanjen s tem, da zadevno blago ni fizično pripeljano prejemniku nadaljnje dobave, ampak njegovi stranki, ki ji prejemnik to blago preproda, vpliva na izpolnitev pogoja iz člena 141(c) Direktive o DDV. S tretjim vprašanjem je predložitveno sodišče želelo razlago, ali je člen 41[, prvi odstavek,] Direktive o DDV v okoliščinah obravnavanega primera treba razlagati tako, da se DDV lahko odmeri v državi identifikacije zavezanca, ki je drugi v verigi (v Sloveniji), pri čemer se davčna osnova ne zmanjša na podlagi člena 41[,drugi odstavek,] iste direktive, če se ugotovi, da je davčni zavezanec vedel ali bi moral vedeti, da sodeluje v transakcijah, ki pomenijo zlorabo sistema DDV.</w:t>
      </w:r>
    </w:p>
    <w:p w14:paraId="61EC6083" w14:textId="77777777" w:rsidR="00695AE2" w:rsidRPr="00CB5050" w:rsidRDefault="00695AE2" w:rsidP="00695AE2">
      <w:pPr>
        <w:spacing w:line="240" w:lineRule="auto"/>
        <w:jc w:val="both"/>
        <w:rPr>
          <w:rFonts w:eastAsia="Calibri"/>
          <w:szCs w:val="22"/>
        </w:rPr>
      </w:pPr>
    </w:p>
    <w:p w14:paraId="443F79C6" w14:textId="77777777" w:rsidR="00695AE2" w:rsidRPr="00CB5050" w:rsidRDefault="00695AE2" w:rsidP="00695AE2">
      <w:pPr>
        <w:spacing w:line="240" w:lineRule="auto"/>
        <w:jc w:val="both"/>
        <w:rPr>
          <w:rFonts w:eastAsia="Calibri"/>
          <w:szCs w:val="22"/>
        </w:rPr>
      </w:pPr>
      <w:r w:rsidRPr="00CB5050">
        <w:rPr>
          <w:rFonts w:eastAsia="Calibri"/>
          <w:szCs w:val="22"/>
        </w:rPr>
        <w:t>Republika Slovenija je svoja stališča do zastavljenih vprašanj predstavila v pisni vlogi. Splošno sodišče je brez ustne obravnave s sodbo z dne 3. decembra 2025 razsodilo:</w:t>
      </w:r>
    </w:p>
    <w:p w14:paraId="522F8841" w14:textId="77777777" w:rsidR="00695AE2" w:rsidRPr="00CB5050" w:rsidRDefault="00695AE2" w:rsidP="00695AE2">
      <w:pPr>
        <w:spacing w:line="240" w:lineRule="auto"/>
        <w:jc w:val="both"/>
        <w:rPr>
          <w:rFonts w:eastAsia="Calibri"/>
          <w:szCs w:val="22"/>
        </w:rPr>
      </w:pPr>
    </w:p>
    <w:p w14:paraId="048B11F7" w14:textId="77777777" w:rsidR="00695AE2" w:rsidRPr="00CB5050" w:rsidRDefault="00695AE2" w:rsidP="00695AE2">
      <w:pPr>
        <w:spacing w:line="240" w:lineRule="auto"/>
        <w:jc w:val="both"/>
        <w:rPr>
          <w:rFonts w:eastAsia="Calibri"/>
          <w:i/>
          <w:iCs/>
          <w:szCs w:val="22"/>
        </w:rPr>
      </w:pPr>
      <w:r w:rsidRPr="00CB5050">
        <w:rPr>
          <w:rFonts w:eastAsia="Calibri"/>
          <w:i/>
          <w:iCs/>
          <w:szCs w:val="22"/>
        </w:rPr>
        <w:t>1. Člen 141(c) Direktive Sveta 2006/112/ES z dne 28. novembra 2006 o skupnem sistemu davka na dodano vrednost, kakor je bila spremenjena z Direktivo Sveta 2010/45/EU z dne 13. julija 2010,</w:t>
      </w:r>
    </w:p>
    <w:p w14:paraId="663CD6DE" w14:textId="77777777" w:rsidR="00695AE2" w:rsidRPr="00CB5050" w:rsidRDefault="00695AE2" w:rsidP="00695AE2">
      <w:pPr>
        <w:spacing w:line="240" w:lineRule="auto"/>
        <w:jc w:val="both"/>
        <w:rPr>
          <w:rFonts w:eastAsia="Calibri"/>
          <w:i/>
          <w:iCs/>
          <w:szCs w:val="22"/>
        </w:rPr>
      </w:pPr>
    </w:p>
    <w:p w14:paraId="470BEDF2" w14:textId="77777777" w:rsidR="00695AE2" w:rsidRPr="00CB5050" w:rsidRDefault="00695AE2" w:rsidP="00695AE2">
      <w:pPr>
        <w:spacing w:line="240" w:lineRule="auto"/>
        <w:jc w:val="both"/>
        <w:rPr>
          <w:rFonts w:eastAsia="Calibri"/>
          <w:i/>
          <w:iCs/>
          <w:szCs w:val="22"/>
        </w:rPr>
      </w:pPr>
      <w:r w:rsidRPr="00CB5050">
        <w:rPr>
          <w:rFonts w:eastAsia="Calibri"/>
          <w:i/>
          <w:iCs/>
          <w:szCs w:val="22"/>
        </w:rPr>
        <w:t>je treba razlagati tako, da</w:t>
      </w:r>
    </w:p>
    <w:p w14:paraId="2FB43AF3" w14:textId="77777777" w:rsidR="00695AE2" w:rsidRPr="00CB5050" w:rsidRDefault="00695AE2" w:rsidP="00695AE2">
      <w:pPr>
        <w:spacing w:line="240" w:lineRule="auto"/>
        <w:jc w:val="both"/>
        <w:rPr>
          <w:rFonts w:eastAsia="Calibri"/>
          <w:i/>
          <w:iCs/>
          <w:szCs w:val="22"/>
        </w:rPr>
      </w:pPr>
    </w:p>
    <w:p w14:paraId="3046548B" w14:textId="77777777" w:rsidR="00695AE2" w:rsidRPr="00CB5050" w:rsidRDefault="00695AE2" w:rsidP="00695AE2">
      <w:pPr>
        <w:spacing w:line="240" w:lineRule="auto"/>
        <w:jc w:val="both"/>
        <w:rPr>
          <w:rFonts w:eastAsia="Calibri"/>
          <w:i/>
          <w:iCs/>
          <w:szCs w:val="22"/>
        </w:rPr>
      </w:pPr>
      <w:r w:rsidRPr="00CB5050">
        <w:rPr>
          <w:rFonts w:eastAsia="Calibri"/>
          <w:i/>
          <w:iCs/>
          <w:szCs w:val="22"/>
        </w:rPr>
        <w:t>dejstvo, da blago, dobavljeno v okviru tristranskega posla, ni fizično pripeljano prejemniku nadaljnje dobave, ampak njegovi stranki, ki ji ta prejemnik to blago preproda in ki je identificirana za davek na dodano vrednost (DDV) v isti državi članici kot preprodajalec, ne preprečuje, da bi se pogoj iz navedene določbe lahko štel za izpolnjen.</w:t>
      </w:r>
    </w:p>
    <w:p w14:paraId="1526314A" w14:textId="77777777" w:rsidR="00695AE2" w:rsidRPr="00CB5050" w:rsidRDefault="00695AE2" w:rsidP="00695AE2">
      <w:pPr>
        <w:spacing w:line="240" w:lineRule="auto"/>
        <w:jc w:val="both"/>
        <w:rPr>
          <w:rFonts w:eastAsia="Calibri"/>
          <w:i/>
          <w:iCs/>
          <w:szCs w:val="22"/>
        </w:rPr>
      </w:pPr>
    </w:p>
    <w:p w14:paraId="753DA0B9" w14:textId="77777777" w:rsidR="00695AE2" w:rsidRPr="00CB5050" w:rsidRDefault="00695AE2" w:rsidP="00695AE2">
      <w:pPr>
        <w:spacing w:line="240" w:lineRule="auto"/>
        <w:jc w:val="both"/>
        <w:rPr>
          <w:rFonts w:eastAsia="Calibri"/>
          <w:i/>
          <w:iCs/>
          <w:szCs w:val="22"/>
        </w:rPr>
      </w:pPr>
      <w:r w:rsidRPr="00CB5050">
        <w:rPr>
          <w:rFonts w:eastAsia="Calibri"/>
          <w:i/>
          <w:iCs/>
          <w:szCs w:val="22"/>
        </w:rPr>
        <w:t>2. Člen 141(c) Direktive 2006/112, kakor je bila spremenjena z Direktivo 2010/45,</w:t>
      </w:r>
    </w:p>
    <w:p w14:paraId="584BC5ED" w14:textId="77777777" w:rsidR="00695AE2" w:rsidRPr="00CB5050" w:rsidRDefault="00695AE2" w:rsidP="00695AE2">
      <w:pPr>
        <w:spacing w:line="240" w:lineRule="auto"/>
        <w:jc w:val="both"/>
        <w:rPr>
          <w:rFonts w:eastAsia="Calibri"/>
          <w:i/>
          <w:iCs/>
          <w:szCs w:val="22"/>
        </w:rPr>
      </w:pPr>
    </w:p>
    <w:p w14:paraId="6DF50483" w14:textId="77777777" w:rsidR="00695AE2" w:rsidRPr="00CB5050" w:rsidRDefault="00695AE2" w:rsidP="00695AE2">
      <w:pPr>
        <w:spacing w:line="240" w:lineRule="auto"/>
        <w:jc w:val="both"/>
        <w:rPr>
          <w:rFonts w:eastAsia="Calibri"/>
          <w:i/>
          <w:iCs/>
          <w:szCs w:val="22"/>
        </w:rPr>
      </w:pPr>
      <w:r w:rsidRPr="00CB5050">
        <w:rPr>
          <w:rFonts w:eastAsia="Calibri"/>
          <w:i/>
          <w:iCs/>
          <w:szCs w:val="22"/>
        </w:rPr>
        <w:t>je treba razlagati tako, da</w:t>
      </w:r>
    </w:p>
    <w:p w14:paraId="6BBB199C" w14:textId="77777777" w:rsidR="00695AE2" w:rsidRPr="00CB5050" w:rsidRDefault="00695AE2" w:rsidP="00695AE2">
      <w:pPr>
        <w:spacing w:line="240" w:lineRule="auto"/>
        <w:jc w:val="both"/>
        <w:rPr>
          <w:rFonts w:eastAsia="Calibri"/>
          <w:i/>
          <w:iCs/>
          <w:szCs w:val="22"/>
        </w:rPr>
      </w:pPr>
    </w:p>
    <w:p w14:paraId="03D277FA" w14:textId="77777777" w:rsidR="00695AE2" w:rsidRPr="00CB5050" w:rsidRDefault="00695AE2" w:rsidP="00695AE2">
      <w:pPr>
        <w:spacing w:line="240" w:lineRule="auto"/>
        <w:jc w:val="both"/>
        <w:rPr>
          <w:rFonts w:eastAsia="Calibri"/>
          <w:i/>
          <w:iCs/>
          <w:szCs w:val="22"/>
        </w:rPr>
      </w:pPr>
      <w:r w:rsidRPr="00CB5050">
        <w:rPr>
          <w:rFonts w:eastAsia="Calibri"/>
          <w:i/>
          <w:iCs/>
          <w:szCs w:val="22"/>
        </w:rPr>
        <w:t>dejstvo, da je gospodarski subjekt, ki uveljavlja poenostavitev, določeno za tristranske posle, seznanjen s tem, da zadevno blago ni fizično pripeljano prejemniku nadaljnje dobave, ampak njegovi stranki, ki ji ta prejemnik to blago preproda in ki je identificirana za DDV v isti državi članici kot preprodajalec, ne vpliva na izpolnitev pogoja iz navedene določbe.</w:t>
      </w:r>
    </w:p>
    <w:p w14:paraId="3C516080" w14:textId="77777777" w:rsidR="00695AE2" w:rsidRPr="00CB5050" w:rsidRDefault="00695AE2" w:rsidP="00695AE2">
      <w:pPr>
        <w:spacing w:line="240" w:lineRule="auto"/>
        <w:jc w:val="both"/>
        <w:rPr>
          <w:rFonts w:eastAsia="Calibri"/>
          <w:i/>
          <w:iCs/>
          <w:szCs w:val="22"/>
        </w:rPr>
      </w:pPr>
    </w:p>
    <w:p w14:paraId="18EFEE90" w14:textId="77777777" w:rsidR="00695AE2" w:rsidRPr="00CB5050" w:rsidRDefault="00695AE2" w:rsidP="00695AE2">
      <w:pPr>
        <w:spacing w:line="240" w:lineRule="auto"/>
        <w:jc w:val="both"/>
        <w:rPr>
          <w:rFonts w:eastAsia="Calibri"/>
          <w:i/>
          <w:iCs/>
          <w:szCs w:val="22"/>
        </w:rPr>
      </w:pPr>
      <w:r w:rsidRPr="00CB5050">
        <w:rPr>
          <w:rFonts w:eastAsia="Calibri"/>
          <w:i/>
          <w:iCs/>
          <w:szCs w:val="22"/>
        </w:rPr>
        <w:lastRenderedPageBreak/>
        <w:t xml:space="preserve">3. Člena 41 in 42 Direktive 2006/112, kakor je bila spremenjena z Direktivo 2010/45, </w:t>
      </w:r>
    </w:p>
    <w:p w14:paraId="479FB88B" w14:textId="77777777" w:rsidR="00695AE2" w:rsidRPr="00CB5050" w:rsidRDefault="00695AE2" w:rsidP="00695AE2">
      <w:pPr>
        <w:spacing w:line="240" w:lineRule="auto"/>
        <w:jc w:val="both"/>
        <w:rPr>
          <w:rFonts w:eastAsia="Calibri"/>
          <w:i/>
          <w:iCs/>
          <w:szCs w:val="22"/>
        </w:rPr>
      </w:pPr>
    </w:p>
    <w:p w14:paraId="5577891B" w14:textId="77777777" w:rsidR="00695AE2" w:rsidRPr="00CB5050" w:rsidRDefault="00695AE2" w:rsidP="00695AE2">
      <w:pPr>
        <w:spacing w:line="240" w:lineRule="auto"/>
        <w:jc w:val="both"/>
        <w:rPr>
          <w:rFonts w:eastAsia="Calibri"/>
          <w:i/>
          <w:iCs/>
          <w:szCs w:val="22"/>
        </w:rPr>
      </w:pPr>
      <w:r w:rsidRPr="00CB5050">
        <w:rPr>
          <w:rFonts w:eastAsia="Calibri"/>
          <w:i/>
          <w:iCs/>
          <w:szCs w:val="22"/>
        </w:rPr>
        <w:t>je treba razlagati tako, da</w:t>
      </w:r>
    </w:p>
    <w:p w14:paraId="65D3BE21" w14:textId="77777777" w:rsidR="00695AE2" w:rsidRPr="00CB5050" w:rsidRDefault="00695AE2" w:rsidP="00695AE2">
      <w:pPr>
        <w:spacing w:line="240" w:lineRule="auto"/>
        <w:jc w:val="both"/>
        <w:rPr>
          <w:rFonts w:eastAsia="Calibri"/>
          <w:i/>
          <w:iCs/>
          <w:szCs w:val="22"/>
        </w:rPr>
      </w:pPr>
    </w:p>
    <w:p w14:paraId="0731D25B" w14:textId="77777777" w:rsidR="00695AE2" w:rsidRPr="00CB5050" w:rsidRDefault="00695AE2" w:rsidP="00695AE2">
      <w:pPr>
        <w:spacing w:line="240" w:lineRule="auto"/>
        <w:jc w:val="both"/>
        <w:rPr>
          <w:rFonts w:eastAsia="Calibri"/>
          <w:i/>
          <w:iCs/>
          <w:szCs w:val="22"/>
        </w:rPr>
      </w:pPr>
      <w:r w:rsidRPr="00CB5050">
        <w:rPr>
          <w:rFonts w:eastAsia="Calibri"/>
          <w:i/>
          <w:iCs/>
          <w:szCs w:val="22"/>
        </w:rPr>
        <w:t>morajo organi in sodišča države članice, ki je izdala identifikacijsko številko za DDV, pod katero je pridobitelj, ki je zavezanec za DDV, opravil pridobitev blaga znotraj Skupnosti, temu pridobitelju zavrniti uporabo ureditve iz členov 42 in 141 te direktive ter zmanjšanje davčne osnove, določeno v členu 41, drugi odstavek, navedene direktive, če se ugotovi, da je navedeni pridobitelj vedel ali bi moral vedeti, da je s transakcijo, na katero se sklicuje za utemeljitev uporabe te ureditve, sodeloval pri utaji DDV, storjeni v okviru verige dobav.</w:t>
      </w:r>
    </w:p>
    <w:p w14:paraId="1D5FA2C9" w14:textId="77777777" w:rsidR="00695AE2" w:rsidRPr="00CB5050" w:rsidRDefault="00695AE2" w:rsidP="00695AE2">
      <w:pPr>
        <w:pStyle w:val="Jasna"/>
      </w:pPr>
    </w:p>
    <w:p w14:paraId="78F4B58F" w14:textId="41CE3BAF" w:rsidR="00695AE2" w:rsidRPr="006D16C0" w:rsidRDefault="00AF1686" w:rsidP="00695AE2">
      <w:pPr>
        <w:pStyle w:val="Naslov4"/>
        <w:ind w:left="0" w:firstLine="0"/>
      </w:pPr>
      <w:r w:rsidRPr="006D16C0">
        <w:t xml:space="preserve"> </w:t>
      </w:r>
      <w:bookmarkStart w:id="1258" w:name="_Toc223094167"/>
      <w:r w:rsidR="00695AE2" w:rsidRPr="006D16C0">
        <w:t>Pritožbeni postopek zoper sodbo Splošnega sodišča</w:t>
      </w:r>
      <w:bookmarkEnd w:id="1257"/>
      <w:r w:rsidR="00695AE2" w:rsidRPr="006D16C0">
        <w:t xml:space="preserve"> – problematika izplačila DDV po sodbi Sodišča</w:t>
      </w:r>
      <w:bookmarkEnd w:id="1258"/>
    </w:p>
    <w:p w14:paraId="5EE62629" w14:textId="77777777" w:rsidR="00695AE2" w:rsidRPr="00CB5050" w:rsidRDefault="00695AE2" w:rsidP="00695AE2">
      <w:pPr>
        <w:spacing w:line="240" w:lineRule="auto"/>
        <w:rPr>
          <w:rFonts w:eastAsia="Calibri"/>
          <w:color w:val="007466"/>
          <w:szCs w:val="22"/>
        </w:rPr>
      </w:pPr>
    </w:p>
    <w:p w14:paraId="3E52CC6F" w14:textId="77777777" w:rsidR="00695AE2" w:rsidRPr="00CB5050" w:rsidRDefault="00695AE2" w:rsidP="00695AE2">
      <w:pPr>
        <w:pStyle w:val="Naslov5"/>
        <w:ind w:left="0" w:firstLine="0"/>
        <w:rPr>
          <w:u w:val="single"/>
        </w:rPr>
      </w:pPr>
      <w:bookmarkStart w:id="1259" w:name="_Toc191562166"/>
      <w:bookmarkStart w:id="1260" w:name="_Toc223094168"/>
      <w:r w:rsidRPr="00CB5050">
        <w:rPr>
          <w:i/>
        </w:rPr>
        <w:t>Slovenija proti Flašker in Komisiji,</w:t>
      </w:r>
      <w:r w:rsidRPr="00CB5050">
        <w:t xml:space="preserve"> C-447/22 P (pritožba Republike Slovenije proti sodbi Splošnega sodišča T-392/20)</w:t>
      </w:r>
      <w:bookmarkEnd w:id="1259"/>
      <w:bookmarkEnd w:id="1260"/>
    </w:p>
    <w:p w14:paraId="09799A7D" w14:textId="77777777" w:rsidR="00695AE2" w:rsidRPr="00CB5050" w:rsidRDefault="00695AE2" w:rsidP="00695AE2">
      <w:pPr>
        <w:spacing w:line="240" w:lineRule="auto"/>
        <w:jc w:val="both"/>
        <w:rPr>
          <w:rFonts w:eastAsia="Calibri"/>
          <w:b/>
          <w:color w:val="4472C4"/>
          <w:u w:val="single"/>
        </w:rPr>
      </w:pPr>
    </w:p>
    <w:p w14:paraId="192870EC"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Gre za zadevo, v kateri je Sodišče o pritožbi Slovenije proti sodbi Splošnega sodišča odločilo v letu 2024, zato je bila vsebinsko predstavljena v lanskem poročilu. V letošnje je vključena izključno zaradi odločitve Sodišča, da mora Slovenija, ki je bila s pritožbo neuspešna, </w:t>
      </w:r>
      <w:r w:rsidRPr="00CB5050">
        <w:rPr>
          <w:rFonts w:eastAsia="Calibri"/>
          <w:bCs/>
        </w:rPr>
        <w:t>tožeči stranki povrniti stroške. V letu 2025 so namreč v zvezi z izplačilom stroškov potekale aktivnosti, ki so v prvem takem primeru na strani Slovenije razkrile različne pristope glede izplačila DDV po domači sodni praksi in po sodni praksi Sodišča, zato jih je treba predstaviti.</w:t>
      </w:r>
    </w:p>
    <w:p w14:paraId="3F80DA76" w14:textId="77777777" w:rsidR="00695AE2" w:rsidRPr="00CB5050" w:rsidRDefault="00695AE2" w:rsidP="00695AE2">
      <w:pPr>
        <w:spacing w:line="240" w:lineRule="auto"/>
        <w:jc w:val="both"/>
        <w:rPr>
          <w:rFonts w:eastAsia="Times New Roman"/>
          <w:bCs/>
          <w:lang w:eastAsia="sl-SI"/>
        </w:rPr>
      </w:pPr>
    </w:p>
    <w:p w14:paraId="4D49BAB5"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Po Poslovniku Sodišča se stranke na podlagi sodbe ali sklepa, ki vsebuje odločitev o tem, kdo nosi stroške, same sporazumejo o višini stroškov, ki naj se povrnejo. Le če do dogovora ne pride, o tem na zahtevo zainteresirane stranke odloči Sodišče (člen 145(1) Poslovnika Sodišča). Skladno z navedenim je tožeča stranka na Republiko Slovenijo naslovila zahtevek za povračilo stroškov. Republika Slovenija je priznala del zahtevka in nesporni znesek izplačala tožeči stranki.</w:t>
      </w:r>
    </w:p>
    <w:p w14:paraId="208C836E" w14:textId="77777777" w:rsidR="00695AE2" w:rsidRPr="00CB5050" w:rsidRDefault="00695AE2" w:rsidP="00695AE2">
      <w:pPr>
        <w:spacing w:line="240" w:lineRule="auto"/>
        <w:jc w:val="both"/>
        <w:rPr>
          <w:rFonts w:eastAsia="Times New Roman"/>
          <w:bCs/>
          <w:lang w:eastAsia="sl-SI"/>
        </w:rPr>
      </w:pPr>
    </w:p>
    <w:p w14:paraId="499AC5FD" w14:textId="77777777" w:rsidR="00695AE2" w:rsidRPr="00CB5050" w:rsidRDefault="00695AE2" w:rsidP="00695AE2">
      <w:pPr>
        <w:spacing w:line="240" w:lineRule="auto"/>
        <w:jc w:val="both"/>
        <w:rPr>
          <w:rFonts w:eastAsia="Calibri"/>
          <w:bCs/>
        </w:rPr>
      </w:pPr>
      <w:r w:rsidRPr="00CB5050">
        <w:rPr>
          <w:rFonts w:eastAsia="Times New Roman"/>
          <w:bCs/>
          <w:lang w:eastAsia="sl-SI"/>
        </w:rPr>
        <w:t>Med strankama je prišlo do razhajanja stališč glede tega, ali tožeča stranka upravičeno zahteva tudi plačilo zneska DDV na odvetniške stroške. Tožeča stranka je plačilo tega zneska zahtevala sklicujoč se na domačo sodno prakso, zlasti na sklep Vrhovnega sodišča III Ips 2/2024 z dne 11. marca 2025. Vendar je stališče Sodišča do vprašanja plačila DDV drugačno: Sodišče pri izračunu stroškov, ki jih je treba povrniti, ne upošteva DDV, če je tisti, ki zahteva njihovo povračilo, sam zavezan za DDV (in lahko uveljavlja povračilo DDV pri plačilu honorarjev njegovih odvetnikov; glej sklepe Sodišča v zadevah: C</w:t>
      </w:r>
      <w:r w:rsidRPr="00CB5050">
        <w:rPr>
          <w:rFonts w:ascii="Cambria Math" w:eastAsia="Times New Roman" w:hAnsi="Cambria Math" w:cs="Cambria Math"/>
          <w:bCs/>
          <w:lang w:eastAsia="sl-SI"/>
        </w:rPr>
        <w:t>‑</w:t>
      </w:r>
      <w:r w:rsidRPr="00CB5050">
        <w:rPr>
          <w:rFonts w:eastAsia="Times New Roman"/>
          <w:bCs/>
          <w:lang w:eastAsia="sl-SI"/>
        </w:rPr>
        <w:t>663/20 P</w:t>
      </w:r>
      <w:r w:rsidRPr="00CB5050">
        <w:rPr>
          <w:rFonts w:ascii="Cambria Math" w:eastAsia="Times New Roman" w:hAnsi="Cambria Math" w:cs="Cambria Math"/>
          <w:bCs/>
          <w:lang w:eastAsia="sl-SI"/>
        </w:rPr>
        <w:t>‑</w:t>
      </w:r>
      <w:r w:rsidRPr="00CB5050">
        <w:rPr>
          <w:rFonts w:eastAsia="Times New Roman"/>
          <w:bCs/>
          <w:lang w:eastAsia="sl-SI"/>
        </w:rPr>
        <w:t>DEP (38. odstavek), C</w:t>
      </w:r>
      <w:r w:rsidRPr="00CB5050">
        <w:rPr>
          <w:rFonts w:ascii="Cambria Math" w:eastAsia="Times New Roman" w:hAnsi="Cambria Math" w:cs="Cambria Math"/>
          <w:bCs/>
          <w:lang w:eastAsia="sl-SI"/>
        </w:rPr>
        <w:t>‑</w:t>
      </w:r>
      <w:r w:rsidRPr="00CB5050">
        <w:rPr>
          <w:rFonts w:eastAsia="Times New Roman"/>
          <w:bCs/>
          <w:lang w:eastAsia="sl-SI"/>
        </w:rPr>
        <w:t>514/18 P</w:t>
      </w:r>
      <w:r w:rsidRPr="00CB5050">
        <w:rPr>
          <w:rFonts w:ascii="Cambria Math" w:eastAsia="Times New Roman" w:hAnsi="Cambria Math" w:cs="Cambria Math"/>
          <w:bCs/>
          <w:lang w:eastAsia="sl-SI"/>
        </w:rPr>
        <w:t>‑</w:t>
      </w:r>
      <w:r w:rsidRPr="00CB5050">
        <w:rPr>
          <w:rFonts w:eastAsia="Times New Roman"/>
          <w:bCs/>
          <w:lang w:eastAsia="sl-SI"/>
        </w:rPr>
        <w:t>DEP (48. odstavek); C</w:t>
      </w:r>
      <w:r w:rsidRPr="00CB5050">
        <w:rPr>
          <w:rFonts w:ascii="Cambria Math" w:eastAsia="Times New Roman" w:hAnsi="Cambria Math" w:cs="Cambria Math"/>
          <w:bCs/>
          <w:lang w:eastAsia="sl-SI"/>
        </w:rPr>
        <w:t>‑</w:t>
      </w:r>
      <w:r w:rsidRPr="00CB5050">
        <w:rPr>
          <w:rFonts w:eastAsia="Times New Roman"/>
          <w:bCs/>
          <w:lang w:eastAsia="sl-SI"/>
        </w:rPr>
        <w:t>498/07 P</w:t>
      </w:r>
      <w:r w:rsidRPr="00CB5050">
        <w:rPr>
          <w:rFonts w:ascii="Cambria Math" w:eastAsia="Times New Roman" w:hAnsi="Cambria Math" w:cs="Cambria Math"/>
          <w:bCs/>
          <w:lang w:eastAsia="sl-SI"/>
        </w:rPr>
        <w:t>‑</w:t>
      </w:r>
      <w:r w:rsidRPr="00CB5050">
        <w:rPr>
          <w:rFonts w:eastAsia="Times New Roman"/>
          <w:bCs/>
          <w:lang w:eastAsia="sl-SI"/>
        </w:rPr>
        <w:t>DEP (32. odstavek) in C</w:t>
      </w:r>
      <w:r w:rsidRPr="00CB5050">
        <w:rPr>
          <w:rFonts w:ascii="Cambria Math" w:eastAsia="Times New Roman" w:hAnsi="Cambria Math" w:cs="Cambria Math"/>
          <w:bCs/>
          <w:lang w:eastAsia="sl-SI"/>
        </w:rPr>
        <w:t>‑</w:t>
      </w:r>
      <w:r w:rsidRPr="00CB5050">
        <w:rPr>
          <w:rFonts w:eastAsia="Times New Roman"/>
          <w:bCs/>
          <w:lang w:eastAsia="sl-SI"/>
        </w:rPr>
        <w:t>5/10 P-DEP (30. odstavek).</w:t>
      </w:r>
      <w:r w:rsidRPr="00CB5050">
        <w:rPr>
          <w:rFonts w:eastAsia="Calibri"/>
          <w:bCs/>
          <w:szCs w:val="22"/>
        </w:rPr>
        <w:t xml:space="preserve"> </w:t>
      </w:r>
      <w:r w:rsidRPr="00CB5050">
        <w:rPr>
          <w:rFonts w:eastAsia="Calibri"/>
          <w:bCs/>
        </w:rPr>
        <w:t>Sodna praksa Sodišča zasleduje cilj preprečiti, da bi stranka znesek DDV dobila povrnjen v okviru stroškov postopka, hkrati pa bi ga uveljavljala tudi kot odbitek, kar bi pomenilo dvakratno povračilo istega zneska.</w:t>
      </w:r>
    </w:p>
    <w:p w14:paraId="51AA4922" w14:textId="77777777" w:rsidR="00695AE2" w:rsidRPr="00CB5050" w:rsidRDefault="00695AE2" w:rsidP="00695AE2">
      <w:pPr>
        <w:spacing w:line="240" w:lineRule="auto"/>
        <w:jc w:val="both"/>
        <w:rPr>
          <w:rFonts w:eastAsia="Calibri"/>
          <w:bCs/>
        </w:rPr>
      </w:pPr>
    </w:p>
    <w:p w14:paraId="0CC48F79" w14:textId="77777777" w:rsidR="00695AE2" w:rsidRPr="00CB5050" w:rsidRDefault="00695AE2" w:rsidP="00695AE2">
      <w:pPr>
        <w:spacing w:line="240" w:lineRule="auto"/>
        <w:jc w:val="both"/>
        <w:rPr>
          <w:rFonts w:eastAsia="Times New Roman"/>
          <w:bCs/>
          <w:lang w:eastAsia="sl-SI"/>
        </w:rPr>
      </w:pPr>
      <w:r w:rsidRPr="00CB5050">
        <w:rPr>
          <w:rFonts w:eastAsia="Calibri"/>
          <w:bCs/>
          <w:szCs w:val="22"/>
        </w:rPr>
        <w:t xml:space="preserve">V </w:t>
      </w:r>
      <w:r w:rsidRPr="00CB5050">
        <w:rPr>
          <w:rFonts w:eastAsia="Times New Roman"/>
          <w:bCs/>
          <w:lang w:eastAsia="sl-SI"/>
        </w:rPr>
        <w:t>zadevi Flašker so stroški nastali v postopku pred Sodiščem, to pa ne upošteva nacionalne sodne prakse glede povračila zneska DDV. Tožeča stranka je zavezanka za DDV, zato je Republika Slovenija njen zahtevek za plačilo zneska DDV na odvetniške stroške zavrnila.</w:t>
      </w:r>
    </w:p>
    <w:p w14:paraId="6BC0BA92" w14:textId="77777777" w:rsidR="00695AE2" w:rsidRPr="00CB5050" w:rsidRDefault="00695AE2" w:rsidP="00695AE2">
      <w:pPr>
        <w:spacing w:line="240" w:lineRule="auto"/>
        <w:jc w:val="both"/>
        <w:rPr>
          <w:rFonts w:eastAsia="Calibri"/>
          <w:bCs/>
        </w:rPr>
      </w:pPr>
    </w:p>
    <w:p w14:paraId="5BC253EC" w14:textId="77777777" w:rsidR="00695AE2" w:rsidRPr="006D16C0" w:rsidRDefault="00695AE2" w:rsidP="00695AE2">
      <w:pPr>
        <w:pStyle w:val="Naslov4"/>
        <w:rPr>
          <w:szCs w:val="22"/>
        </w:rPr>
      </w:pPr>
      <w:bookmarkStart w:id="1261" w:name="_Toc223094169"/>
      <w:r w:rsidRPr="006D16C0">
        <w:lastRenderedPageBreak/>
        <w:t>Intervencija Republike Slovenije v postopku pred Splošnim sodiščem</w:t>
      </w:r>
      <w:bookmarkEnd w:id="1261"/>
    </w:p>
    <w:p w14:paraId="491A5954" w14:textId="77777777" w:rsidR="00695AE2" w:rsidRPr="00CB5050" w:rsidRDefault="00695AE2" w:rsidP="00695AE2">
      <w:pPr>
        <w:spacing w:line="240" w:lineRule="auto"/>
        <w:rPr>
          <w:rFonts w:eastAsia="Calibri"/>
          <w:color w:val="007466"/>
          <w:szCs w:val="22"/>
        </w:rPr>
      </w:pPr>
    </w:p>
    <w:p w14:paraId="12E1C821" w14:textId="77777777" w:rsidR="00695AE2" w:rsidRPr="00CB5050" w:rsidRDefault="00695AE2" w:rsidP="00695AE2">
      <w:pPr>
        <w:pStyle w:val="Naslov5"/>
        <w:rPr>
          <w:rFonts w:eastAsia="Calibri"/>
          <w:szCs w:val="22"/>
        </w:rPr>
      </w:pPr>
      <w:bookmarkStart w:id="1262" w:name="_Toc223094170"/>
      <w:r w:rsidRPr="00256503">
        <w:rPr>
          <w:i/>
          <w:iCs/>
          <w:lang w:eastAsia="sl-SI"/>
        </w:rPr>
        <w:t>Republika Avstrija proti Evropski komisiji</w:t>
      </w:r>
      <w:r w:rsidRPr="00CB5050">
        <w:rPr>
          <w:rFonts w:eastAsia="Calibri"/>
          <w:szCs w:val="22"/>
        </w:rPr>
        <w:t>, T-625/22</w:t>
      </w:r>
      <w:bookmarkStart w:id="1263" w:name="_Hlk221170204"/>
      <w:bookmarkStart w:id="1264" w:name="_Hlk124245786"/>
      <w:bookmarkEnd w:id="1262"/>
    </w:p>
    <w:p w14:paraId="7AC760F1" w14:textId="77777777" w:rsidR="00695AE2" w:rsidRPr="00CB5050" w:rsidRDefault="00695AE2" w:rsidP="00695AE2">
      <w:pPr>
        <w:spacing w:line="240" w:lineRule="auto"/>
        <w:jc w:val="both"/>
        <w:rPr>
          <w:rFonts w:eastAsia="Times New Roman"/>
          <w:color w:val="007466"/>
          <w:lang w:eastAsia="sl-SI"/>
        </w:rPr>
      </w:pPr>
    </w:p>
    <w:p w14:paraId="4DDEFE47"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Splošno sodišče je 10. septembra 2025 s sodbo odločilo o tožbi Republike Avstrije proti Evropski komisiji, s katero je Avstrija predlagala razglasitev ničnosti Delegirane uredbe Komisije (EU) 2022/1214 z dne 9. marca 2022 o spremembi Delegirane uredbe (EU) 2021/2139 glede gospodarskih dejavnosti v nekaterih energetskih sektorjih in Delegirane uredbe (EU) 2021/2178 glede posebnih javnih razkritij za te gospodarske dejavnosti. Republika Slovenija je v navedeni zadevi nastopila kot intervenientka na strani tožene stranke in vložila pisno vlogo, s katero je podprla Komisijo. Toženo stranko je poleg Slovenije podprlo še 8 drugih držav članic (Bolgarija, Češka, Finska, Francija, Madžarska, Poljska, Romunija in Slovaška), medtem ko je Avstrijo podprla ena država članica EU, in sicer Luksemburg.</w:t>
      </w:r>
    </w:p>
    <w:p w14:paraId="7ECDC607" w14:textId="77777777" w:rsidR="00695AE2" w:rsidRPr="00CB5050" w:rsidRDefault="00695AE2" w:rsidP="00695AE2">
      <w:pPr>
        <w:spacing w:line="240" w:lineRule="auto"/>
        <w:jc w:val="both"/>
        <w:rPr>
          <w:rFonts w:eastAsia="Times New Roman"/>
          <w:bCs/>
          <w:lang w:eastAsia="sl-SI"/>
        </w:rPr>
      </w:pPr>
    </w:p>
    <w:p w14:paraId="3732EB63" w14:textId="77777777" w:rsidR="00695AE2" w:rsidRPr="00CB5050" w:rsidRDefault="00695AE2" w:rsidP="00695AE2">
      <w:pPr>
        <w:spacing w:line="240" w:lineRule="auto"/>
        <w:jc w:val="both"/>
        <w:rPr>
          <w:rFonts w:eastAsia="Times New Roman"/>
          <w:bCs/>
          <w:lang w:eastAsia="sl-SI"/>
        </w:rPr>
      </w:pPr>
      <w:r w:rsidRPr="00CB5050">
        <w:rPr>
          <w:rFonts w:eastAsia="Times New Roman"/>
          <w:bCs/>
          <w:lang w:eastAsia="sl-SI"/>
        </w:rPr>
        <w:t xml:space="preserve">Avstrija je v tožbi navajala, da izpodbijana delegirana uredba omogoča uvrstitev gospodarskih dejavnosti v sektorjih fosilnih plinastih goriv in jedrske energije med okoljsko trajnostne v smislu Uredbe (EU) 2020/852 o vzpostavitvi okvira za spodbujanje trajnostnih naložb ter spremembi Uredbe (EU) 2019/2088 (uredba o taksonomiji). Avstrija temu nasprotuje in je v tožbi navedla 16 tožbenih razlogov, od katerih se jih osem nanaša na jedrsko energijo, osem pa na fosilni plin. </w:t>
      </w:r>
    </w:p>
    <w:p w14:paraId="377CFDB9" w14:textId="77777777" w:rsidR="00695AE2" w:rsidRPr="00CB5050" w:rsidRDefault="00695AE2" w:rsidP="00695AE2">
      <w:pPr>
        <w:spacing w:line="240" w:lineRule="auto"/>
        <w:jc w:val="both"/>
        <w:rPr>
          <w:rFonts w:eastAsia="Times New Roman"/>
          <w:bCs/>
          <w:lang w:eastAsia="sl-SI"/>
        </w:rPr>
      </w:pPr>
    </w:p>
    <w:p w14:paraId="511E63FE" w14:textId="77777777" w:rsidR="00695AE2" w:rsidRPr="00CB5050" w:rsidRDefault="00695AE2" w:rsidP="00695AE2">
      <w:pPr>
        <w:spacing w:line="240" w:lineRule="auto"/>
        <w:jc w:val="both"/>
        <w:rPr>
          <w:rFonts w:eastAsia="Calibri"/>
          <w:bCs/>
        </w:rPr>
      </w:pPr>
      <w:r w:rsidRPr="00CB5050">
        <w:rPr>
          <w:rFonts w:eastAsia="Times New Roman"/>
          <w:bCs/>
          <w:lang w:eastAsia="sl-SI"/>
        </w:rPr>
        <w:t>Sodišče je zavrnilo vse očitke Avstrije. Menilo</w:t>
      </w:r>
      <w:r w:rsidRPr="00CB5050">
        <w:rPr>
          <w:rFonts w:eastAsia="Calibri"/>
          <w:bCs/>
        </w:rPr>
        <w:t xml:space="preserve"> je, da se je Komisija ob sprejetju izpodbijane uredbe lahko veljavno oprla na strokovne ocene, opravljene za Delegirano uredbo 2021/2139, in ji ni bilo treba opraviti dodatne in specifične ocene učinka ter posvetovanja z javnostjo. Določitev gospodarskih dejavnosti kot takih in določitev tehničnih meril za pregled za vsako gospodarsko dejavnost, s katero se izvajajo merila trajnosti, razen za fosilna goriva, ki so izrecno izključena, ne spadata med bistvene elemente te uredbe. Razlaga člena 10(2) uredbe o taksonomiji v skladu s Pariškim sporazumom potrjuje, da gospodarske dejavnosti na področju jedrske energije lahko pomenijo prehodne dejavnosti v smislu te določbe (tj. dejavnosti, za katere ni tehnološko in ekonomsko izvedljivih nizkoogljičnih alternativ in ki znatno prispevajo k blažitvi podnebnih sprememb s podpiranjem prehoda na podnebno nevtralno gospodarstvo v skladu s procesom za omejitev povečanja temperature na 1,5 °C nad predindustrijsko stopnjo). Komisija s tem, da je gospodarske dejavnosti na področju jedrske energije vključila v prehodne dejavnosti in določila tehnična merila za pregled za te dejavnosti, ni kršila niti previdnostnega načela, niti merila, da se ne škoduje bistveno kateremu od drugih okoljskih ciljev. Splošno sodišče je zavrnilo tudi vse očitke, ki so se nanašali na fosilni plin.</w:t>
      </w:r>
    </w:p>
    <w:p w14:paraId="15EEF38C" w14:textId="77777777" w:rsidR="00695AE2" w:rsidRPr="00CB5050" w:rsidRDefault="00695AE2" w:rsidP="00695AE2">
      <w:pPr>
        <w:spacing w:line="240" w:lineRule="auto"/>
        <w:jc w:val="both"/>
        <w:rPr>
          <w:rFonts w:eastAsia="Calibri"/>
          <w:bCs/>
        </w:rPr>
      </w:pPr>
    </w:p>
    <w:p w14:paraId="0B020765" w14:textId="77777777" w:rsidR="00695AE2" w:rsidRPr="00CB5050" w:rsidRDefault="00695AE2" w:rsidP="00695AE2">
      <w:pPr>
        <w:spacing w:line="240" w:lineRule="auto"/>
        <w:jc w:val="both"/>
        <w:rPr>
          <w:rFonts w:eastAsia="Times New Roman"/>
          <w:b/>
          <w:lang w:eastAsia="sl-SI"/>
        </w:rPr>
      </w:pPr>
      <w:r w:rsidRPr="00CB5050">
        <w:rPr>
          <w:rFonts w:eastAsia="Calibri"/>
          <w:bCs/>
        </w:rPr>
        <w:t xml:space="preserve">Avstrija je proti sodbi Splošnega sodišča vložila pritožbo, o kateri bo odločalo Sodišče. </w:t>
      </w:r>
    </w:p>
    <w:bookmarkEnd w:id="1263"/>
    <w:p w14:paraId="67E276BF" w14:textId="77777777" w:rsidR="00695AE2" w:rsidRPr="00CB5050" w:rsidRDefault="00695AE2" w:rsidP="00695AE2">
      <w:pPr>
        <w:spacing w:line="240" w:lineRule="auto"/>
        <w:rPr>
          <w:rFonts w:eastAsia="Calibri"/>
          <w:sz w:val="36"/>
          <w:szCs w:val="36"/>
        </w:rPr>
      </w:pPr>
    </w:p>
    <w:p w14:paraId="75F25B0B" w14:textId="77777777" w:rsidR="00695AE2" w:rsidRDefault="00695AE2" w:rsidP="00D8438A">
      <w:pPr>
        <w:pStyle w:val="Naslov1"/>
        <w:ind w:left="0" w:firstLine="0"/>
        <w:rPr>
          <w:rFonts w:eastAsia="Aptos"/>
        </w:rPr>
      </w:pPr>
      <w:bookmarkStart w:id="1265" w:name="_Toc223094171"/>
      <w:bookmarkEnd w:id="1264"/>
      <w:r w:rsidRPr="00697CFF">
        <w:rPr>
          <w:rFonts w:eastAsia="Aptos"/>
        </w:rPr>
        <w:t>STRATEŠKE USMERITVE ZA NADALJNJE DELO DRŽAVNEGA ODVETNIŠTVA RS</w:t>
      </w:r>
      <w:bookmarkEnd w:id="1265"/>
    </w:p>
    <w:p w14:paraId="6152C92A" w14:textId="77777777" w:rsidR="00D8438A" w:rsidRPr="00D8438A" w:rsidRDefault="00D8438A" w:rsidP="00D8438A">
      <w:pPr>
        <w:rPr>
          <w:sz w:val="36"/>
          <w:szCs w:val="36"/>
        </w:rPr>
      </w:pPr>
    </w:p>
    <w:p w14:paraId="4CA68237" w14:textId="77777777" w:rsidR="00A374F3" w:rsidRPr="00FF37CC" w:rsidRDefault="00A374F3" w:rsidP="00D8438A">
      <w:pPr>
        <w:pStyle w:val="Naslov2"/>
        <w:numPr>
          <w:ilvl w:val="0"/>
          <w:numId w:val="0"/>
        </w:numPr>
      </w:pPr>
      <w:bookmarkStart w:id="1266" w:name="_Toc33769161"/>
      <w:bookmarkStart w:id="1267" w:name="_Toc65590108"/>
      <w:bookmarkStart w:id="1268" w:name="_Toc97639920"/>
      <w:bookmarkStart w:id="1269" w:name="_Toc223094172"/>
      <w:r w:rsidRPr="00FF37CC">
        <w:lastRenderedPageBreak/>
        <w:t>3.1 Poslanstvo Državnega odvetništva RS</w:t>
      </w:r>
      <w:bookmarkEnd w:id="1266"/>
      <w:bookmarkEnd w:id="1267"/>
      <w:bookmarkEnd w:id="1268"/>
      <w:r w:rsidRPr="00FF37CC">
        <w:t xml:space="preserve"> kot temelj strateških usmeritev za njegovo nadaljnje delo</w:t>
      </w:r>
      <w:bookmarkEnd w:id="1269"/>
    </w:p>
    <w:p w14:paraId="2ADE6381" w14:textId="77777777" w:rsidR="00A374F3" w:rsidRPr="00D8438A" w:rsidRDefault="00A374F3" w:rsidP="00A374F3">
      <w:pPr>
        <w:spacing w:line="240" w:lineRule="auto"/>
        <w:jc w:val="both"/>
        <w:rPr>
          <w:sz w:val="32"/>
          <w:szCs w:val="32"/>
        </w:rPr>
      </w:pPr>
    </w:p>
    <w:p w14:paraId="309C1871" w14:textId="77777777" w:rsidR="00A374F3" w:rsidRPr="00A374F3" w:rsidRDefault="00A374F3" w:rsidP="00A374F3">
      <w:pPr>
        <w:spacing w:line="240" w:lineRule="auto"/>
        <w:jc w:val="both"/>
      </w:pPr>
      <w:r w:rsidRPr="00A374F3">
        <w:t xml:space="preserve">Poslanstvo Državnega odvetništva RS in s tem tudi posameznega državnega odvetnika je lepo povzeto v prisegi, ki jo izreče državni odvetnik pred ministrom za pravosodje pred nastopom dela in ki glasi: »Prisegam, da bom svoje delo opravljal/-a vestno, pošteno in odgovorno, v skladu z ustavo in zakoni ter pri tem varoval/-a premoženjske in ustavne interese Republike Slovenije, javni interes, ter ugled države in državnega odvetništva«. </w:t>
      </w:r>
    </w:p>
    <w:p w14:paraId="6F6272F3" w14:textId="77777777" w:rsidR="00A374F3" w:rsidRPr="00A374F3" w:rsidRDefault="00A374F3" w:rsidP="00A374F3">
      <w:pPr>
        <w:spacing w:line="240" w:lineRule="auto"/>
        <w:jc w:val="both"/>
      </w:pPr>
    </w:p>
    <w:p w14:paraId="2EE0D48E" w14:textId="77777777" w:rsidR="00A374F3" w:rsidRPr="00A374F3" w:rsidRDefault="00A374F3" w:rsidP="00A374F3">
      <w:pPr>
        <w:spacing w:line="240" w:lineRule="auto"/>
        <w:jc w:val="both"/>
      </w:pPr>
      <w:r w:rsidRPr="00A374F3">
        <w:t xml:space="preserve">Na tej zavezi temeljijo tudi vizija in strateške usmeritve Državnega odvetništva RS za prihodnost. Državni odvetniki morajo biti in ostati zavzeti in kompetentni posamezniki, ki svoje poslanstvo uresničujejo odgovorno, strokovno, kvalitetno, transparentno in učinkovito. Najpomembnejše interese Republike Slovenije morajo varovati na najvišji ravni, kljub temu da se ti interesi udejanjajo v družbenem okolju, katerega razvoj je dinamičen, kompleksen in nepredvidljiv. </w:t>
      </w:r>
    </w:p>
    <w:p w14:paraId="0247243B" w14:textId="77777777" w:rsidR="00A374F3" w:rsidRPr="00A374F3" w:rsidRDefault="00A374F3" w:rsidP="00A374F3">
      <w:pPr>
        <w:spacing w:line="240" w:lineRule="auto"/>
        <w:jc w:val="both"/>
      </w:pPr>
    </w:p>
    <w:p w14:paraId="7E459A56" w14:textId="77777777" w:rsidR="00A374F3" w:rsidRPr="00A374F3" w:rsidRDefault="00A374F3" w:rsidP="00A374F3">
      <w:pPr>
        <w:spacing w:line="240" w:lineRule="auto"/>
        <w:jc w:val="both"/>
      </w:pPr>
      <w:r w:rsidRPr="00A374F3">
        <w:t>Vsebina in obseg zadev, ki jih vodi Državno odvetništvo RS, sta vselej odsev splošne družbene klime, razmerij v družbi, spoštovanja pravne države, kulture dialoga in splošnih demokratičnih pridobitev. Konflikti so v demokratičnih družbah pričakovani in so posledica pluralizma mnenj. Ta je v odprti družbi zaželen, saj vodi do boljših rešitev. Država iz konfliktnih oziroma spornih razmerij ni izvzeta, možnost pravičnega reševanja sporov z državo pa je vsekakor znak razvite družbe. Na področju odškodninskega prava je namreč včasih veljalo, da je odgovornost države oziroma vladarjev, ki so jih poosebljali, na podlagi te suverenosti nasproti prebivalcem izključena (od tod angleški izrek: »</w:t>
      </w:r>
      <w:r w:rsidRPr="00A374F3">
        <w:rPr>
          <w:i/>
          <w:iCs/>
        </w:rPr>
        <w:t>The King can do no wrong</w:t>
      </w:r>
      <w:r w:rsidRPr="00A374F3">
        <w:t xml:space="preserve">«), danes pa je načelo odškodninske odgovornosti države splošno sprejeto in si je težko zamisliti, da bi država v celoti izključila svojo odgovornost. Sprejeti je torej treba, da so nesporazumi, konflikti in sporna razmerja del družbene realnosti, kot tudi, da je v teh spornih razmerjih včasih vključena tudi država. </w:t>
      </w:r>
    </w:p>
    <w:p w14:paraId="4F3ECA35" w14:textId="77777777" w:rsidR="00A374F3" w:rsidRPr="00A374F3" w:rsidRDefault="00A374F3" w:rsidP="00A374F3">
      <w:pPr>
        <w:spacing w:line="240" w:lineRule="auto"/>
        <w:jc w:val="both"/>
      </w:pPr>
    </w:p>
    <w:p w14:paraId="36E0327D" w14:textId="77777777" w:rsidR="00A374F3" w:rsidRPr="00A374F3" w:rsidRDefault="00A374F3" w:rsidP="00A374F3">
      <w:pPr>
        <w:spacing w:line="240" w:lineRule="auto"/>
        <w:jc w:val="both"/>
      </w:pPr>
      <w:r w:rsidRPr="00A374F3">
        <w:t>Državno odvetništvo RS ima zelo pomembno nalogo pri reševanju spornih razmerij, katerih stranka je Republika Slovenija, čeprav na vsebino zadev, ki jih prejema v delo, praviloma ne more vplivati. Državne odvetnice in državni odvetniki si prizadevajo, da je v vsaki zadevi Državnega odvetništva RS, ki jo obravnavajo, izkazana visoka mera strokovnosti, da je argumentacija razumljiva in komunikacija z vsemi deležniki v postopku spoštljiva. Državni odvetniki se poleg tega zavedajo, da proti nasprotni stranki predstavljajo državo in da zato s svojim nastopom vplivajo tudi na ugled Republike Slovenije in Državnega odvetništva RS.</w:t>
      </w:r>
    </w:p>
    <w:p w14:paraId="51FDBA14" w14:textId="77777777" w:rsidR="00A374F3" w:rsidRPr="00A374F3" w:rsidRDefault="00A374F3" w:rsidP="00A374F3">
      <w:pPr>
        <w:spacing w:line="240" w:lineRule="auto"/>
        <w:jc w:val="both"/>
      </w:pPr>
    </w:p>
    <w:p w14:paraId="0DD874D9" w14:textId="404C4EC7" w:rsidR="00A374F3" w:rsidRPr="00A374F3" w:rsidRDefault="00A374F3" w:rsidP="00A374F3">
      <w:pPr>
        <w:spacing w:line="240" w:lineRule="auto"/>
        <w:jc w:val="both"/>
      </w:pPr>
      <w:r w:rsidRPr="00A374F3">
        <w:t>Kljub temu, da glavnina aktivnosti Državnega odvetništva RS predstavlja zastopanje Republike Slovenije pred najrazličnejšimi s</w:t>
      </w:r>
      <w:r w:rsidR="00653195">
        <w:t>o</w:t>
      </w:r>
      <w:r w:rsidRPr="00A374F3">
        <w:t xml:space="preserve">dišči in upravnimi organi, si Državno odvetništvo RS aktivno prizadeva, da se spori, kolikor je le mogoče, razrešijo že preden pridejo do sodišča, t. j. po mirni poti in izvensodno. V okviru poudarjene poravnalne funkcije si Državno odvetništvo RS tako prizadeva spore reševati že v predhodnih postopkih. A predpogoj za sporazum je soglasje volj subjektov, ki si stojita nasproti, in tega soglasja vselej žal ni mogoče doseči. Pričakovanja strank so različna, sodna praksa ni vselej enotna, razvoj družbenega življenja pa odpira vedno nove in nove situacije, do katerih se sodišče ali pravna stroka morda še nista opredelila. V teh </w:t>
      </w:r>
      <w:r w:rsidRPr="00A374F3">
        <w:lastRenderedPageBreak/>
        <w:t xml:space="preserve">primerih je včasih tudi zaželeno, da o sporu odloči sodišče in s tem morda olajša pot za mirno reševanje podobnih sporov v prihodnje.  </w:t>
      </w:r>
    </w:p>
    <w:p w14:paraId="44076BAB" w14:textId="77777777" w:rsidR="00A374F3" w:rsidRPr="00A374F3" w:rsidRDefault="00A374F3" w:rsidP="00A374F3">
      <w:pPr>
        <w:spacing w:line="240" w:lineRule="auto"/>
        <w:jc w:val="both"/>
      </w:pPr>
    </w:p>
    <w:p w14:paraId="6BBA59DB" w14:textId="77777777" w:rsidR="00A374F3" w:rsidRPr="00A374F3" w:rsidRDefault="00A374F3" w:rsidP="00A374F3">
      <w:pPr>
        <w:spacing w:line="240" w:lineRule="auto"/>
        <w:jc w:val="both"/>
      </w:pPr>
      <w:r w:rsidRPr="00A374F3">
        <w:t xml:space="preserve">Mirno reševanje sporov je del širše preventivne vloge Državnega odvetništva RS, ki z leti vsekakor pridobiva na pomenu. Državno odvetništvo RS je zato že v okviru zastopniške funkcije osredotočeno na iskanje rešitev, ki bi ne le pomagale razrešiti obstoječa sporna razmerja, ampak tudi ustvarjale okolje, v katerem je že samo tveganje za nastanek spora znižano na minimum. Državno odvetništvo RS zato redno opozarja predlagatelje predpisov na nekatere bolj ali manj posrečene zakonodajne rešitve ter na neustrezno prakso pravnega odločanja posameznih državnih organov, iz katere izvirajo preštevilni spori, ter nudi strokovno pomoč v obliki pravnih mnenj, povezanih z varstvom premoženjskih in drugih pravic in interesov Republike Slovenije. </w:t>
      </w:r>
    </w:p>
    <w:p w14:paraId="6716257C" w14:textId="77777777" w:rsidR="00A374F3" w:rsidRPr="00A374F3" w:rsidRDefault="00A374F3" w:rsidP="00A374F3">
      <w:pPr>
        <w:spacing w:line="240" w:lineRule="auto"/>
        <w:jc w:val="both"/>
      </w:pPr>
    </w:p>
    <w:p w14:paraId="57A8FADC" w14:textId="34039012" w:rsidR="00A374F3" w:rsidRPr="00A374F3" w:rsidRDefault="00A374F3" w:rsidP="00A374F3">
      <w:pPr>
        <w:spacing w:line="240" w:lineRule="auto"/>
        <w:jc w:val="both"/>
      </w:pPr>
      <w:r w:rsidRPr="00A374F3">
        <w:t xml:space="preserve">Tudi v letu 2025 je Državno odvetništvo RS nadaljevalo s prakso samoiniciativnega izdajanja priporočil za državne organe, ki jih zastopa po zakonu, in sicer v primerih, ko je zaznalo, da bi se z drugačnim ravnanjem lahko preprečilo nastanek spornih razmerij, zmanjšalo obstoječa tveganja ali optimiziralo delovanje konkretnega subjekta. Kljub dobrim odzivom subjektov, ki so naslovniki pravne pomoči, ki je pravzaprav niso pričakovali, pa si v teh primerih želimo še več konkretnejših povratnih informacij, ki nam bodo služile pri izpopolnjevanju pravnega svetovanja, ki ga nudimo prek izdaje priporočil. </w:t>
      </w:r>
    </w:p>
    <w:p w14:paraId="08ACAA95" w14:textId="77777777" w:rsidR="00A374F3" w:rsidRPr="00A374F3" w:rsidRDefault="00A374F3" w:rsidP="00A374F3">
      <w:pPr>
        <w:spacing w:line="240" w:lineRule="auto"/>
        <w:jc w:val="both"/>
      </w:pPr>
    </w:p>
    <w:p w14:paraId="6318D5BE" w14:textId="77777777" w:rsidR="00A374F3" w:rsidRPr="00A374F3" w:rsidRDefault="00A374F3" w:rsidP="00A374F3">
      <w:pPr>
        <w:spacing w:line="240" w:lineRule="auto"/>
        <w:jc w:val="both"/>
      </w:pPr>
      <w:r w:rsidRPr="00A374F3">
        <w:t xml:space="preserve">Državno odvetništvo RS se pogosto, tudi na lastno iniciativo, vključuje tudi v delovne skupine državnih organov, pogosto resornih ministrstev, v okviru katerih prispeva k oblikovanju rešitev s svojimi izkušnjami in strokovnim znanjem, ki temeljijo na velikem številu postopkov, v katerih državni odvetniki zastopajo Republiko Slovenijo. Tovrsten angažma je ena od oblik izvrševanja preventivne funkcije Državnega odvetništva RS, ki ji bo tudi v prihodnje namenjeno precej pozornosti.   </w:t>
      </w:r>
    </w:p>
    <w:p w14:paraId="4ACCBC08" w14:textId="77777777" w:rsidR="00A374F3" w:rsidRPr="006D16C0" w:rsidRDefault="00A374F3" w:rsidP="00A374F3">
      <w:pPr>
        <w:spacing w:line="240" w:lineRule="auto"/>
        <w:jc w:val="both"/>
        <w:rPr>
          <w:sz w:val="32"/>
          <w:szCs w:val="32"/>
        </w:rPr>
      </w:pPr>
    </w:p>
    <w:p w14:paraId="2B5648DD" w14:textId="77777777" w:rsidR="00A374F3" w:rsidRPr="00FF37CC" w:rsidRDefault="00A374F3" w:rsidP="00FF37CC">
      <w:pPr>
        <w:pStyle w:val="Naslov2"/>
        <w:numPr>
          <w:ilvl w:val="0"/>
          <w:numId w:val="0"/>
        </w:numPr>
        <w:ind w:left="576" w:hanging="576"/>
      </w:pPr>
      <w:bookmarkStart w:id="1270" w:name="_Toc223094173"/>
      <w:r w:rsidRPr="00FF37CC">
        <w:t>3.2 Vizija Državnega odvetništva RS</w:t>
      </w:r>
      <w:bookmarkEnd w:id="1270"/>
      <w:r w:rsidRPr="00FF37CC">
        <w:t xml:space="preserve"> </w:t>
      </w:r>
    </w:p>
    <w:p w14:paraId="2836047A" w14:textId="77777777" w:rsidR="00A374F3" w:rsidRPr="00D8438A" w:rsidRDefault="00A374F3" w:rsidP="00A374F3">
      <w:pPr>
        <w:spacing w:line="240" w:lineRule="auto"/>
        <w:rPr>
          <w:rFonts w:eastAsia="Times New Roman"/>
          <w:sz w:val="32"/>
          <w:szCs w:val="32"/>
          <w:lang w:eastAsia="sl-SI"/>
        </w:rPr>
      </w:pPr>
    </w:p>
    <w:p w14:paraId="3B568D05" w14:textId="77777777" w:rsidR="00A374F3" w:rsidRPr="00A374F3" w:rsidRDefault="00A374F3" w:rsidP="00A374F3">
      <w:pPr>
        <w:spacing w:line="240" w:lineRule="auto"/>
        <w:jc w:val="both"/>
        <w:rPr>
          <w:rFonts w:eastAsia="Calibri"/>
        </w:rPr>
      </w:pPr>
      <w:r w:rsidRPr="00A374F3">
        <w:rPr>
          <w:rFonts w:eastAsia="Calibri"/>
        </w:rPr>
        <w:t xml:space="preserve">Vizija Državnega odvetništva RS temelji na dveh ključnih elementih, in sicer na instituciji in na ljudeh, ki izvajajo njene pristojnosti. </w:t>
      </w:r>
    </w:p>
    <w:p w14:paraId="026CC459" w14:textId="77777777" w:rsidR="00A374F3" w:rsidRPr="00A374F3" w:rsidRDefault="00A374F3" w:rsidP="00A374F3">
      <w:pPr>
        <w:spacing w:line="240" w:lineRule="auto"/>
        <w:jc w:val="both"/>
        <w:rPr>
          <w:rFonts w:eastAsia="Calibri"/>
        </w:rPr>
      </w:pPr>
    </w:p>
    <w:p w14:paraId="21B54168" w14:textId="77777777" w:rsidR="00A374F3" w:rsidRPr="00A374F3" w:rsidRDefault="00A374F3" w:rsidP="00A374F3">
      <w:pPr>
        <w:spacing w:line="240" w:lineRule="auto"/>
        <w:jc w:val="both"/>
        <w:rPr>
          <w:rFonts w:eastAsia="Calibri"/>
        </w:rPr>
      </w:pPr>
      <w:r w:rsidRPr="00A374F3">
        <w:rPr>
          <w:rFonts w:eastAsia="Calibri"/>
        </w:rPr>
        <w:t>Državno odvetništvo RS je državni organ z nekaterimi izključnimi in oblastnimi pristojnostmi na področju pravosodja. Učinkovito izvajanje njegovih pristojnosti terja, da je kot državni organ vpeto v stabilno okolje, da je sistemsko ustrezno umeščeno in da ima za opravljanje svojih pristojnosti tudi ustrezno opolnomočenje in podporo v predpisih, ki urejajo njegovo delovanje. V tem oziru je vizija Državnega odvetništva RS jasna, aktivnosti v tej smeri pa je Državno odvetništvo RS v preteklih letih izvršilo v največjem možnem obsegu in reformo svojega institucionalnega okvira v sodelovanju z Ministrstvom za pravosodje pripeljalo do že zelo izdelanih vsebinskih rešitev. Ker je uresničitev tega dela vizije v celoti v veliki meri odvisna od odločevalcev, se Državno odvetništvo RS nadeja, da se bodo aktivnosti in dialog v smeri zastavljenih ciljev nadaljevali tudi v prihodnje.</w:t>
      </w:r>
    </w:p>
    <w:p w14:paraId="419AF9AA" w14:textId="77777777" w:rsidR="00A374F3" w:rsidRPr="00A374F3" w:rsidRDefault="00A374F3" w:rsidP="00A374F3">
      <w:pPr>
        <w:spacing w:line="240" w:lineRule="auto"/>
        <w:jc w:val="both"/>
        <w:rPr>
          <w:rFonts w:eastAsia="Calibri"/>
        </w:rPr>
      </w:pPr>
    </w:p>
    <w:p w14:paraId="7168D927" w14:textId="77777777" w:rsidR="00A374F3" w:rsidRPr="00A374F3" w:rsidRDefault="00A374F3" w:rsidP="00A374F3">
      <w:pPr>
        <w:spacing w:line="240" w:lineRule="auto"/>
        <w:jc w:val="both"/>
        <w:rPr>
          <w:rFonts w:eastAsia="Calibri"/>
        </w:rPr>
      </w:pPr>
      <w:r w:rsidRPr="00A374F3">
        <w:rPr>
          <w:rFonts w:eastAsia="Calibri"/>
        </w:rPr>
        <w:t xml:space="preserve">V vmesnem obdobju in tudi v prihodnje pa bo Državno odvetništvo RS zagotavljalo, da so njegove pristojnosti v največji možni meri izvršene upoštevaje aktualni normativni okvir </w:t>
      </w:r>
      <w:r w:rsidRPr="00A374F3">
        <w:rPr>
          <w:rFonts w:eastAsia="Calibri"/>
        </w:rPr>
        <w:lastRenderedPageBreak/>
        <w:t xml:space="preserve">delovanja. Uresničitev te odgovornosti, ki je vsekakor ključen del vizije za prihodnje, pa seveda v največji meri temelji na ljudeh, ki so nosilci pristojnosti Državnega odvetništva RS, to je državnih odvetnicah in državnih odvetnikih, prav tako pa na podpornem kadru, ki jim pri tem nudi vso potrebno administrativno in tehnično podporo.  </w:t>
      </w:r>
    </w:p>
    <w:p w14:paraId="5E5FAAAC" w14:textId="77777777" w:rsidR="00A374F3" w:rsidRPr="00A374F3" w:rsidRDefault="00A374F3" w:rsidP="00A374F3">
      <w:pPr>
        <w:spacing w:line="240" w:lineRule="auto"/>
        <w:jc w:val="both"/>
        <w:rPr>
          <w:rFonts w:eastAsia="Calibri"/>
        </w:rPr>
      </w:pPr>
    </w:p>
    <w:p w14:paraId="17236BEB" w14:textId="77777777" w:rsidR="00A374F3" w:rsidRPr="00A374F3" w:rsidRDefault="00A374F3" w:rsidP="00A374F3">
      <w:pPr>
        <w:spacing w:line="240" w:lineRule="auto"/>
        <w:jc w:val="both"/>
        <w:rPr>
          <w:rFonts w:eastAsia="Calibri"/>
        </w:rPr>
      </w:pPr>
      <w:r w:rsidRPr="00A374F3">
        <w:rPr>
          <w:rFonts w:eastAsia="Calibri"/>
        </w:rPr>
        <w:t xml:space="preserve">Državni odvetniki bodo zato tudi v prihodnje vrhunski pravni strokovnjaki, odzivni na spremembe v pravni stroki in aktivni soustvarjalci sodne prakse, pravne znanosti in zakonodajnih izboljšav. Njihove vrednote bodo ostale odgovornost, predanost, samorefleksija, učinkovitost, inovativnost, ustvarjalnost, pozitivna naravnanost, poštenost, verodostojnost, spoštovanje in sodelovanje. Primarna aktivnost državnih odvetnic in državnih odvetnikov bo tudi v prihodnje usmerjena v čim bolj učinkovito reševanje sporov in v pravno svetovanje, ki bo državi pomagalo pri sklepanju stabilnih pravnih poslov, v katerih bodo lahko v največji meri uresničeni javni interes, javnofinančna stabilnost in načela pravne države. Državne odvetnice in odvetniki bodo obenem vešči in napredni uporabniki informacijskih rešitev pri svojem delu. Svoje delo bodo lahko opravljali vse bolj krajevno neodvisno, s pomočjo tehnoloških rešitev pa bodo lahko nemoteno, hitro in preprosto dostopali do vseh virov (spisov, internih zbirk podatkov, javnih zbirk podatkov ipd.), potrebnih za svoje delo. Pri pripravi dokumentov si bodo pomagali z učinkovitimi, uporabnikom prijaznimi informacijskimi rešitvami, medtem ko jim bosta umetna inteligenca in obsežna notranja podatkovna zbirka pravne prakse za njihovo področje dela v veliko pomoč pri učinkovitejšemu in hitrejšemu reševanju zadev. </w:t>
      </w:r>
    </w:p>
    <w:p w14:paraId="44EFCB45" w14:textId="77777777" w:rsidR="00A374F3" w:rsidRPr="00A374F3" w:rsidRDefault="00A374F3" w:rsidP="00A374F3">
      <w:pPr>
        <w:autoSpaceDE w:val="0"/>
        <w:autoSpaceDN w:val="0"/>
        <w:adjustRightInd w:val="0"/>
        <w:spacing w:line="240" w:lineRule="auto"/>
        <w:jc w:val="both"/>
        <w:rPr>
          <w:rFonts w:eastAsia="Calibri"/>
        </w:rPr>
      </w:pPr>
    </w:p>
    <w:p w14:paraId="3E55F90C" w14:textId="77777777" w:rsidR="00A374F3" w:rsidRPr="00A374F3" w:rsidRDefault="00A374F3" w:rsidP="00A374F3">
      <w:pPr>
        <w:autoSpaceDE w:val="0"/>
        <w:autoSpaceDN w:val="0"/>
        <w:adjustRightInd w:val="0"/>
        <w:spacing w:line="240" w:lineRule="auto"/>
        <w:jc w:val="both"/>
        <w:rPr>
          <w:rFonts w:eastAsia="Calibri"/>
        </w:rPr>
      </w:pPr>
      <w:r w:rsidRPr="00A374F3">
        <w:rPr>
          <w:rFonts w:eastAsia="Calibri"/>
        </w:rPr>
        <w:t xml:space="preserve">Učinkovitejši procesi dela in poslovanja so v veliki meri odvisni od uspešnega uvajanja naprednih informacijskih rešitev v poslovno okolje. Državno odvetništvo RS tudi na področju informacijske tehnologije deluje kot samostojen organ in bo tudi v prihodnje aktivno spremljalo, preizkušalo ter v svoje poslovanje uvajalo informacijske rešitve, ki bodo vselej primarno zadostile zahtevanim standardom na področju informacijske varnosti ter varnosti osebnih in drugih občutljivih podatkov. Z digitalizacijo poslovnih procesov, okrepljeno in optimalno razporeditvijo človeških in finančnih virov ter z opolnomočenjem vseh zaposlenih z digitalnimi in drugimi potrebnimi kompetencami notranjim in zunanjim uporabnikom (državni organi, državljani in podjetja) Državno odvetništvo RS v vse večji meri zagotavlja učinkovite, varne in uporabniku prijazne digitalne rešitve, ki omogočajo učinkovito delo na delovnem mestu in na daljavo, v tej smeri pa bodo aktivnosti potekale tudi v prihodnje. </w:t>
      </w:r>
    </w:p>
    <w:p w14:paraId="0340192E" w14:textId="77777777" w:rsidR="00A374F3" w:rsidRPr="00A374F3" w:rsidRDefault="00A374F3" w:rsidP="00A374F3">
      <w:pPr>
        <w:autoSpaceDE w:val="0"/>
        <w:autoSpaceDN w:val="0"/>
        <w:adjustRightInd w:val="0"/>
        <w:spacing w:line="240" w:lineRule="auto"/>
        <w:jc w:val="both"/>
        <w:rPr>
          <w:rFonts w:eastAsia="Calibri"/>
        </w:rPr>
      </w:pPr>
    </w:p>
    <w:p w14:paraId="4D12A8B1" w14:textId="77777777" w:rsidR="00A374F3" w:rsidRPr="00A374F3" w:rsidRDefault="00A374F3" w:rsidP="00A374F3">
      <w:pPr>
        <w:autoSpaceDE w:val="0"/>
        <w:autoSpaceDN w:val="0"/>
        <w:adjustRightInd w:val="0"/>
        <w:spacing w:line="240" w:lineRule="auto"/>
        <w:jc w:val="both"/>
        <w:rPr>
          <w:rFonts w:eastAsia="Calibri"/>
        </w:rPr>
      </w:pPr>
      <w:r w:rsidRPr="00A374F3">
        <w:rPr>
          <w:rFonts w:eastAsia="Calibri"/>
        </w:rPr>
        <w:t xml:space="preserve">Digitalizacija pa je lahko le dopolnilo in orodje človeškega dela in strokovnosti. Substrat Državnega odvetništva je človek, vpet v tim. Predanost, odgovornost in ostale vrednote  se krepijo z medsebojnim sodelovanjem, delom v delovnih skupinah, rednimi tedenskimi srečanji vodij oddelkov, mesečnimi kolegiji, dostopnostjo informacij o delu Državnega odvetništva RS na Intranetu in prenašanjem znanja na mlajše kadre. Ne gre zanemariti tudi pomena prijetnega delovnega okolja in dobrih medsebojnih odnosov. V okviru promocije zdravja pri delu se bodo zato tudi v prihodnje spodbujale aktivnosti, ki zaposlene povezujejo v skrbi za zdravje in omogočajo tudi boljše medsebojno poznavanje. </w:t>
      </w:r>
    </w:p>
    <w:p w14:paraId="5FDE63DF" w14:textId="77777777" w:rsidR="00A374F3" w:rsidRPr="00A374F3" w:rsidRDefault="00A374F3" w:rsidP="00A374F3">
      <w:pPr>
        <w:autoSpaceDE w:val="0"/>
        <w:autoSpaceDN w:val="0"/>
        <w:adjustRightInd w:val="0"/>
        <w:spacing w:line="240" w:lineRule="auto"/>
        <w:jc w:val="both"/>
        <w:rPr>
          <w:rFonts w:eastAsia="Calibri"/>
        </w:rPr>
      </w:pPr>
    </w:p>
    <w:p w14:paraId="71AA3D1F" w14:textId="77777777" w:rsidR="00A374F3" w:rsidRPr="00A374F3" w:rsidRDefault="00A374F3" w:rsidP="00A374F3">
      <w:pPr>
        <w:autoSpaceDE w:val="0"/>
        <w:autoSpaceDN w:val="0"/>
        <w:adjustRightInd w:val="0"/>
        <w:spacing w:line="240" w:lineRule="auto"/>
        <w:jc w:val="both"/>
        <w:rPr>
          <w:rFonts w:eastAsia="Calibri"/>
        </w:rPr>
      </w:pPr>
      <w:r w:rsidRPr="00A374F3">
        <w:rPr>
          <w:rFonts w:eastAsia="Calibri"/>
        </w:rPr>
        <w:t xml:space="preserve">Predpogoj za dobre medosebne odnose in učinkovito izvajanje pristojnosti je zagotovo tudi stabilno delovno okolje. Državno odvetništvo RS bo zato nadaljevalo z že večkrat omenjenimi prizadevanji za utrditev institucionalnega okvira svojega delovanja prek reforme matičnega zakona. Namen te je vsekakor tudi odprava oziroma največje možno zmanjšanje razlik med </w:t>
      </w:r>
      <w:r w:rsidRPr="00A374F3">
        <w:rPr>
          <w:rFonts w:eastAsia="Calibri"/>
        </w:rPr>
        <w:lastRenderedPageBreak/>
        <w:t xml:space="preserve">zaposlenimi, ki opravljajo enako delo in ki so nastale kot posledica ZDOdv ter nezdružljivosti ureditve, ki jo vsebuje, s cilji plačne reforme, ki je stopila v veljavo v letu 2025. </w:t>
      </w:r>
    </w:p>
    <w:p w14:paraId="2AF7C9AC" w14:textId="77777777" w:rsidR="00A374F3" w:rsidRPr="00A374F3" w:rsidRDefault="00A374F3" w:rsidP="00A374F3">
      <w:pPr>
        <w:autoSpaceDE w:val="0"/>
        <w:autoSpaceDN w:val="0"/>
        <w:adjustRightInd w:val="0"/>
        <w:spacing w:line="240" w:lineRule="auto"/>
        <w:jc w:val="both"/>
        <w:rPr>
          <w:rFonts w:eastAsia="Calibri"/>
        </w:rPr>
      </w:pPr>
    </w:p>
    <w:p w14:paraId="7F008540" w14:textId="77777777" w:rsidR="00A374F3" w:rsidRPr="00A374F3" w:rsidRDefault="00A374F3" w:rsidP="00A374F3">
      <w:pPr>
        <w:autoSpaceDE w:val="0"/>
        <w:autoSpaceDN w:val="0"/>
        <w:adjustRightInd w:val="0"/>
        <w:spacing w:line="240" w:lineRule="auto"/>
        <w:jc w:val="both"/>
        <w:rPr>
          <w:rFonts w:eastAsia="Calibri"/>
        </w:rPr>
      </w:pPr>
      <w:r w:rsidRPr="00A374F3">
        <w:rPr>
          <w:rFonts w:eastAsia="Calibri"/>
        </w:rPr>
        <w:t xml:space="preserve">Le okolje, v katerem so enake obremenitve enako vrednotene, v katerem se spodbuja prevzemanje odgovornosti v primeru napak in v katerem so presežni rezultati in samoiniciativnost opaženi in nagrajeni, lahko tudi v prihodnje vodi do dobrih rezultatov poslovanja Državnega odvetništva RS, v nove in izvirne pravne rešitve in v željo po še večjem angažmaju državnih odvetnic in odvetnikov v strokovni javnosti. Takšno delovno okolje in delovanje je tudi garant ugleda, toliko bolj, če ga spremlja premišljena medijska pojavnost in obveščanje javnosti o delu Državnega odvetništva RS. Državno odvetništvo RS bo zato tudi v prihodnje prek strokovnih sodelovanj s pravnimi fakultetami sodelovalo s predavanji ter prek srečanj, okroglih miz ter sodelovanj na informativnih dnevih pravnih fakultet nagovarjalo mlade perspektivne pravnike. Državno odvetništvo RS bo v medijih in v strokovni javnosti še naprej predstavljalo podatke o svojem delovanju in, kolikor bo vsebina konkretnih zadev to dopuščala, poročalo tudi o poteku in izidu posameznih zadev. </w:t>
      </w:r>
    </w:p>
    <w:p w14:paraId="5204EA2D" w14:textId="77777777" w:rsidR="00A374F3" w:rsidRPr="00A374F3" w:rsidRDefault="00A374F3" w:rsidP="00A374F3">
      <w:pPr>
        <w:autoSpaceDE w:val="0"/>
        <w:autoSpaceDN w:val="0"/>
        <w:adjustRightInd w:val="0"/>
        <w:spacing w:line="240" w:lineRule="auto"/>
        <w:jc w:val="both"/>
        <w:rPr>
          <w:rFonts w:eastAsia="Calibri"/>
        </w:rPr>
      </w:pPr>
    </w:p>
    <w:p w14:paraId="219898FD" w14:textId="0323F73D" w:rsidR="00A374F3" w:rsidRPr="00A374F3" w:rsidRDefault="00A374F3" w:rsidP="00A374F3">
      <w:pPr>
        <w:autoSpaceDE w:val="0"/>
        <w:autoSpaceDN w:val="0"/>
        <w:adjustRightInd w:val="0"/>
        <w:spacing w:line="240" w:lineRule="auto"/>
        <w:jc w:val="both"/>
        <w:rPr>
          <w:rFonts w:eastAsia="Calibri"/>
        </w:rPr>
      </w:pPr>
      <w:r w:rsidRPr="00A374F3">
        <w:rPr>
          <w:rFonts w:eastAsia="Calibri"/>
        </w:rPr>
        <w:t>Državno odvetništvo RS si bo prizadevalo, da je zgoraj opisana vizija v prihodnjih letih uresničena v največjem možnem obsegu, ponovno pa velja poudariti, da rezultat ni v celoti odvisen le od njegovih aktivnosti in da zato tudi ni časovno</w:t>
      </w:r>
      <w:r w:rsidR="00653195">
        <w:rPr>
          <w:rFonts w:eastAsia="Calibri"/>
        </w:rPr>
        <w:t xml:space="preserve"> predvidljiv</w:t>
      </w:r>
      <w:r w:rsidRPr="00A374F3">
        <w:rPr>
          <w:rFonts w:eastAsia="Calibri"/>
        </w:rPr>
        <w:t>. Državno odvetništvo RS zato pričakuje, da bodo organi in odločevalci, ki lahko v okviru svojih pristojnosti vplivajo na delovanje Državnega odvetništva RS in njegove vizije, tudi v prihodnje konstruktivni sogovorniki in predvsem, da jih bosta pri sodelovanju z Državnim odvetništvom RS in pri odzivu na njegove pobude vodila državotvorni interes in zavedanje, da je namen uresničevanja vizije Državnega odvetništva RS predvsem ustvarjanje stabilnega, strokovnega in odgovornega branika pravne države.</w:t>
      </w:r>
    </w:p>
    <w:p w14:paraId="75E46E4F" w14:textId="25C248AA" w:rsidR="00A374F3" w:rsidRPr="00FF37CC" w:rsidRDefault="00A374F3" w:rsidP="00FF37CC">
      <w:pPr>
        <w:pStyle w:val="Naslov2"/>
        <w:numPr>
          <w:ilvl w:val="0"/>
          <w:numId w:val="0"/>
        </w:numPr>
        <w:ind w:left="576" w:hanging="576"/>
        <w:rPr>
          <w:lang w:eastAsia="sl-SI"/>
        </w:rPr>
      </w:pPr>
      <w:bookmarkStart w:id="1271" w:name="_Toc223094174"/>
      <w:r w:rsidRPr="00FF37CC">
        <w:rPr>
          <w:lang w:eastAsia="sl-SI"/>
        </w:rPr>
        <w:t>3.3</w:t>
      </w:r>
      <w:r w:rsidR="00FF37CC">
        <w:rPr>
          <w:lang w:eastAsia="sl-SI"/>
        </w:rPr>
        <w:t xml:space="preserve"> </w:t>
      </w:r>
      <w:r w:rsidRPr="00FF37CC">
        <w:rPr>
          <w:lang w:eastAsia="sl-SI"/>
        </w:rPr>
        <w:t>Strateški cilji</w:t>
      </w:r>
      <w:bookmarkEnd w:id="1271"/>
    </w:p>
    <w:p w14:paraId="5768BB5E" w14:textId="77777777" w:rsidR="00A374F3" w:rsidRPr="00D8438A" w:rsidRDefault="00A374F3" w:rsidP="00A374F3">
      <w:pPr>
        <w:autoSpaceDE w:val="0"/>
        <w:autoSpaceDN w:val="0"/>
        <w:adjustRightInd w:val="0"/>
        <w:spacing w:line="240" w:lineRule="auto"/>
        <w:jc w:val="both"/>
        <w:rPr>
          <w:rFonts w:eastAsia="Calibri"/>
          <w:sz w:val="32"/>
          <w:szCs w:val="32"/>
        </w:rPr>
      </w:pPr>
    </w:p>
    <w:p w14:paraId="67E8E9ED" w14:textId="77777777" w:rsidR="00A374F3" w:rsidRPr="00A374F3" w:rsidRDefault="00A374F3" w:rsidP="00A374F3">
      <w:pPr>
        <w:autoSpaceDE w:val="0"/>
        <w:autoSpaceDN w:val="0"/>
        <w:adjustRightInd w:val="0"/>
        <w:spacing w:line="240" w:lineRule="auto"/>
        <w:contextualSpacing/>
        <w:jc w:val="both"/>
      </w:pPr>
      <w:r w:rsidRPr="00A374F3">
        <w:t>Poslanstvo in vizija Državnega odvetništva RS se odražata v strategiji njegovega razvoja. Strateški cilji Državnega odvetništva RS so predvsem:</w:t>
      </w:r>
    </w:p>
    <w:p w14:paraId="6D630EB3" w14:textId="77777777" w:rsidR="00A374F3" w:rsidRPr="00A374F3" w:rsidRDefault="00A374F3" w:rsidP="00A374F3">
      <w:pPr>
        <w:autoSpaceDE w:val="0"/>
        <w:autoSpaceDN w:val="0"/>
        <w:adjustRightInd w:val="0"/>
        <w:spacing w:line="240" w:lineRule="auto"/>
        <w:contextualSpacing/>
        <w:jc w:val="both"/>
        <w:rPr>
          <w:rFonts w:eastAsia="Calibri"/>
        </w:rPr>
      </w:pPr>
    </w:p>
    <w:p w14:paraId="0C37CE8F" w14:textId="12F508A0" w:rsidR="00A374F3" w:rsidRPr="00A374F3" w:rsidRDefault="00653195" w:rsidP="006D16C0">
      <w:pPr>
        <w:numPr>
          <w:ilvl w:val="0"/>
          <w:numId w:val="156"/>
        </w:numPr>
        <w:autoSpaceDE w:val="0"/>
        <w:autoSpaceDN w:val="0"/>
        <w:adjustRightInd w:val="0"/>
        <w:spacing w:line="240" w:lineRule="auto"/>
        <w:contextualSpacing/>
        <w:jc w:val="both"/>
        <w:rPr>
          <w:rFonts w:eastAsia="Calibri"/>
        </w:rPr>
      </w:pPr>
      <w:r>
        <w:t>i</w:t>
      </w:r>
      <w:r w:rsidR="00A374F3" w:rsidRPr="00A374F3">
        <w:t>zboljšava sistemskega okvira delovanja Državnega odvetništva RS na način, ki bo zagotavljal še bolj učinkovito izvajanje pristojnosti in zagotovil stabilno in pravično delovno okolje,</w:t>
      </w:r>
    </w:p>
    <w:p w14:paraId="53FBFC38" w14:textId="77777777" w:rsidR="00A374F3" w:rsidRPr="00A374F3" w:rsidRDefault="00A374F3" w:rsidP="006D16C0">
      <w:pPr>
        <w:numPr>
          <w:ilvl w:val="0"/>
          <w:numId w:val="156"/>
        </w:numPr>
        <w:autoSpaceDE w:val="0"/>
        <w:autoSpaceDN w:val="0"/>
        <w:adjustRightInd w:val="0"/>
        <w:spacing w:line="240" w:lineRule="auto"/>
        <w:contextualSpacing/>
        <w:jc w:val="both"/>
        <w:rPr>
          <w:rFonts w:eastAsia="Calibri"/>
        </w:rPr>
      </w:pPr>
      <w:r w:rsidRPr="00A374F3">
        <w:rPr>
          <w:rFonts w:eastAsia="Calibri"/>
        </w:rPr>
        <w:t xml:space="preserve">nadaljnje zagotavljanje kakovostnega izvajanja pristojnosti, </w:t>
      </w:r>
    </w:p>
    <w:p w14:paraId="0507D9FF" w14:textId="77777777" w:rsidR="00A374F3" w:rsidRPr="00A374F3" w:rsidRDefault="00A374F3" w:rsidP="006D16C0">
      <w:pPr>
        <w:numPr>
          <w:ilvl w:val="0"/>
          <w:numId w:val="156"/>
        </w:numPr>
        <w:autoSpaceDE w:val="0"/>
        <w:autoSpaceDN w:val="0"/>
        <w:adjustRightInd w:val="0"/>
        <w:spacing w:line="240" w:lineRule="auto"/>
        <w:contextualSpacing/>
        <w:jc w:val="both"/>
        <w:rPr>
          <w:rFonts w:eastAsia="Calibri"/>
        </w:rPr>
      </w:pPr>
      <w:r w:rsidRPr="00A374F3">
        <w:rPr>
          <w:rFonts w:eastAsia="Calibri"/>
        </w:rPr>
        <w:t>pritegnitev mladega kadra in zagotovitev uravnotežene obremenjenosti zaposlenih,</w:t>
      </w:r>
    </w:p>
    <w:p w14:paraId="1942C376" w14:textId="77777777" w:rsidR="00A374F3" w:rsidRPr="00A374F3" w:rsidRDefault="00A374F3" w:rsidP="006D16C0">
      <w:pPr>
        <w:numPr>
          <w:ilvl w:val="0"/>
          <w:numId w:val="156"/>
        </w:numPr>
        <w:autoSpaceDE w:val="0"/>
        <w:autoSpaceDN w:val="0"/>
        <w:adjustRightInd w:val="0"/>
        <w:spacing w:line="240" w:lineRule="auto"/>
        <w:contextualSpacing/>
        <w:jc w:val="both"/>
        <w:rPr>
          <w:rFonts w:eastAsia="Calibri"/>
        </w:rPr>
      </w:pPr>
      <w:r w:rsidRPr="00A374F3">
        <w:rPr>
          <w:rFonts w:eastAsia="Calibri"/>
        </w:rPr>
        <w:t>nadaljnja optimizacija in digitalizacija poslovanja z vključevanjem rešitev umetne inteligence,</w:t>
      </w:r>
    </w:p>
    <w:p w14:paraId="315145B5" w14:textId="77777777" w:rsidR="00A374F3" w:rsidRPr="00A374F3" w:rsidRDefault="00A374F3" w:rsidP="006D16C0">
      <w:pPr>
        <w:numPr>
          <w:ilvl w:val="0"/>
          <w:numId w:val="156"/>
        </w:numPr>
        <w:autoSpaceDE w:val="0"/>
        <w:autoSpaceDN w:val="0"/>
        <w:adjustRightInd w:val="0"/>
        <w:spacing w:line="240" w:lineRule="auto"/>
        <w:contextualSpacing/>
        <w:jc w:val="both"/>
        <w:rPr>
          <w:rFonts w:eastAsia="Calibri"/>
        </w:rPr>
      </w:pPr>
      <w:r w:rsidRPr="00A374F3">
        <w:rPr>
          <w:rFonts w:eastAsia="Calibri"/>
        </w:rPr>
        <w:t>transparentnost poslovanja,</w:t>
      </w:r>
    </w:p>
    <w:p w14:paraId="15EC014E" w14:textId="77777777" w:rsidR="00A374F3" w:rsidRPr="00A374F3" w:rsidRDefault="00A374F3" w:rsidP="006D16C0">
      <w:pPr>
        <w:numPr>
          <w:ilvl w:val="0"/>
          <w:numId w:val="156"/>
        </w:numPr>
        <w:autoSpaceDE w:val="0"/>
        <w:autoSpaceDN w:val="0"/>
        <w:adjustRightInd w:val="0"/>
        <w:spacing w:line="240" w:lineRule="auto"/>
        <w:contextualSpacing/>
        <w:jc w:val="both"/>
        <w:rPr>
          <w:rFonts w:eastAsia="Calibri"/>
        </w:rPr>
      </w:pPr>
      <w:r w:rsidRPr="00A374F3">
        <w:rPr>
          <w:rFonts w:eastAsia="Calibri"/>
        </w:rPr>
        <w:t>ustvarjanje stimulativnega delovnega okolja, ki zaposlene motivira k inovativnosti in ustvarjalnosti,</w:t>
      </w:r>
    </w:p>
    <w:p w14:paraId="19FACAEE" w14:textId="29A10FEE" w:rsidR="00A374F3" w:rsidRPr="00A374F3" w:rsidRDefault="00A374F3" w:rsidP="006D16C0">
      <w:pPr>
        <w:pStyle w:val="Odstavekseznama"/>
        <w:numPr>
          <w:ilvl w:val="0"/>
          <w:numId w:val="156"/>
        </w:numPr>
        <w:autoSpaceDE w:val="0"/>
        <w:autoSpaceDN w:val="0"/>
        <w:adjustRightInd w:val="0"/>
        <w:spacing w:line="240" w:lineRule="auto"/>
        <w:jc w:val="both"/>
        <w:rPr>
          <w:rFonts w:eastAsia="Calibri"/>
        </w:rPr>
      </w:pPr>
      <w:r w:rsidRPr="00A374F3">
        <w:rPr>
          <w:rFonts w:eastAsia="Calibri"/>
        </w:rPr>
        <w:t>intenzivnejše mednarodno sodelovanje z drugimi zastopniki držav in aktivnosti v smeri ustanovitve mednarodnega združenja</w:t>
      </w:r>
      <w:r w:rsidR="00653195">
        <w:rPr>
          <w:rFonts w:eastAsia="Calibri"/>
        </w:rPr>
        <w:t>.</w:t>
      </w:r>
    </w:p>
    <w:p w14:paraId="4547CBC6" w14:textId="77777777" w:rsidR="00A374F3" w:rsidRPr="006D16C0" w:rsidRDefault="00A374F3" w:rsidP="00A374F3">
      <w:pPr>
        <w:spacing w:line="240" w:lineRule="auto"/>
        <w:jc w:val="both"/>
        <w:rPr>
          <w:rFonts w:eastAsiaTheme="majorEastAsia"/>
          <w:b/>
          <w:color w:val="007466"/>
          <w:sz w:val="28"/>
          <w:szCs w:val="28"/>
        </w:rPr>
      </w:pPr>
    </w:p>
    <w:p w14:paraId="6E61576C" w14:textId="721AB086" w:rsidR="00A374F3" w:rsidRPr="00FF37CC" w:rsidRDefault="00A374F3" w:rsidP="00D8438A">
      <w:pPr>
        <w:pStyle w:val="Naslov3"/>
        <w:numPr>
          <w:ilvl w:val="0"/>
          <w:numId w:val="0"/>
        </w:numPr>
      </w:pPr>
      <w:bookmarkStart w:id="1272" w:name="_Toc223094175"/>
      <w:r w:rsidRPr="00FF37CC">
        <w:lastRenderedPageBreak/>
        <w:t>3.</w:t>
      </w:r>
      <w:r w:rsidR="00FF37CC" w:rsidRPr="00FF37CC">
        <w:t>3</w:t>
      </w:r>
      <w:r w:rsidRPr="00FF37CC">
        <w:t>.1 Izboljšava sistemskega okvira delovanja Državnega odvetništva RS na način, ki bo zagotavljal še bolj učinkovito izvajanje pristojnosti in zagotovil stabilno in pravično delovno okolje</w:t>
      </w:r>
      <w:bookmarkEnd w:id="1272"/>
      <w:r w:rsidRPr="00FF37CC">
        <w:t xml:space="preserve"> </w:t>
      </w:r>
    </w:p>
    <w:p w14:paraId="2763CB0A" w14:textId="77777777" w:rsidR="00A374F3" w:rsidRPr="00D8438A" w:rsidRDefault="00A374F3" w:rsidP="00A374F3">
      <w:pPr>
        <w:spacing w:line="240" w:lineRule="auto"/>
        <w:rPr>
          <w:sz w:val="28"/>
          <w:szCs w:val="28"/>
        </w:rPr>
      </w:pPr>
    </w:p>
    <w:p w14:paraId="3A70FB66" w14:textId="77777777" w:rsidR="00A374F3" w:rsidRPr="00A374F3" w:rsidRDefault="00A374F3" w:rsidP="00A374F3">
      <w:pPr>
        <w:spacing w:line="240" w:lineRule="auto"/>
        <w:jc w:val="both"/>
      </w:pPr>
      <w:r w:rsidRPr="00A374F3">
        <w:t xml:space="preserve">Državno odvetništvo RS bo v letu 2026 nadaljevalo aktivnosti v smeri sprejema </w:t>
      </w:r>
      <w:r w:rsidRPr="00962B65">
        <w:rPr>
          <w:b/>
          <w:bCs/>
          <w:color w:val="007466"/>
        </w:rPr>
        <w:t>novele ZDOdv-A</w:t>
      </w:r>
      <w:r w:rsidRPr="00A374F3">
        <w:t>, katere sprejemanje se je ustavilo v drugi polovici leta 2025 zaradi prioritetnega sprejemanja sodniške zakonodaje na Ministrstvu za pravosodje. Zaradi pomanjkanja časa novela v mandatu aktualne vlade ne bo sprejeta. Ker bodo v marcu 2026 državnozborske volitve, bo Državno odvetništvo RS dialog  v smeri potrebnih zakonskih sprememb nadaljevalo z novo garnituro odločevalcev.</w:t>
      </w:r>
    </w:p>
    <w:p w14:paraId="1B695DCF" w14:textId="77777777" w:rsidR="00A374F3" w:rsidRPr="00A374F3" w:rsidRDefault="00A374F3" w:rsidP="00A374F3">
      <w:pPr>
        <w:spacing w:line="240" w:lineRule="auto"/>
        <w:jc w:val="both"/>
      </w:pPr>
    </w:p>
    <w:p w14:paraId="34409B4D" w14:textId="77777777" w:rsidR="00A374F3" w:rsidRPr="00A374F3" w:rsidRDefault="00A374F3" w:rsidP="00A374F3">
      <w:pPr>
        <w:spacing w:line="240" w:lineRule="auto"/>
        <w:jc w:val="both"/>
      </w:pPr>
      <w:r w:rsidRPr="00A374F3">
        <w:t xml:space="preserve">Državno odvetništvo RS si bo tudi v letu 2026 prizadevalo za </w:t>
      </w:r>
      <w:r w:rsidRPr="00962B65">
        <w:rPr>
          <w:b/>
          <w:bCs/>
          <w:color w:val="007466"/>
        </w:rPr>
        <w:t>uvrstitev generalnega državnega odvetnika med upravičene vlagatelje zahteve za začetek postopka za oceno ustavnosti oziroma zakonitosti predpisa ali splošnega akta, izdanega za izvrševanje javnih pooblastil</w:t>
      </w:r>
      <w:r w:rsidRPr="00A374F3">
        <w:t xml:space="preserve">. To pristojnost potrebuje za učinkovitejše izvajanje svojih pristojnosti in zaščito interesov države in njenih državljanov. Podelitev te pristojnosti bo Državno odvetništvo poskušalo doseči na ravni zakonske ureditve v noveli ZDOdv-A, v kolikor bo v novem sklicu Državnega zbora RS ponovno ustanovljena Ustavna komisija, pa (ponovno) tudi pred to komisijo. </w:t>
      </w:r>
    </w:p>
    <w:p w14:paraId="2D92AF4B" w14:textId="77777777" w:rsidR="00A374F3" w:rsidRPr="00A374F3" w:rsidRDefault="00A374F3" w:rsidP="00A374F3">
      <w:pPr>
        <w:spacing w:line="240" w:lineRule="auto"/>
        <w:jc w:val="both"/>
      </w:pPr>
    </w:p>
    <w:p w14:paraId="6F5B8D4F" w14:textId="77777777" w:rsidR="00A374F3" w:rsidRPr="00A374F3" w:rsidRDefault="00A374F3" w:rsidP="00A374F3">
      <w:pPr>
        <w:spacing w:line="240" w:lineRule="auto"/>
        <w:jc w:val="both"/>
      </w:pPr>
      <w:r w:rsidRPr="00A374F3">
        <w:t xml:space="preserve">Ustava je v delu, ki ureja državno ureditev, pomanjkljiva, saj državni organ, ki zgodovinsko gledano že ves čas zastopa državo pred nacionalnimi in tujimi ter mednarodnimi sodišči in arbitražami, kot edini organ pravosodja v Ustavo Republike Slovenije ni umeščen. Gre za anomalijo in nerazumno vrzel v ustavnopravni strukturi pravosodja, zaradi katere brez ustavnega varstva paradoksalno ostaja državni organ, katerega naloga je tudi varovanje ustavnih interesov. Takšna situacija pomeni realno tveganje za pravno državo, ki pa je odpravljivo prek </w:t>
      </w:r>
      <w:r w:rsidRPr="00962B65">
        <w:rPr>
          <w:b/>
          <w:bCs/>
          <w:color w:val="007466"/>
        </w:rPr>
        <w:t>umestitve Državnega odvetništva v Ustavo Republike Slovenije</w:t>
      </w:r>
      <w:r w:rsidRPr="00A374F3">
        <w:t>. Državno odvetništvo RS bo predlog s tem v zvezi, ki je bil z Ministrstvom za pravosodje v letu 2023 že usklajen, po državnozborskih volitvah predstavilo novi sestavi odločevalcev.</w:t>
      </w:r>
    </w:p>
    <w:p w14:paraId="26491154" w14:textId="77777777" w:rsidR="00A374F3" w:rsidRPr="006D16C0" w:rsidRDefault="00A374F3" w:rsidP="00A374F3">
      <w:pPr>
        <w:spacing w:line="240" w:lineRule="auto"/>
        <w:jc w:val="both"/>
        <w:rPr>
          <w:sz w:val="28"/>
          <w:szCs w:val="28"/>
        </w:rPr>
      </w:pPr>
    </w:p>
    <w:p w14:paraId="5C2A8048" w14:textId="293CEB88" w:rsidR="00A374F3" w:rsidRPr="00FF37CC" w:rsidRDefault="00A374F3" w:rsidP="00FF37CC">
      <w:pPr>
        <w:pStyle w:val="Naslov3"/>
        <w:numPr>
          <w:ilvl w:val="0"/>
          <w:numId w:val="0"/>
        </w:numPr>
        <w:ind w:left="720" w:hanging="720"/>
      </w:pPr>
      <w:bookmarkStart w:id="1273" w:name="_Toc223094176"/>
      <w:r w:rsidRPr="00FF37CC">
        <w:t>3.</w:t>
      </w:r>
      <w:r w:rsidR="00FF37CC" w:rsidRPr="00FF37CC">
        <w:t>3</w:t>
      </w:r>
      <w:r w:rsidRPr="00FF37CC">
        <w:t>.2 Nadaljnje zagotavljanje kakovostnega izvajanja pristojnosti</w:t>
      </w:r>
      <w:bookmarkEnd w:id="1273"/>
      <w:r w:rsidRPr="00FF37CC">
        <w:t xml:space="preserve"> </w:t>
      </w:r>
    </w:p>
    <w:p w14:paraId="65882FE8" w14:textId="77777777" w:rsidR="00A374F3" w:rsidRPr="00D8438A" w:rsidRDefault="00A374F3" w:rsidP="00A374F3">
      <w:pPr>
        <w:autoSpaceDE w:val="0"/>
        <w:autoSpaceDN w:val="0"/>
        <w:adjustRightInd w:val="0"/>
        <w:spacing w:line="240" w:lineRule="auto"/>
        <w:rPr>
          <w:color w:val="007466"/>
          <w:sz w:val="28"/>
          <w:szCs w:val="28"/>
        </w:rPr>
      </w:pPr>
    </w:p>
    <w:p w14:paraId="34A2CABF" w14:textId="77777777" w:rsidR="00A374F3" w:rsidRPr="00A374F3" w:rsidRDefault="00A374F3" w:rsidP="00A374F3">
      <w:pPr>
        <w:autoSpaceDE w:val="0"/>
        <w:autoSpaceDN w:val="0"/>
        <w:adjustRightInd w:val="0"/>
        <w:spacing w:line="240" w:lineRule="auto"/>
        <w:jc w:val="both"/>
        <w:rPr>
          <w:color w:val="000000"/>
        </w:rPr>
      </w:pPr>
      <w:r w:rsidRPr="00A374F3">
        <w:rPr>
          <w:color w:val="000000"/>
        </w:rPr>
        <w:t>Kakovostno izvajanje pristojnosti Državnega odvetništva RS pomeni prispevek Državnega odvetništva RS h krepitvi pravne države. Dodana vrednost nalog zastopanja in svetovanja državi in državnim organom vseh vej oblasti je zato nujni pogoj za dolgoročni obstoj in razvoj Državnega odvetništva RS, zato bomo tudi v prihodnje stremeli k izpolnjevanju najvišjih strokovnih standardov. Da gredo prizadevanja Državnega odvetništva RS na tem področju  v pravo smer, potrjujejo pozitivni rezultati, ki jih izkazuje statistika zadnjih let. Za nadaljnje zagotavljanje kakovostnega izvajanja pristojnosti so pomembni predvsem naslednji vidiki:</w:t>
      </w:r>
    </w:p>
    <w:p w14:paraId="6448D7B4" w14:textId="77777777" w:rsidR="00A374F3" w:rsidRPr="00A374F3" w:rsidRDefault="00A374F3" w:rsidP="00A374F3">
      <w:pPr>
        <w:autoSpaceDE w:val="0"/>
        <w:autoSpaceDN w:val="0"/>
        <w:adjustRightInd w:val="0"/>
        <w:spacing w:line="240" w:lineRule="auto"/>
        <w:jc w:val="both"/>
        <w:rPr>
          <w:color w:val="000000"/>
        </w:rPr>
      </w:pPr>
    </w:p>
    <w:p w14:paraId="5987F7D2" w14:textId="77777777" w:rsidR="00A374F3" w:rsidRPr="00A374F3" w:rsidRDefault="00A374F3" w:rsidP="006D16C0">
      <w:pPr>
        <w:pStyle w:val="Odstavekseznama"/>
        <w:numPr>
          <w:ilvl w:val="0"/>
          <w:numId w:val="158"/>
        </w:numPr>
        <w:autoSpaceDE w:val="0"/>
        <w:autoSpaceDN w:val="0"/>
        <w:adjustRightInd w:val="0"/>
        <w:spacing w:line="240" w:lineRule="auto"/>
        <w:jc w:val="both"/>
        <w:rPr>
          <w:color w:val="000000"/>
        </w:rPr>
      </w:pPr>
      <w:r w:rsidRPr="00A374F3">
        <w:rPr>
          <w:color w:val="000000"/>
        </w:rPr>
        <w:t xml:space="preserve">skrb za rast učinkovitosti in uspešnosti zastopanja države in državnih organov ter subjektov v primerih, določenih v drugem in tretjem odstavku 12. člena ZDOdv, v zadevah pred sodišči glede njihovih premoženjskih in drugih pravic ter koristi. V ta namen bo v letu 2026 izvedene več komunikacije z vodjami specializiranih in zunanjih oddelkov, s katerimi bodo med drugim preverjene možnosti za izboljšanje izvajanja pristojnosti na konkretnih pravnih področjih. Prav tako je v načrtu izvedba izobraževanja vodstvenega kadra o veščinah učinkovitega vodenja in upravljanja s </w:t>
      </w:r>
      <w:r w:rsidRPr="00A374F3">
        <w:rPr>
          <w:color w:val="000000"/>
        </w:rPr>
        <w:lastRenderedPageBreak/>
        <w:t xml:space="preserve">kadrom, katerega namen je, da se znotraj posameznih organizacijskih enot in drugih področno povezanih timov vsebinsko določeni cilji uresničujejo v največjem obsegu in ob učinkovitem sodelovanju ter dobrem počutju vseh udeleženih. </w:t>
      </w:r>
    </w:p>
    <w:p w14:paraId="503B0E8D" w14:textId="77777777" w:rsidR="00A374F3" w:rsidRPr="00A374F3" w:rsidRDefault="00A374F3" w:rsidP="00A374F3">
      <w:pPr>
        <w:autoSpaceDE w:val="0"/>
        <w:autoSpaceDN w:val="0"/>
        <w:adjustRightInd w:val="0"/>
        <w:spacing w:line="240" w:lineRule="auto"/>
        <w:ind w:left="720"/>
        <w:rPr>
          <w:color w:val="000000"/>
        </w:rPr>
      </w:pPr>
    </w:p>
    <w:p w14:paraId="04AA1A35" w14:textId="77777777" w:rsidR="00A374F3" w:rsidRPr="00A374F3" w:rsidRDefault="00A374F3" w:rsidP="006D16C0">
      <w:pPr>
        <w:numPr>
          <w:ilvl w:val="0"/>
          <w:numId w:val="158"/>
        </w:numPr>
        <w:autoSpaceDE w:val="0"/>
        <w:autoSpaceDN w:val="0"/>
        <w:adjustRightInd w:val="0"/>
        <w:spacing w:line="240" w:lineRule="auto"/>
        <w:jc w:val="both"/>
        <w:rPr>
          <w:i/>
          <w:color w:val="000000"/>
        </w:rPr>
      </w:pPr>
      <w:r w:rsidRPr="00A374F3">
        <w:rPr>
          <w:color w:val="000000"/>
        </w:rPr>
        <w:t>Zavzemanje za reševanje sporov na miren način, kadar mirna rešitev spora predstavlja najbolj ugoden način rešitve za vse udeležene stranke. V tem segmentu si bo Državno odvetništvo RS prizadevalo k aktivnejšemu podajanju predlogov za mirno rešitev spora resornim ministrstvom in pri bolj zavzetem vztrajanju pri teh predlogih, kadar je rešitev po mirni poti s stališča državnega odvetnika v največjem interesu Republike Slovenije.</w:t>
      </w:r>
      <w:r w:rsidRPr="00A374F3">
        <w:rPr>
          <w:i/>
          <w:color w:val="000000"/>
        </w:rPr>
        <w:t xml:space="preserve"> </w:t>
      </w:r>
    </w:p>
    <w:p w14:paraId="0CBC14B6" w14:textId="77777777" w:rsidR="00A374F3" w:rsidRPr="00A374F3" w:rsidRDefault="00A374F3" w:rsidP="00A374F3">
      <w:pPr>
        <w:autoSpaceDE w:val="0"/>
        <w:autoSpaceDN w:val="0"/>
        <w:adjustRightInd w:val="0"/>
        <w:spacing w:line="240" w:lineRule="auto"/>
        <w:rPr>
          <w:color w:val="000000"/>
        </w:rPr>
      </w:pPr>
    </w:p>
    <w:p w14:paraId="26733919" w14:textId="77777777" w:rsidR="00A374F3" w:rsidRPr="00A374F3" w:rsidRDefault="00A374F3" w:rsidP="006D16C0">
      <w:pPr>
        <w:numPr>
          <w:ilvl w:val="0"/>
          <w:numId w:val="158"/>
        </w:numPr>
        <w:autoSpaceDE w:val="0"/>
        <w:autoSpaceDN w:val="0"/>
        <w:adjustRightInd w:val="0"/>
        <w:spacing w:line="240" w:lineRule="auto"/>
        <w:jc w:val="both"/>
        <w:rPr>
          <w:color w:val="000000"/>
        </w:rPr>
      </w:pPr>
      <w:r w:rsidRPr="00A374F3">
        <w:rPr>
          <w:color w:val="000000"/>
        </w:rPr>
        <w:t>Državno odvetništvo RS bo preko poudarjene svetovalne funkcije subjektom, ki jih zastopa, tudi v prihodnje nudilo strokovno pomoč v obliki pravnih mnenj in priporočil, povezanih z varstvom premoženjskih in drugih pravic in interesov Republike Slovenije. Zastopane subjekte bo spodbujalo k podajanju povratnih informacij, to pa z namenom, da se svetovalna funkcija izvaja na način, ki za subjekte dejansko pomeni dodano vrednost.</w:t>
      </w:r>
    </w:p>
    <w:p w14:paraId="2D6249A7" w14:textId="77777777" w:rsidR="00A374F3" w:rsidRPr="00A374F3" w:rsidRDefault="00A374F3" w:rsidP="00A374F3">
      <w:pPr>
        <w:autoSpaceDE w:val="0"/>
        <w:autoSpaceDN w:val="0"/>
        <w:adjustRightInd w:val="0"/>
        <w:spacing w:line="240" w:lineRule="auto"/>
        <w:rPr>
          <w:color w:val="000000"/>
        </w:rPr>
      </w:pPr>
    </w:p>
    <w:p w14:paraId="2EB04FC7" w14:textId="77777777" w:rsidR="00A374F3" w:rsidRPr="00A374F3" w:rsidRDefault="00A374F3" w:rsidP="006D16C0">
      <w:pPr>
        <w:numPr>
          <w:ilvl w:val="0"/>
          <w:numId w:val="158"/>
        </w:numPr>
        <w:autoSpaceDE w:val="0"/>
        <w:autoSpaceDN w:val="0"/>
        <w:adjustRightInd w:val="0"/>
        <w:spacing w:line="240" w:lineRule="auto"/>
        <w:jc w:val="both"/>
        <w:rPr>
          <w:color w:val="000000"/>
        </w:rPr>
      </w:pPr>
      <w:r w:rsidRPr="00A374F3">
        <w:rPr>
          <w:color w:val="000000"/>
        </w:rPr>
        <w:t>Državno odvetništvo RS si bo še naprej posebej prizadevalo za tvorno sodelovanje in konstruktivno komunikacijo z vsemi subjekti, ki jih zastopa. Spodbujalo bo samoiniciativnost zaposlenih glede vključevanja v notranje in medresorske delovne skupine, ki rešujejo akutno problematiko posameznih pravnih področij.</w:t>
      </w:r>
    </w:p>
    <w:p w14:paraId="3CF16367" w14:textId="77777777" w:rsidR="00A374F3" w:rsidRPr="00A374F3" w:rsidRDefault="00A374F3" w:rsidP="00A374F3">
      <w:pPr>
        <w:autoSpaceDE w:val="0"/>
        <w:autoSpaceDN w:val="0"/>
        <w:adjustRightInd w:val="0"/>
        <w:spacing w:line="240" w:lineRule="auto"/>
        <w:jc w:val="both"/>
        <w:rPr>
          <w:color w:val="000000"/>
        </w:rPr>
      </w:pPr>
    </w:p>
    <w:p w14:paraId="137F45A8" w14:textId="77777777" w:rsidR="00A374F3" w:rsidRPr="00A374F3" w:rsidRDefault="00A374F3" w:rsidP="006D16C0">
      <w:pPr>
        <w:numPr>
          <w:ilvl w:val="0"/>
          <w:numId w:val="158"/>
        </w:numPr>
        <w:spacing w:line="240" w:lineRule="auto"/>
        <w:jc w:val="both"/>
        <w:rPr>
          <w:b/>
        </w:rPr>
      </w:pPr>
      <w:r w:rsidRPr="00A374F3">
        <w:rPr>
          <w:color w:val="000000"/>
        </w:rPr>
        <w:t>Posebna aktivnost bo še naprej usmerjena k zagotavljanju poenotene obravnave zadev z enako oziroma podobno dejansko in pravno podlago, tudi s poudarkom na timskem reševanju zadev. To je še posebej pomembno pri kompleksnejših zadevah z multidisciplinarnimi vsebinami, zaradi katerih je potrebno znanje z različnih pravnih področij, kar bo pripomoglo k še boljšemu zastopanju oziroma svetovanju.</w:t>
      </w:r>
      <w:r w:rsidRPr="00A374F3">
        <w:t xml:space="preserve"> </w:t>
      </w:r>
    </w:p>
    <w:p w14:paraId="149FEC57" w14:textId="77777777" w:rsidR="00A374F3" w:rsidRPr="00A374F3" w:rsidRDefault="00A374F3" w:rsidP="00A374F3">
      <w:pPr>
        <w:spacing w:line="240" w:lineRule="auto"/>
        <w:contextualSpacing/>
        <w:jc w:val="both"/>
      </w:pPr>
    </w:p>
    <w:p w14:paraId="563A82D2" w14:textId="3D1296ED" w:rsidR="00A374F3" w:rsidRPr="00A374F3" w:rsidRDefault="00A374F3" w:rsidP="006D16C0">
      <w:pPr>
        <w:numPr>
          <w:ilvl w:val="0"/>
          <w:numId w:val="158"/>
        </w:numPr>
        <w:spacing w:line="240" w:lineRule="auto"/>
        <w:contextualSpacing/>
        <w:jc w:val="both"/>
      </w:pPr>
      <w:r w:rsidRPr="00A374F3">
        <w:t>Državno odvetništvo RS bo, kadar bo povabljeno k sodelovanju, tudi v prihodnje aktivno sodelovalo tako pri nastanku kot spremembi in dopolnitvi zakonov in podzakonskih aktov, ki se nanašajo na premoženjskopravne zadeve države in njenih organov, v polni meri bo tudi spremljalo sodno prakso vseh sodišč v R</w:t>
      </w:r>
      <w:r w:rsidR="00653195">
        <w:t xml:space="preserve">epubliki </w:t>
      </w:r>
      <w:r w:rsidRPr="00A374F3">
        <w:t>S</w:t>
      </w:r>
      <w:r w:rsidR="00653195">
        <w:t>loveniji</w:t>
      </w:r>
      <w:r w:rsidRPr="00A374F3">
        <w:t xml:space="preserve"> in ESČP ter SEU; to so aktivnosti, ki jih že izvaja in jih bo tudi v prihodnje.  </w:t>
      </w:r>
    </w:p>
    <w:p w14:paraId="1DB99B7E" w14:textId="77777777" w:rsidR="00A374F3" w:rsidRPr="00A374F3" w:rsidRDefault="00A374F3" w:rsidP="00A374F3">
      <w:pPr>
        <w:spacing w:line="240" w:lineRule="auto"/>
        <w:jc w:val="both"/>
      </w:pPr>
    </w:p>
    <w:p w14:paraId="748EE525" w14:textId="77777777" w:rsidR="00A374F3" w:rsidRPr="00A374F3" w:rsidRDefault="00A374F3" w:rsidP="006D16C0">
      <w:pPr>
        <w:pStyle w:val="CVSpacer"/>
        <w:numPr>
          <w:ilvl w:val="0"/>
          <w:numId w:val="158"/>
        </w:numPr>
        <w:jc w:val="both"/>
        <w:rPr>
          <w:rFonts w:ascii="Calibri" w:hAnsi="Calibri" w:cs="Calibri"/>
          <w:sz w:val="24"/>
          <w:szCs w:val="24"/>
        </w:rPr>
      </w:pPr>
      <w:r w:rsidRPr="00A374F3">
        <w:rPr>
          <w:rFonts w:ascii="Calibri" w:hAnsi="Calibri" w:cs="Calibri"/>
          <w:sz w:val="24"/>
          <w:szCs w:val="24"/>
        </w:rPr>
        <w:t xml:space="preserve">Državno odvetništvo RS bo tudi v prihodnje pripravljalo analize različnih vrst sporov ter sodnih odločitev, da bo lahko na sistemski ravni ugotavljalo vzroke za nastanek določenih spornih razmerij med državo in drugimi subjekti ter na tej podlagi predlagalo smernice in priporočila za odpravo tveganj.   </w:t>
      </w:r>
    </w:p>
    <w:p w14:paraId="28F9BB5F" w14:textId="77777777" w:rsidR="00A374F3" w:rsidRPr="00A374F3" w:rsidRDefault="00A374F3" w:rsidP="00A374F3">
      <w:pPr>
        <w:pStyle w:val="CVSpacer"/>
        <w:ind w:left="0"/>
        <w:jc w:val="both"/>
        <w:rPr>
          <w:rFonts w:ascii="Calibri" w:hAnsi="Calibri" w:cs="Calibri"/>
          <w:sz w:val="24"/>
          <w:szCs w:val="24"/>
        </w:rPr>
      </w:pPr>
    </w:p>
    <w:p w14:paraId="0F95F9F7" w14:textId="77777777" w:rsidR="00A374F3" w:rsidRPr="00A374F3" w:rsidRDefault="00A374F3" w:rsidP="006D16C0">
      <w:pPr>
        <w:numPr>
          <w:ilvl w:val="0"/>
          <w:numId w:val="158"/>
        </w:numPr>
        <w:autoSpaceDE w:val="0"/>
        <w:autoSpaceDN w:val="0"/>
        <w:adjustRightInd w:val="0"/>
        <w:spacing w:line="240" w:lineRule="auto"/>
        <w:jc w:val="both"/>
        <w:rPr>
          <w:color w:val="000000"/>
        </w:rPr>
      </w:pPr>
      <w:r w:rsidRPr="00A374F3">
        <w:rPr>
          <w:color w:val="000000"/>
        </w:rPr>
        <w:t xml:space="preserve">Poudarek bo na še večjem sodelovanju s sozastopnikom, kar bo prispevalo k udejanjenju aktivne vloge sozastopnika pri vsebinskem usklajevanju ukrepov za zaščito interesov Republike Slovenije pred Evropskim sodiščem za človekove pravice. </w:t>
      </w:r>
    </w:p>
    <w:p w14:paraId="07A33307" w14:textId="77777777" w:rsidR="00A374F3" w:rsidRPr="006D16C0" w:rsidRDefault="00A374F3" w:rsidP="00A374F3">
      <w:pPr>
        <w:spacing w:line="240" w:lineRule="auto"/>
        <w:jc w:val="both"/>
        <w:rPr>
          <w:sz w:val="28"/>
          <w:szCs w:val="28"/>
        </w:rPr>
      </w:pPr>
    </w:p>
    <w:p w14:paraId="1AE95329" w14:textId="1466180E" w:rsidR="00A374F3" w:rsidRPr="00FF37CC" w:rsidRDefault="00A374F3" w:rsidP="00D8438A">
      <w:pPr>
        <w:pStyle w:val="Naslov3"/>
        <w:numPr>
          <w:ilvl w:val="0"/>
          <w:numId w:val="0"/>
        </w:numPr>
      </w:pPr>
      <w:bookmarkStart w:id="1274" w:name="_Toc223094177"/>
      <w:r w:rsidRPr="00FF37CC">
        <w:t>3</w:t>
      </w:r>
      <w:r w:rsidR="00FF37CC" w:rsidRPr="00FF37CC">
        <w:t>.3.</w:t>
      </w:r>
      <w:r w:rsidRPr="00FF37CC">
        <w:t xml:space="preserve">3 </w:t>
      </w:r>
      <w:r w:rsidRPr="00FF37CC">
        <w:rPr>
          <w:rFonts w:eastAsia="Calibri"/>
        </w:rPr>
        <w:t>Pritegnitev mladega kadra in zagotovitev uravnotežene obremenjenosti zaposlenih</w:t>
      </w:r>
      <w:bookmarkEnd w:id="1274"/>
    </w:p>
    <w:p w14:paraId="0428078B" w14:textId="77777777" w:rsidR="00A374F3" w:rsidRPr="00A374F3" w:rsidRDefault="00A374F3" w:rsidP="00A374F3">
      <w:pPr>
        <w:spacing w:line="240" w:lineRule="auto"/>
      </w:pPr>
    </w:p>
    <w:p w14:paraId="0EB60317" w14:textId="36F92506" w:rsidR="00A374F3" w:rsidRPr="00A374F3" w:rsidRDefault="00A374F3" w:rsidP="00225E37">
      <w:pPr>
        <w:spacing w:line="240" w:lineRule="auto"/>
        <w:jc w:val="both"/>
      </w:pPr>
      <w:r w:rsidRPr="00A374F3">
        <w:lastRenderedPageBreak/>
        <w:t xml:space="preserve">Državno odvetništvo RS se podobno kot ostali državni organi sooča z vse manjšim interesom mladih za zaposlitev, povprečna starost, predvsem žensk, ki predstavljajo večino kolektiva na Državnem odvetništvu RS, pa se je v letu 2025 ponovno zvišala. Razlogi so kompleksni, med pomembnejše pa zagotovo sodijo tudi razmere na trgu dela (trenutno še vedno ugodne) in privlačnost delovnih mest, tudi z vidika plačila glede na odgovornost in izobrazbo </w:t>
      </w:r>
      <w:r w:rsidR="00962B65">
        <w:t xml:space="preserve">– </w:t>
      </w:r>
      <w:r w:rsidRPr="00A374F3">
        <w:t xml:space="preserve">zaradi vse večje kompleksnosti in odgovornosti nalog ter obsega dela ta trenutno ni optimalna. Manjše zanimanje mladih za zaposlitev je zaznati predvsem pri administrativnem kadru in pri pravnikih z opravljenim pravniškim državnim izpitom. </w:t>
      </w:r>
    </w:p>
    <w:p w14:paraId="77A1478B" w14:textId="77777777" w:rsidR="00A374F3" w:rsidRPr="00A374F3" w:rsidRDefault="00A374F3" w:rsidP="00A374F3">
      <w:pPr>
        <w:spacing w:line="240" w:lineRule="auto"/>
        <w:jc w:val="both"/>
      </w:pPr>
    </w:p>
    <w:p w14:paraId="01429690" w14:textId="77777777" w:rsidR="00A374F3" w:rsidRPr="00A374F3" w:rsidRDefault="00A374F3" w:rsidP="00A374F3">
      <w:pPr>
        <w:spacing w:line="240" w:lineRule="auto"/>
        <w:jc w:val="both"/>
      </w:pPr>
      <w:r w:rsidRPr="00A374F3">
        <w:t xml:space="preserve">Mladi kadri, tako pravniki kot administrativno osebje in sodelavci v sekretariatu in drugih organizacijskih enotah, so za uspešno delovanje Državnega odvetništva RS ključnega pomena, zato bo Državno odvetništvo RS nadaljevalo s prizadevanji, da bo mlajša generacija v organu bolj številčno zastopana. Za kakovostno opravljanje naših zakonskih nalog je namreč bistven prenos znanj, poleg tega je nujno, da je pristop k reševanju pravnih vprašanj, ki so vselej tudi družbeno pogojena, raznolik tudi z medgeneracijskega vidika. Prav tako velja, da lahko mladi kadri bistveno pripomorejo k učinkovitejšemu poslovanju, saj je splošno znano, da jim je digitalizirana oblika poslovanja bližje kot starejšim generacijam in morda že del njihovega osnovnega načina razmišljanja, zaradi česar lahko s svojimi izkušnjami bogato pripomorejo tako k uvajanju novih rešitev kot k uspešnejšemu prilagajanju starejšega kadra na nove tehnologije in digitalizirano poslovno okolje. </w:t>
      </w:r>
    </w:p>
    <w:p w14:paraId="7296B78D" w14:textId="77777777" w:rsidR="00A374F3" w:rsidRPr="00A374F3" w:rsidRDefault="00A374F3" w:rsidP="00A374F3">
      <w:pPr>
        <w:spacing w:line="240" w:lineRule="auto"/>
        <w:jc w:val="both"/>
      </w:pPr>
    </w:p>
    <w:p w14:paraId="1B0C80A1" w14:textId="3A3A163A" w:rsidR="00A374F3" w:rsidRPr="00A374F3" w:rsidRDefault="00A374F3" w:rsidP="00A374F3">
      <w:pPr>
        <w:spacing w:line="240" w:lineRule="auto"/>
        <w:jc w:val="both"/>
      </w:pPr>
      <w:r w:rsidRPr="00A374F3">
        <w:t>Vključenost mladih v vse delovne procese na Državne</w:t>
      </w:r>
      <w:r w:rsidR="00225E37">
        <w:t>m</w:t>
      </w:r>
      <w:r w:rsidRPr="00A374F3">
        <w:t xml:space="preserve"> odvetništv</w:t>
      </w:r>
      <w:r w:rsidR="00225E37">
        <w:t>u</w:t>
      </w:r>
      <w:r w:rsidRPr="00A374F3">
        <w:t xml:space="preserve"> RS je zato vitalnega pomena že na kratek rok, seveda pa tudi na dolgi rok, saj je mladi kader edino zagotovilo, da se bodo znanje, izkušnje in dobre prakse Državnega odvetništva RS prenašale tudi v prihodnje. Zaradi demografske strukture pravniškega kadra na Državnem odvetništvu RS bo v roku desetih do petnajstih let osip najizkušenejših državnih odvetnic in odvetnikov visok, kar bo, če ta kader ne bo nadomeščen, ogrozilo opravljanje glavnih pristojnosti Državnega odvetništva RS. Zaradi tega si je potrebno znotraj pravosodja tudi v prihodnje prizadevati za konkurenčnejše zaposlitvene pogoje in prepoznavnost delovanja Državnega odvetništva RS s strani potencialnih državnoodvetniških kandidatov že v času njihovega študija na pravnih fakultetah. Enako pomembno pa je poskrbeti za nemoteno poslovanje in zagotoviti, da se poklic na Državnem odvetništvu RS prepozna kot perspektiven tudi za druge poklicne profile, t. j. predvsem za potencialni nov kader v administraciji in v strokovnih službah. Leto 2025 je bilo sicer v tem oziru nekoliko ugodnejše, zaznati je bilo tudi več interesa za študentsko delo, kljub temu pa je delež mlajših kolegov še vedno prenizek. </w:t>
      </w:r>
    </w:p>
    <w:p w14:paraId="49AF6ECA" w14:textId="77777777" w:rsidR="00A374F3" w:rsidRPr="00A374F3" w:rsidRDefault="00A374F3" w:rsidP="00A374F3">
      <w:pPr>
        <w:spacing w:line="240" w:lineRule="auto"/>
        <w:jc w:val="both"/>
      </w:pPr>
    </w:p>
    <w:p w14:paraId="6A3A0E1A" w14:textId="77777777" w:rsidR="00A374F3" w:rsidRPr="00A374F3" w:rsidRDefault="00A374F3" w:rsidP="00A374F3">
      <w:pPr>
        <w:spacing w:line="240" w:lineRule="auto"/>
        <w:jc w:val="both"/>
      </w:pPr>
      <w:r w:rsidRPr="00A374F3">
        <w:t xml:space="preserve">Mladi kader na Državnem odvetništvu RS bo tudi v prihodnje redno vključen v delovne skupine in komisije, v katerih bodo lahko mlajši kolegi prispevali svoje znanje, ideje in vizijo, obenem pa se bodo usposabljali in pridobivali izkušnje, ki jim bodo omogočale prevzem večjih odgovornosti in s tem napredovanje na bolj zahtevna delovna mesta. </w:t>
      </w:r>
    </w:p>
    <w:p w14:paraId="503BE9AA" w14:textId="77777777" w:rsidR="00A374F3" w:rsidRPr="006D16C0" w:rsidRDefault="00A374F3" w:rsidP="00A374F3">
      <w:pPr>
        <w:autoSpaceDE w:val="0"/>
        <w:autoSpaceDN w:val="0"/>
        <w:adjustRightInd w:val="0"/>
        <w:spacing w:line="240" w:lineRule="auto"/>
        <w:rPr>
          <w:color w:val="000000"/>
          <w:sz w:val="28"/>
          <w:szCs w:val="28"/>
        </w:rPr>
      </w:pPr>
    </w:p>
    <w:p w14:paraId="25800004" w14:textId="30A5B825" w:rsidR="00A374F3" w:rsidRPr="00FF37CC" w:rsidRDefault="00A374F3" w:rsidP="00D8438A">
      <w:pPr>
        <w:pStyle w:val="Naslov3"/>
        <w:numPr>
          <w:ilvl w:val="0"/>
          <w:numId w:val="0"/>
        </w:numPr>
      </w:pPr>
      <w:bookmarkStart w:id="1275" w:name="_Toc223094178"/>
      <w:r w:rsidRPr="00FF37CC">
        <w:t>3.</w:t>
      </w:r>
      <w:r w:rsidR="00FF37CC" w:rsidRPr="00FF37CC">
        <w:t>3</w:t>
      </w:r>
      <w:r w:rsidRPr="00FF37CC">
        <w:t>.4 N</w:t>
      </w:r>
      <w:r w:rsidRPr="00FF37CC">
        <w:rPr>
          <w:rFonts w:eastAsia="Calibri"/>
        </w:rPr>
        <w:t>adaljnja optimizacija in digitalizacija poslovanja z vključevanjem rešitev umetne inteligence</w:t>
      </w:r>
      <w:bookmarkEnd w:id="1275"/>
    </w:p>
    <w:p w14:paraId="3A8D6A74" w14:textId="77777777" w:rsidR="00A374F3" w:rsidRPr="00D8438A" w:rsidRDefault="00A374F3" w:rsidP="00D8438A">
      <w:pPr>
        <w:autoSpaceDE w:val="0"/>
        <w:autoSpaceDN w:val="0"/>
        <w:adjustRightInd w:val="0"/>
        <w:spacing w:line="240" w:lineRule="auto"/>
        <w:rPr>
          <w:color w:val="007466"/>
          <w:sz w:val="28"/>
          <w:szCs w:val="28"/>
        </w:rPr>
      </w:pPr>
    </w:p>
    <w:p w14:paraId="5E39A52D" w14:textId="2E28A0A1" w:rsidR="00A374F3" w:rsidRPr="00A374F3" w:rsidRDefault="00A374F3" w:rsidP="00A374F3">
      <w:pPr>
        <w:autoSpaceDE w:val="0"/>
        <w:autoSpaceDN w:val="0"/>
        <w:adjustRightInd w:val="0"/>
        <w:spacing w:line="240" w:lineRule="auto"/>
        <w:jc w:val="both"/>
        <w:rPr>
          <w:color w:val="000000"/>
        </w:rPr>
      </w:pPr>
      <w:r w:rsidRPr="00A374F3">
        <w:rPr>
          <w:color w:val="000000"/>
        </w:rPr>
        <w:t xml:space="preserve">Z uvedbo e-poslovanja na segmentu vhodnih dokumentov Državnega odvetništva RS preko spletnega portala s posebnim poudarkom na povezovanju in odprtosti Državnega odvetništva RS do državljanov, gospodarskih subjektov in državnih institucij bo Državno odvetništvo RS </w:t>
      </w:r>
      <w:r w:rsidRPr="00A374F3">
        <w:rPr>
          <w:color w:val="000000"/>
        </w:rPr>
        <w:lastRenderedPageBreak/>
        <w:t xml:space="preserve">omogočilo večjo dostopnost in prilagojenost sodobnim načinom poslovanja ter preglednejše in hitrejše postopke, odpravljene bodo administrativne ovire brez naknadnega dopolnjevanja vlog, omogočena avtomatizacija obdelave dokumentov, povezava z </w:t>
      </w:r>
      <w:r w:rsidR="00225E37">
        <w:rPr>
          <w:color w:val="000000"/>
        </w:rPr>
        <w:t xml:space="preserve">dokumentno </w:t>
      </w:r>
      <w:r w:rsidRPr="00A374F3">
        <w:rPr>
          <w:color w:val="000000"/>
        </w:rPr>
        <w:t xml:space="preserve">informacijskim sistemom </w:t>
      </w:r>
      <w:r w:rsidR="00225E37">
        <w:rPr>
          <w:color w:val="000000"/>
        </w:rPr>
        <w:t>Feniks</w:t>
      </w:r>
      <w:r w:rsidRPr="00A374F3">
        <w:rPr>
          <w:color w:val="000000"/>
        </w:rPr>
        <w:t xml:space="preserve"> ter varna hramba dokumentov in vsebin ter kvalitetnejši podatki, pridobljeni na vnaprej predviden način.</w:t>
      </w:r>
    </w:p>
    <w:p w14:paraId="6482A2A9" w14:textId="77777777" w:rsidR="00A374F3" w:rsidRPr="00A374F3" w:rsidRDefault="00A374F3" w:rsidP="00A374F3">
      <w:pPr>
        <w:autoSpaceDE w:val="0"/>
        <w:autoSpaceDN w:val="0"/>
        <w:adjustRightInd w:val="0"/>
        <w:spacing w:line="240" w:lineRule="auto"/>
        <w:rPr>
          <w:color w:val="000000"/>
        </w:rPr>
      </w:pPr>
    </w:p>
    <w:p w14:paraId="02A71C25" w14:textId="77777777" w:rsidR="00A374F3" w:rsidRPr="00A374F3" w:rsidRDefault="00A374F3" w:rsidP="00A374F3">
      <w:pPr>
        <w:autoSpaceDE w:val="0"/>
        <w:autoSpaceDN w:val="0"/>
        <w:adjustRightInd w:val="0"/>
        <w:spacing w:line="240" w:lineRule="auto"/>
        <w:jc w:val="both"/>
        <w:rPr>
          <w:color w:val="000000"/>
        </w:rPr>
      </w:pPr>
      <w:r w:rsidRPr="00A374F3">
        <w:rPr>
          <w:color w:val="000000"/>
        </w:rPr>
        <w:t xml:space="preserve">Vse aktivnosti bodo tudi v prihodnje usmerjene v izvajanje Strategije digitalne transformacije Državnega odvetništva RS do 2030 ter v zvezi s tem v zagotavljanje tehničnih in vsebinskih pogojev ter </w:t>
      </w:r>
      <w:r w:rsidRPr="00A374F3">
        <w:t xml:space="preserve">upravljanje sprememb </w:t>
      </w:r>
      <w:r w:rsidRPr="00A374F3">
        <w:rPr>
          <w:color w:val="000000"/>
        </w:rPr>
        <w:t>v digitalnem okolju</w:t>
      </w:r>
      <w:r w:rsidRPr="00A374F3">
        <w:t xml:space="preserve">. </w:t>
      </w:r>
    </w:p>
    <w:p w14:paraId="5FEF5663" w14:textId="77777777" w:rsidR="00A374F3" w:rsidRPr="00A374F3" w:rsidRDefault="00A374F3" w:rsidP="00A374F3">
      <w:pPr>
        <w:autoSpaceDE w:val="0"/>
        <w:autoSpaceDN w:val="0"/>
        <w:adjustRightInd w:val="0"/>
        <w:spacing w:line="240" w:lineRule="auto"/>
        <w:jc w:val="both"/>
        <w:rPr>
          <w:color w:val="000000"/>
        </w:rPr>
      </w:pPr>
    </w:p>
    <w:p w14:paraId="7BD1EE7A" w14:textId="77777777" w:rsidR="00A374F3" w:rsidRPr="00A374F3" w:rsidRDefault="00A374F3" w:rsidP="00A374F3">
      <w:pPr>
        <w:autoSpaceDE w:val="0"/>
        <w:autoSpaceDN w:val="0"/>
        <w:adjustRightInd w:val="0"/>
        <w:spacing w:line="240" w:lineRule="auto"/>
        <w:jc w:val="both"/>
        <w:rPr>
          <w:color w:val="000000"/>
        </w:rPr>
      </w:pPr>
      <w:r w:rsidRPr="00A374F3">
        <w:t>Prehod na digitalno poslovanje v povezavi s tehnološkim razvojem in pomanjkanjem kadra sam po sebi narekuje iskanje možnosti za vključevanje rešitev umetne inteligence v različne delovne procese na Državnem odvetništvu RS. Državno odvetništvo RS si bo tudi v letu 2026 prizadevalo, da se k iskanjem rešitev pristopi usklajeno z ostalimi deležniki v pravosodju in na način, da bodo oblikovane rešitve zagotavljale varnost in transparentnost uporabe, varovanje občutljivih podatkov ter spoštovanje človekovih pravic, demokratičnih vrednot ter načela pravne države.</w:t>
      </w:r>
    </w:p>
    <w:p w14:paraId="3FB6BF59" w14:textId="77777777" w:rsidR="00A374F3" w:rsidRPr="00A374F3" w:rsidRDefault="00A374F3" w:rsidP="00A374F3">
      <w:pPr>
        <w:autoSpaceDE w:val="0"/>
        <w:autoSpaceDN w:val="0"/>
        <w:adjustRightInd w:val="0"/>
        <w:spacing w:line="240" w:lineRule="auto"/>
        <w:jc w:val="both"/>
        <w:rPr>
          <w:color w:val="000000"/>
        </w:rPr>
      </w:pPr>
    </w:p>
    <w:p w14:paraId="60D78B14" w14:textId="77777777" w:rsidR="00A374F3" w:rsidRPr="00A374F3" w:rsidRDefault="00A374F3" w:rsidP="00A374F3">
      <w:pPr>
        <w:autoSpaceDE w:val="0"/>
        <w:autoSpaceDN w:val="0"/>
        <w:adjustRightInd w:val="0"/>
        <w:spacing w:line="240" w:lineRule="auto"/>
        <w:jc w:val="both"/>
        <w:rPr>
          <w:color w:val="000000"/>
        </w:rPr>
      </w:pPr>
      <w:r w:rsidRPr="00A374F3">
        <w:t>Državno odvetništvo RS bo tudi v prihodnje skrbelo za prilagajanje</w:t>
      </w:r>
      <w:r w:rsidRPr="00A374F3">
        <w:rPr>
          <w:color w:val="000000"/>
        </w:rPr>
        <w:t xml:space="preserve"> notranje organizacije in kadrovske sestave potrebam organa, posledično pa zagotavljanje zadostnih prostorskih kapacitet, pisarniške in tehnične opreme ter posodobitev voznega parka. Spodbujalo bo v</w:t>
      </w:r>
      <w:r w:rsidRPr="00A374F3">
        <w:t>ečjo poklicno mobilnost in sposobnost hitrejšega prilagajanja potrebam delovnih procesov.</w:t>
      </w:r>
    </w:p>
    <w:p w14:paraId="47FF5EA0" w14:textId="77777777" w:rsidR="00A374F3" w:rsidRPr="006D16C0" w:rsidRDefault="00A374F3" w:rsidP="00A374F3">
      <w:pPr>
        <w:autoSpaceDE w:val="0"/>
        <w:autoSpaceDN w:val="0"/>
        <w:adjustRightInd w:val="0"/>
        <w:spacing w:line="240" w:lineRule="auto"/>
        <w:jc w:val="both"/>
        <w:rPr>
          <w:color w:val="000000"/>
          <w:sz w:val="28"/>
          <w:szCs w:val="28"/>
        </w:rPr>
      </w:pPr>
    </w:p>
    <w:p w14:paraId="2ADDEA3B" w14:textId="01A8F921" w:rsidR="00A374F3" w:rsidRPr="00FF37CC" w:rsidRDefault="00A374F3" w:rsidP="00FF37CC">
      <w:pPr>
        <w:pStyle w:val="Naslov3"/>
        <w:numPr>
          <w:ilvl w:val="0"/>
          <w:numId w:val="0"/>
        </w:numPr>
        <w:ind w:left="720" w:hanging="720"/>
      </w:pPr>
      <w:bookmarkStart w:id="1276" w:name="_Toc223094179"/>
      <w:r w:rsidRPr="00FF37CC">
        <w:t>3.</w:t>
      </w:r>
      <w:r w:rsidR="00FF37CC" w:rsidRPr="00FF37CC">
        <w:t>3</w:t>
      </w:r>
      <w:r w:rsidRPr="00FF37CC">
        <w:t>.5 Transparentnost poslovanja</w:t>
      </w:r>
      <w:bookmarkEnd w:id="1276"/>
    </w:p>
    <w:p w14:paraId="1E6FA590" w14:textId="77777777" w:rsidR="00A374F3" w:rsidRPr="00D8438A" w:rsidRDefault="00A374F3" w:rsidP="00D8438A">
      <w:pPr>
        <w:autoSpaceDE w:val="0"/>
        <w:autoSpaceDN w:val="0"/>
        <w:adjustRightInd w:val="0"/>
        <w:spacing w:line="240" w:lineRule="auto"/>
        <w:rPr>
          <w:color w:val="000000"/>
          <w:sz w:val="28"/>
          <w:szCs w:val="28"/>
        </w:rPr>
      </w:pPr>
    </w:p>
    <w:p w14:paraId="3C2F4DC5" w14:textId="77777777" w:rsidR="00A374F3" w:rsidRPr="00A374F3" w:rsidRDefault="00A374F3" w:rsidP="00A374F3">
      <w:pPr>
        <w:autoSpaceDE w:val="0"/>
        <w:autoSpaceDN w:val="0"/>
        <w:adjustRightInd w:val="0"/>
        <w:spacing w:line="240" w:lineRule="auto"/>
        <w:jc w:val="both"/>
        <w:rPr>
          <w:color w:val="000000"/>
        </w:rPr>
      </w:pPr>
      <w:r w:rsidRPr="00A374F3">
        <w:rPr>
          <w:color w:val="000000"/>
        </w:rPr>
        <w:t>Državno odvetništvo RS zagotavlja celovito, ažurno in transparentno obveščanje javnosti o svojem delu in o zadevah, ki sodijo v njegovo pristojnost in katerih vsebina dopušča obveščanje javnosti. Svojo vlogo bo Državno odvetništvo RS tudi v prihodnje krepilo preko premišljenega informiranja javnosti o svojem načinu dela, o vsebini svojih pristojnosti ter o posameznih vidikih zastopanja Državnega odvetništva RS pred nacionalnimi in mednarodnimi sodišči ter arbitražami. K temu bo pripomogla tudi prenova spletne strani.</w:t>
      </w:r>
    </w:p>
    <w:p w14:paraId="7DC74AD7" w14:textId="77777777" w:rsidR="00A374F3" w:rsidRPr="006D16C0" w:rsidRDefault="00A374F3" w:rsidP="00FF37CC">
      <w:pPr>
        <w:autoSpaceDE w:val="0"/>
        <w:autoSpaceDN w:val="0"/>
        <w:adjustRightInd w:val="0"/>
        <w:spacing w:line="240" w:lineRule="auto"/>
        <w:rPr>
          <w:color w:val="000000"/>
          <w:sz w:val="28"/>
          <w:szCs w:val="28"/>
        </w:rPr>
      </w:pPr>
    </w:p>
    <w:p w14:paraId="618F16DC" w14:textId="62134996" w:rsidR="00A374F3" w:rsidRPr="00FF37CC" w:rsidRDefault="00A374F3" w:rsidP="00D8438A">
      <w:pPr>
        <w:pStyle w:val="Naslov3"/>
        <w:numPr>
          <w:ilvl w:val="0"/>
          <w:numId w:val="0"/>
        </w:numPr>
      </w:pPr>
      <w:bookmarkStart w:id="1277" w:name="_Toc223094180"/>
      <w:r w:rsidRPr="00FF37CC">
        <w:t>3.</w:t>
      </w:r>
      <w:r w:rsidR="00FF37CC" w:rsidRPr="00FF37CC">
        <w:t>3</w:t>
      </w:r>
      <w:r w:rsidRPr="00FF37CC">
        <w:t>.6 Stimulativno delovno okolje, ki zaposlene motivira k inovativnosti in ustvarjalnosti</w:t>
      </w:r>
      <w:bookmarkEnd w:id="1277"/>
    </w:p>
    <w:p w14:paraId="496CE065" w14:textId="77777777" w:rsidR="00A374F3" w:rsidRPr="00D8438A" w:rsidRDefault="00A374F3" w:rsidP="00D8438A">
      <w:pPr>
        <w:autoSpaceDE w:val="0"/>
        <w:autoSpaceDN w:val="0"/>
        <w:adjustRightInd w:val="0"/>
        <w:spacing w:line="240" w:lineRule="auto"/>
        <w:rPr>
          <w:color w:val="007466"/>
          <w:sz w:val="28"/>
          <w:szCs w:val="28"/>
        </w:rPr>
      </w:pPr>
    </w:p>
    <w:p w14:paraId="70E960CC" w14:textId="77777777" w:rsidR="00A374F3" w:rsidRPr="00A374F3" w:rsidRDefault="00A374F3" w:rsidP="00A374F3">
      <w:pPr>
        <w:autoSpaceDE w:val="0"/>
        <w:autoSpaceDN w:val="0"/>
        <w:adjustRightInd w:val="0"/>
        <w:spacing w:line="240" w:lineRule="auto"/>
        <w:jc w:val="both"/>
        <w:rPr>
          <w:color w:val="000000"/>
        </w:rPr>
      </w:pPr>
      <w:r w:rsidRPr="00A374F3">
        <w:rPr>
          <w:color w:val="000000"/>
        </w:rPr>
        <w:t>Za uspešno delovanje Državnega odvetništva RS je bistveno stimulativno delovno okolje, ki zaposlene motivira k inovativnosti in ustvarjalnosti. Pri tem smo pozorni predvsem na naslednje vidike.</w:t>
      </w:r>
    </w:p>
    <w:p w14:paraId="443377B5" w14:textId="77777777" w:rsidR="00A374F3" w:rsidRPr="00A374F3" w:rsidRDefault="00A374F3" w:rsidP="00A374F3">
      <w:pPr>
        <w:autoSpaceDE w:val="0"/>
        <w:autoSpaceDN w:val="0"/>
        <w:adjustRightInd w:val="0"/>
        <w:spacing w:line="240" w:lineRule="auto"/>
        <w:jc w:val="both"/>
        <w:rPr>
          <w:color w:val="000000"/>
        </w:rPr>
      </w:pPr>
    </w:p>
    <w:p w14:paraId="05842F80" w14:textId="77777777" w:rsidR="00A374F3" w:rsidRPr="00A374F3" w:rsidRDefault="00A374F3" w:rsidP="006D16C0">
      <w:pPr>
        <w:numPr>
          <w:ilvl w:val="0"/>
          <w:numId w:val="157"/>
        </w:numPr>
        <w:autoSpaceDE w:val="0"/>
        <w:autoSpaceDN w:val="0"/>
        <w:adjustRightInd w:val="0"/>
        <w:spacing w:line="240" w:lineRule="auto"/>
        <w:jc w:val="both"/>
        <w:rPr>
          <w:color w:val="000000"/>
        </w:rPr>
      </w:pPr>
      <w:r w:rsidRPr="00A374F3">
        <w:rPr>
          <w:color w:val="000000"/>
        </w:rPr>
        <w:t xml:space="preserve">V osrčju našega načina dela je ustvarjanje medsebojnega zaupanja in sodelovanja med zaposlenimi znotraj Državnega odvetništva RS ter navzven s strankami, ki jih zastopamo. </w:t>
      </w:r>
    </w:p>
    <w:p w14:paraId="3B1F05AF" w14:textId="77777777" w:rsidR="00A374F3" w:rsidRPr="00A374F3" w:rsidRDefault="00A374F3" w:rsidP="00A374F3">
      <w:pPr>
        <w:autoSpaceDE w:val="0"/>
        <w:autoSpaceDN w:val="0"/>
        <w:adjustRightInd w:val="0"/>
        <w:spacing w:line="240" w:lineRule="auto"/>
        <w:ind w:left="720"/>
        <w:jc w:val="both"/>
        <w:rPr>
          <w:color w:val="000000"/>
        </w:rPr>
      </w:pPr>
    </w:p>
    <w:p w14:paraId="3029EFA7" w14:textId="77777777" w:rsidR="00A374F3" w:rsidRPr="00A374F3" w:rsidRDefault="00A374F3" w:rsidP="006D16C0">
      <w:pPr>
        <w:numPr>
          <w:ilvl w:val="0"/>
          <w:numId w:val="157"/>
        </w:numPr>
        <w:autoSpaceDE w:val="0"/>
        <w:autoSpaceDN w:val="0"/>
        <w:adjustRightInd w:val="0"/>
        <w:spacing w:line="240" w:lineRule="auto"/>
        <w:jc w:val="both"/>
        <w:rPr>
          <w:color w:val="000000"/>
        </w:rPr>
      </w:pPr>
      <w:r w:rsidRPr="00A374F3">
        <w:rPr>
          <w:color w:val="000000"/>
        </w:rPr>
        <w:t xml:space="preserve">Zaposlene spodbujamo k aktivnemu sodelovanju na posvetovanjih in izobraževanjih vseh državnih odvetnikov ter šolah in drugih oblikah izobraževanja, ki jih organizira CIP ali drugi izvajalci izobraževanj, s posebnim poudarkom na predstavitvi in  strokovni </w:t>
      </w:r>
      <w:r w:rsidRPr="00A374F3">
        <w:rPr>
          <w:color w:val="000000"/>
        </w:rPr>
        <w:lastRenderedPageBreak/>
        <w:t xml:space="preserve">obravnavi specifične problematike s področja dela in poslovanja Državnega odvetništva RS. </w:t>
      </w:r>
    </w:p>
    <w:p w14:paraId="53DBB4C8" w14:textId="77777777" w:rsidR="00A374F3" w:rsidRPr="00A374F3" w:rsidRDefault="00A374F3" w:rsidP="00A374F3">
      <w:pPr>
        <w:autoSpaceDE w:val="0"/>
        <w:autoSpaceDN w:val="0"/>
        <w:adjustRightInd w:val="0"/>
        <w:spacing w:line="240" w:lineRule="auto"/>
        <w:jc w:val="both"/>
        <w:rPr>
          <w:color w:val="000000"/>
        </w:rPr>
      </w:pPr>
    </w:p>
    <w:p w14:paraId="2EB331B4" w14:textId="77777777" w:rsidR="00A374F3" w:rsidRPr="00A374F3" w:rsidRDefault="00A374F3" w:rsidP="006D16C0">
      <w:pPr>
        <w:numPr>
          <w:ilvl w:val="0"/>
          <w:numId w:val="157"/>
        </w:numPr>
        <w:autoSpaceDE w:val="0"/>
        <w:autoSpaceDN w:val="0"/>
        <w:adjustRightInd w:val="0"/>
        <w:spacing w:line="240" w:lineRule="auto"/>
        <w:jc w:val="both"/>
        <w:rPr>
          <w:color w:val="000000"/>
        </w:rPr>
      </w:pPr>
      <w:r w:rsidRPr="00A374F3">
        <w:rPr>
          <w:color w:val="000000"/>
        </w:rPr>
        <w:t>Zavedamo se pomena učinkovitega in kakovostnega usposabljanja vseh zaposlenih na Državnem odvetništvu RS na vseh ravneh, prav tako pa usposabljanja in nenehnega preverjanja kompetentnosti vodstvenega kadra.</w:t>
      </w:r>
    </w:p>
    <w:p w14:paraId="2B868016" w14:textId="77777777" w:rsidR="00A374F3" w:rsidRPr="00A374F3" w:rsidRDefault="00A374F3" w:rsidP="00A374F3">
      <w:pPr>
        <w:autoSpaceDE w:val="0"/>
        <w:autoSpaceDN w:val="0"/>
        <w:adjustRightInd w:val="0"/>
        <w:spacing w:line="240" w:lineRule="auto"/>
        <w:jc w:val="both"/>
        <w:rPr>
          <w:color w:val="000000"/>
        </w:rPr>
      </w:pPr>
    </w:p>
    <w:p w14:paraId="61ECA096" w14:textId="77777777" w:rsidR="00A374F3" w:rsidRPr="00A374F3" w:rsidRDefault="00A374F3" w:rsidP="006D16C0">
      <w:pPr>
        <w:numPr>
          <w:ilvl w:val="0"/>
          <w:numId w:val="157"/>
        </w:numPr>
        <w:autoSpaceDE w:val="0"/>
        <w:autoSpaceDN w:val="0"/>
        <w:adjustRightInd w:val="0"/>
        <w:spacing w:line="240" w:lineRule="auto"/>
        <w:jc w:val="both"/>
        <w:rPr>
          <w:color w:val="000000"/>
        </w:rPr>
      </w:pPr>
      <w:r w:rsidRPr="00A374F3">
        <w:t xml:space="preserve">Na pomembno mesto postavljamo timsko delo, odprt pretok znanja in izkušenj med zaposlenimi ter vzpostavitev delovnega okolja, v katerem se rojevajo praktične ideje in </w:t>
      </w:r>
      <w:r w:rsidRPr="00A374F3">
        <w:rPr>
          <w:color w:val="000000"/>
        </w:rPr>
        <w:t>domiselne rešitve. S tem našim strankam zagotavljamo višjo kakovost storitev in večje možnosti za doseganje zastavljenih ciljev.</w:t>
      </w:r>
    </w:p>
    <w:p w14:paraId="4DD9771A" w14:textId="77777777" w:rsidR="00A374F3" w:rsidRPr="00A374F3" w:rsidRDefault="00A374F3" w:rsidP="00A374F3">
      <w:pPr>
        <w:autoSpaceDE w:val="0"/>
        <w:autoSpaceDN w:val="0"/>
        <w:adjustRightInd w:val="0"/>
        <w:spacing w:line="240" w:lineRule="auto"/>
        <w:ind w:left="720"/>
        <w:jc w:val="both"/>
        <w:rPr>
          <w:color w:val="000000"/>
        </w:rPr>
      </w:pPr>
    </w:p>
    <w:p w14:paraId="2ABB0DC4" w14:textId="77777777" w:rsidR="00A374F3" w:rsidRPr="00A374F3" w:rsidRDefault="00A374F3" w:rsidP="006D16C0">
      <w:pPr>
        <w:numPr>
          <w:ilvl w:val="0"/>
          <w:numId w:val="157"/>
        </w:numPr>
        <w:autoSpaceDE w:val="0"/>
        <w:autoSpaceDN w:val="0"/>
        <w:adjustRightInd w:val="0"/>
        <w:spacing w:line="240" w:lineRule="auto"/>
        <w:jc w:val="both"/>
        <w:rPr>
          <w:color w:val="000000"/>
        </w:rPr>
      </w:pPr>
      <w:r w:rsidRPr="00A374F3">
        <w:rPr>
          <w:color w:val="000000"/>
        </w:rPr>
        <w:t>Strokovni presežki, inovativnost in samoiniciativnost morajo biti ustrezno nagrajeni. Državno odvetništvo RS bo zato tudi v prihodnje izkoriščalo instrumente, ki jih omogoča plačna zakonodaja, za nagrajevanje in spodbujanje sodelavcev, ki izkazujejo presežne rezultate svojega dela in obenem kolegialen odnos do kolektiva.</w:t>
      </w:r>
    </w:p>
    <w:p w14:paraId="650BF291" w14:textId="77777777" w:rsidR="00A374F3" w:rsidRPr="006D16C0" w:rsidRDefault="00A374F3" w:rsidP="00A374F3">
      <w:pPr>
        <w:spacing w:line="240" w:lineRule="auto"/>
        <w:jc w:val="both"/>
        <w:rPr>
          <w:sz w:val="28"/>
          <w:szCs w:val="28"/>
        </w:rPr>
      </w:pPr>
    </w:p>
    <w:p w14:paraId="166580C4" w14:textId="0281B075" w:rsidR="00A374F3" w:rsidRPr="00A374F3" w:rsidRDefault="00A374F3" w:rsidP="00D8438A">
      <w:pPr>
        <w:pStyle w:val="Naslov3"/>
        <w:numPr>
          <w:ilvl w:val="0"/>
          <w:numId w:val="0"/>
        </w:numPr>
      </w:pPr>
      <w:bookmarkStart w:id="1278" w:name="_Toc223094181"/>
      <w:r w:rsidRPr="00A374F3">
        <w:t>3.</w:t>
      </w:r>
      <w:r w:rsidR="00FF37CC">
        <w:t>3</w:t>
      </w:r>
      <w:r w:rsidRPr="00A374F3">
        <w:t>.7 Intenzivnejše mednarodno sodelovanje z drugimi zastopniki držav in</w:t>
      </w:r>
      <w:r>
        <w:t xml:space="preserve"> </w:t>
      </w:r>
      <w:r w:rsidRPr="00A374F3">
        <w:t>ustanovitev mednarodnega združenja zastopnikov držav pred sodišči</w:t>
      </w:r>
      <w:bookmarkEnd w:id="1278"/>
    </w:p>
    <w:p w14:paraId="4F099BBF" w14:textId="77777777" w:rsidR="00A374F3" w:rsidRPr="00D8438A" w:rsidRDefault="00A374F3" w:rsidP="00A374F3">
      <w:pPr>
        <w:spacing w:line="240" w:lineRule="auto"/>
        <w:jc w:val="both"/>
        <w:rPr>
          <w:rFonts w:eastAsiaTheme="majorEastAsia"/>
          <w:b/>
          <w:color w:val="007466"/>
          <w:sz w:val="28"/>
          <w:szCs w:val="28"/>
        </w:rPr>
      </w:pPr>
    </w:p>
    <w:p w14:paraId="3EA8BF3C" w14:textId="77777777" w:rsidR="00A374F3" w:rsidRPr="00A374F3" w:rsidRDefault="00A374F3" w:rsidP="00A374F3">
      <w:pPr>
        <w:spacing w:line="240" w:lineRule="auto"/>
        <w:rPr>
          <w:rFonts w:eastAsiaTheme="majorEastAsia"/>
          <w:b/>
          <w:color w:val="007466"/>
        </w:rPr>
      </w:pPr>
      <w:r w:rsidRPr="00A374F3">
        <w:rPr>
          <w:rFonts w:eastAsiaTheme="majorEastAsia"/>
          <w:b/>
          <w:color w:val="007466"/>
        </w:rPr>
        <w:t>Izmenjava izkušenj in dobrih praks in izmenjava informacij o sodni praksi</w:t>
      </w:r>
    </w:p>
    <w:p w14:paraId="6ABD3A42" w14:textId="77777777" w:rsidR="00A374F3" w:rsidRPr="00A374F3" w:rsidRDefault="00A374F3" w:rsidP="00A374F3">
      <w:pPr>
        <w:spacing w:line="240" w:lineRule="auto"/>
        <w:jc w:val="both"/>
      </w:pPr>
      <w:r w:rsidRPr="00A374F3">
        <w:t>Državno odvetništvo RS se bo tudi v prihodnje vključevalo v programe EJTN, namenjene regionalnim izmenjavam. Namen je, da se preko enotedenskih izmenjav pridobi čim več znanja o možnih rešitvah čezmejnih sporov in o dobrih praksah organiziranosti zastopnikov države v sosednjih državah. Prek stikov, vzpostavljenih na mednarodnih srečanjih ter pri obiskih tujih delegacij na Državnem odvetništvu RS, bo tudi v bodoče potekala kolegialna pomoč pri pridobivanju sodne prakse ali drugih koristnih informacij.</w:t>
      </w:r>
    </w:p>
    <w:p w14:paraId="7870F188" w14:textId="77777777" w:rsidR="00A374F3" w:rsidRPr="00A374F3" w:rsidRDefault="00A374F3" w:rsidP="00A374F3">
      <w:pPr>
        <w:spacing w:line="240" w:lineRule="auto"/>
        <w:jc w:val="both"/>
      </w:pPr>
    </w:p>
    <w:p w14:paraId="1FEEDC67" w14:textId="77777777" w:rsidR="00A374F3" w:rsidRPr="00A374F3" w:rsidRDefault="00A374F3" w:rsidP="00A374F3">
      <w:pPr>
        <w:spacing w:line="240" w:lineRule="auto"/>
        <w:rPr>
          <w:rFonts w:eastAsiaTheme="majorEastAsia"/>
          <w:b/>
          <w:color w:val="007466"/>
        </w:rPr>
      </w:pPr>
      <w:r w:rsidRPr="00A374F3">
        <w:rPr>
          <w:rFonts w:eastAsiaTheme="majorEastAsia"/>
          <w:b/>
          <w:color w:val="007466"/>
        </w:rPr>
        <w:t>Ustanovitev mednarodnega združenja zastopnikov držav pred nacionalnimi sodišči</w:t>
      </w:r>
    </w:p>
    <w:p w14:paraId="298A27C6" w14:textId="77777777" w:rsidR="00A374F3" w:rsidRPr="00A374F3" w:rsidRDefault="00A374F3" w:rsidP="00A374F3">
      <w:pPr>
        <w:spacing w:line="240" w:lineRule="auto"/>
        <w:jc w:val="both"/>
      </w:pPr>
      <w:r w:rsidRPr="00A374F3">
        <w:t xml:space="preserve">Že leta 2021 je bila v organizaciji Državnega odvetništva RS v Ljubljani v okviru slovenskega predsedovanja Svetu EU izvedena mednarodna konferenca zastopnikov držav pred nacionalnimi sodišči, ki je potekala v hibridni obliki. Eden od osrednjih ciljev tridnevne konference je bila vzpostavitev temeljev za prihodnje mednarodno sodelovanje na ravni državnih odvetništev posameznih držav, ki imajo praviloma zelo različno umeščenost v pravosodni sistem, razlikujejo se v pristojnostih in nalogah ter v razmerjih do drugih državnih organov in sodišč. Kljub takšnim razlikam pa med državnimi odvetništvi obstajajo skupna prizadevanja za izmenjavo dobrih praks, ki državnim odvetništvom kot varuhom interesov države v sodnih postopkih predstavljajo izziv, da svoje delo opravljajo strokovno in poklicno odgovorno. Izpostavila se je slovenska pobuda za ustanovitev Mednarodnega združenja državnih odvetništev in državnih odvetnikov, ki je bila podprta tudi s strani udeležencev konference in ostaja cilj Državnega odvetništva RS. </w:t>
      </w:r>
    </w:p>
    <w:p w14:paraId="34248DEE" w14:textId="77777777" w:rsidR="00A374F3" w:rsidRPr="00A374F3" w:rsidRDefault="00A374F3" w:rsidP="00A374F3">
      <w:pPr>
        <w:spacing w:line="240" w:lineRule="auto"/>
        <w:jc w:val="both"/>
      </w:pPr>
    </w:p>
    <w:p w14:paraId="7965A35F" w14:textId="77777777" w:rsidR="00A374F3" w:rsidRPr="00A374F3" w:rsidRDefault="00A374F3" w:rsidP="00A374F3">
      <w:pPr>
        <w:spacing w:line="240" w:lineRule="auto"/>
        <w:jc w:val="both"/>
      </w:pPr>
      <w:r w:rsidRPr="00A374F3">
        <w:t xml:space="preserve">Za doseganje tega cilja je bila na Državnem odvetništvu RS v letu 2023 ustanovljena delovna skupina, ki je zlasti zadolžena za vzpostavitev oziroma za nadaljevanje že vzpostavljenega sodelovanja z organi, ki v drugih državah opravljajo primerljive naloge, kot jih Državno odvetništvo RS opravlja v Republiki Sloveniji, prav tako pa si prizadeva za dejavnosti v smeri </w:t>
      </w:r>
      <w:r w:rsidRPr="00A374F3">
        <w:lastRenderedPageBreak/>
        <w:t>ustanovitve mednarodnega združenja zastopnikov držav pred sodišči oziroma za krepitev izmenjave znanj, izkušenj in dobrih praks na področju zastopanja držav. Ker delovna skupina večjih aktivnosti v smeri ustanovitve mednarodnega združenja doslej ni izvajala, je v letu 2026 načrtovan pregled njenega dosedanjega dela in po potrebi posodobljen koncept dela in sestava delovne skupine.</w:t>
      </w:r>
    </w:p>
    <w:p w14:paraId="3D34673F" w14:textId="77777777" w:rsidR="00B22AC1" w:rsidRPr="00A374F3" w:rsidRDefault="00B22AC1" w:rsidP="00695AE2"/>
    <w:sectPr w:rsidR="00B22AC1" w:rsidRPr="00A374F3" w:rsidSect="001462ED">
      <w:footerReference w:type="default" r:id="rId9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1EE43" w14:textId="77777777" w:rsidR="007A094F" w:rsidRDefault="007A094F" w:rsidP="00EE1B49">
      <w:pPr>
        <w:spacing w:line="240" w:lineRule="auto"/>
      </w:pPr>
      <w:r>
        <w:separator/>
      </w:r>
    </w:p>
  </w:endnote>
  <w:endnote w:type="continuationSeparator" w:id="0">
    <w:p w14:paraId="7EEA70C5" w14:textId="77777777" w:rsidR="007A094F" w:rsidRDefault="007A094F" w:rsidP="00EE1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nkin Sans 700 Bold">
    <w:altName w:val="Calibri"/>
    <w:panose1 w:val="00000000000000000000"/>
    <w:charset w:val="00"/>
    <w:family w:val="roman"/>
    <w:notTrueType/>
    <w:pitch w:val="default"/>
  </w:font>
  <w:font w:name="Sinkin Sans 300 Light">
    <w:altName w:val="Calibri"/>
    <w:charset w:val="EE"/>
    <w:family w:val="roman"/>
    <w:pitch w:val="variable"/>
  </w:font>
  <w:font w:name="Segoe UI">
    <w:panose1 w:val="020B0502040204020203"/>
    <w:charset w:val="EE"/>
    <w:family w:val="swiss"/>
    <w:pitch w:val="variable"/>
    <w:sig w:usb0="E4002EFF" w:usb1="C000E47F" w:usb2="00000009" w:usb3="00000000" w:csb0="000001FF" w:csb1="00000000"/>
  </w:font>
  <w:font w:name="Sinkin Sans 500 Medium">
    <w:altName w:val="Calibri"/>
    <w:charset w:val="EE"/>
    <w:family w:val="roman"/>
    <w:pitch w:val="variable"/>
  </w:font>
  <w:font w:name="XLBEFY+SinkinSans-200XLight">
    <w:altName w:val="Arial"/>
    <w:charset w:val="EE"/>
    <w:family w:val="roman"/>
    <w:pitch w:val="variable"/>
  </w:font>
  <w:font w:name="Minion Pro">
    <w:charset w:val="EE"/>
    <w:family w:val="roman"/>
    <w:pitch w:val="variable"/>
  </w:font>
  <w:font w:name="ANPWVS+SinkinSans-200XLight">
    <w:altName w:val="ANPWVS+SinkinSans-200XLight"/>
    <w:charset w:val="EE"/>
    <w:family w:val="roman"/>
    <w:pitch w:val="variable"/>
  </w:font>
  <w:font w:name="LULHGM+SinkinSans-500Medium">
    <w:altName w:val="Arial"/>
    <w:charset w:val="EE"/>
    <w:family w:val="roman"/>
    <w:pitch w:val="variable"/>
  </w:font>
  <w:font w:name="Sinkin Sans 700 Bold Italic">
    <w:charset w:val="EE"/>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rialMT">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249987"/>
      <w:docPartObj>
        <w:docPartGallery w:val="Page Numbers (Bottom of Page)"/>
        <w:docPartUnique/>
      </w:docPartObj>
    </w:sdtPr>
    <w:sdtEndPr>
      <w:rPr>
        <w:sz w:val="16"/>
        <w:szCs w:val="16"/>
      </w:rPr>
    </w:sdtEndPr>
    <w:sdtContent>
      <w:p w14:paraId="6867B233" w14:textId="77777777" w:rsidR="00695AE2" w:rsidRPr="00AF1686" w:rsidRDefault="00695AE2">
        <w:pPr>
          <w:pStyle w:val="Noga"/>
          <w:jc w:val="right"/>
          <w:rPr>
            <w:sz w:val="16"/>
            <w:szCs w:val="16"/>
          </w:rPr>
        </w:pPr>
        <w:r w:rsidRPr="00AF1686">
          <w:rPr>
            <w:sz w:val="16"/>
            <w:szCs w:val="16"/>
          </w:rPr>
          <w:fldChar w:fldCharType="begin"/>
        </w:r>
        <w:r w:rsidRPr="00AF1686">
          <w:rPr>
            <w:sz w:val="16"/>
            <w:szCs w:val="16"/>
          </w:rPr>
          <w:instrText>PAGE   \* MERGEFORMAT</w:instrText>
        </w:r>
        <w:r w:rsidRPr="00AF1686">
          <w:rPr>
            <w:sz w:val="16"/>
            <w:szCs w:val="16"/>
          </w:rPr>
          <w:fldChar w:fldCharType="separate"/>
        </w:r>
        <w:r w:rsidRPr="00AF1686">
          <w:rPr>
            <w:sz w:val="16"/>
            <w:szCs w:val="16"/>
          </w:rPr>
          <w:t>2</w:t>
        </w:r>
        <w:r w:rsidRPr="00AF1686">
          <w:rPr>
            <w:sz w:val="16"/>
            <w:szCs w:val="16"/>
          </w:rPr>
          <w:fldChar w:fldCharType="end"/>
        </w:r>
      </w:p>
    </w:sdtContent>
  </w:sdt>
  <w:p w14:paraId="6D2C32A1" w14:textId="77777777" w:rsidR="00695AE2" w:rsidRDefault="00695AE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9730513"/>
      <w:docPartObj>
        <w:docPartGallery w:val="Page Numbers (Bottom of Page)"/>
        <w:docPartUnique/>
      </w:docPartObj>
    </w:sdtPr>
    <w:sdtEndPr>
      <w:rPr>
        <w:sz w:val="16"/>
        <w:szCs w:val="16"/>
      </w:rPr>
    </w:sdtEndPr>
    <w:sdtContent>
      <w:p w14:paraId="6FA51779" w14:textId="1AC7A96E" w:rsidR="001C2BFF" w:rsidRPr="005449AC" w:rsidRDefault="001C2BFF">
        <w:pPr>
          <w:pStyle w:val="Noga"/>
          <w:jc w:val="right"/>
          <w:rPr>
            <w:sz w:val="16"/>
            <w:szCs w:val="16"/>
          </w:rPr>
        </w:pPr>
        <w:r w:rsidRPr="005449AC">
          <w:rPr>
            <w:sz w:val="16"/>
            <w:szCs w:val="16"/>
          </w:rPr>
          <w:fldChar w:fldCharType="begin"/>
        </w:r>
        <w:r w:rsidRPr="005449AC">
          <w:rPr>
            <w:sz w:val="16"/>
            <w:szCs w:val="16"/>
          </w:rPr>
          <w:instrText>PAGE   \* MERGEFORMAT</w:instrText>
        </w:r>
        <w:r w:rsidRPr="005449AC">
          <w:rPr>
            <w:sz w:val="16"/>
            <w:szCs w:val="16"/>
          </w:rPr>
          <w:fldChar w:fldCharType="separate"/>
        </w:r>
        <w:r w:rsidRPr="005449AC">
          <w:rPr>
            <w:sz w:val="16"/>
            <w:szCs w:val="16"/>
          </w:rPr>
          <w:t>2</w:t>
        </w:r>
        <w:r w:rsidRPr="005449AC">
          <w:rPr>
            <w:sz w:val="16"/>
            <w:szCs w:val="16"/>
          </w:rPr>
          <w:fldChar w:fldCharType="end"/>
        </w:r>
      </w:p>
    </w:sdtContent>
  </w:sdt>
  <w:p w14:paraId="3F771C72" w14:textId="77777777" w:rsidR="001C2BFF" w:rsidRDefault="001C2BF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F14ED" w14:textId="77777777" w:rsidR="007A094F" w:rsidRDefault="007A094F" w:rsidP="00EE1B49">
      <w:pPr>
        <w:spacing w:line="240" w:lineRule="auto"/>
      </w:pPr>
      <w:r>
        <w:separator/>
      </w:r>
    </w:p>
  </w:footnote>
  <w:footnote w:type="continuationSeparator" w:id="0">
    <w:p w14:paraId="51030185" w14:textId="77777777" w:rsidR="007A094F" w:rsidRDefault="007A094F" w:rsidP="00EE1B49">
      <w:pPr>
        <w:spacing w:line="240" w:lineRule="auto"/>
      </w:pPr>
      <w:r>
        <w:continuationSeparator/>
      </w:r>
    </w:p>
  </w:footnote>
  <w:footnote w:id="1">
    <w:p w14:paraId="23AABF20" w14:textId="77777777" w:rsidR="00695AE2" w:rsidRPr="00C96775" w:rsidRDefault="00695AE2" w:rsidP="00695AE2">
      <w:pPr>
        <w:pStyle w:val="Sprotnaopomba-besedilo"/>
        <w:jc w:val="both"/>
        <w:rPr>
          <w:rFonts w:cstheme="minorHAnsi"/>
          <w:sz w:val="18"/>
          <w:szCs w:val="18"/>
        </w:rPr>
      </w:pPr>
      <w:r w:rsidRPr="00C96775">
        <w:rPr>
          <w:rStyle w:val="Sprotnaopomba-sklic"/>
          <w:rFonts w:eastAsiaTheme="majorEastAsia" w:cstheme="minorHAnsi"/>
          <w:sz w:val="18"/>
          <w:szCs w:val="18"/>
        </w:rPr>
        <w:footnoteRef/>
      </w:r>
      <w:r w:rsidRPr="00C96775">
        <w:rPr>
          <w:rFonts w:cstheme="minorHAnsi"/>
          <w:sz w:val="18"/>
          <w:szCs w:val="18"/>
        </w:rPr>
        <w:t xml:space="preserve"> Finančna prokuratura, ki je bila ustanovljena za zastopanje imovinskih interesov države pred sodišči, je v svojih osnovah naslednik nekdanjih fiskalov in podobnih organov iz let okoli 1500. Kmalu so nepriljubljene fiskale zamenjali komorni prokuratorji. Dejavnost državnih zastopnikov pred sodišči je urejala instrukcija za fiskalne urade (finančne prokurature, 10. 3. 1783). Dajala jim je tudi določene kompetence splošnega nadzora nad izvajanjem zakonitosti v upravi in v sodstvu ter zato pravico do udeležbe pri raznih uradnih dejanjih. Ustanovitev državnih pravdništev leta 1850 je močno zožila pristojnost finančnih prokuratur, vendar se je ta leta 1855 znova razširila. Po instrukciji 9. 3. 1898 so finančne prokurature pred sodišči in v upravnem postopku zastopale javne</w:t>
      </w:r>
      <w:r w:rsidRPr="00C96775">
        <w:rPr>
          <w:sz w:val="18"/>
          <w:szCs w:val="18"/>
        </w:rPr>
        <w:t xml:space="preserve"> </w:t>
      </w:r>
      <w:r w:rsidRPr="00C96775">
        <w:rPr>
          <w:rFonts w:cstheme="minorHAnsi"/>
          <w:sz w:val="18"/>
          <w:szCs w:val="18"/>
        </w:rPr>
        <w:t>interese ter dajale državnim organom pravna mnenja. Delovale so samo v deželnih glavnih mestih, a neodvisno od deželnih oblasti. V stari Jugoslaviji je delovanje teh organov urejal zakon o državnem pravobranilstvu (15. 7. 1934). Glej Vilfan, S.: Pravna zgodovina Slovencev, Slovenska matica, 1961.</w:t>
      </w:r>
    </w:p>
  </w:footnote>
  <w:footnote w:id="2">
    <w:p w14:paraId="6872E2A0" w14:textId="77777777" w:rsidR="00695AE2" w:rsidRPr="00C96775" w:rsidRDefault="00695AE2" w:rsidP="00695AE2">
      <w:pPr>
        <w:pStyle w:val="Sprotnaopomba-besedilo"/>
        <w:jc w:val="both"/>
        <w:rPr>
          <w:rFonts w:cstheme="minorHAnsi"/>
          <w:sz w:val="18"/>
          <w:szCs w:val="18"/>
        </w:rPr>
      </w:pPr>
      <w:r w:rsidRPr="00C96775">
        <w:rPr>
          <w:rStyle w:val="Sprotnaopomba-sklic"/>
          <w:rFonts w:eastAsiaTheme="majorEastAsia" w:cstheme="minorHAnsi"/>
          <w:sz w:val="18"/>
          <w:szCs w:val="18"/>
        </w:rPr>
        <w:footnoteRef/>
      </w:r>
      <w:r w:rsidRPr="00C96775">
        <w:rPr>
          <w:rFonts w:cstheme="minorHAnsi"/>
          <w:sz w:val="18"/>
          <w:szCs w:val="18"/>
        </w:rPr>
        <w:t xml:space="preserve"> Pregled povzet po Melik, J.: Državni pravobranilec Republike Slovenije in njegovi predhodniki, v: Arhivi 31 (2008), št. 2, str. 273–278.</w:t>
      </w:r>
    </w:p>
  </w:footnote>
  <w:footnote w:id="3">
    <w:p w14:paraId="1A6CF037" w14:textId="77777777" w:rsidR="00695AE2" w:rsidRPr="001A10AE" w:rsidRDefault="00695AE2" w:rsidP="00695AE2">
      <w:pPr>
        <w:pStyle w:val="fn1"/>
        <w:rPr>
          <w:rFonts w:cs="Calibri"/>
          <w:sz w:val="18"/>
          <w:szCs w:val="18"/>
        </w:rPr>
      </w:pPr>
      <w:r w:rsidRPr="001A10AE">
        <w:rPr>
          <w:rStyle w:val="Char1"/>
          <w:rFonts w:cs="Calibri"/>
          <w:sz w:val="18"/>
          <w:szCs w:val="18"/>
        </w:rPr>
        <w:footnoteRef/>
      </w:r>
      <w:r w:rsidRPr="001A10AE">
        <w:rPr>
          <w:rFonts w:cs="Calibri"/>
          <w:sz w:val="18"/>
          <w:szCs w:val="18"/>
        </w:rPr>
        <w:t xml:space="preserve"> Povzeto po Tratar, B.: Državno pravobranilstvo kot pravosodni državni organ, Pravosodni bilten 3/2014, str. 97.</w:t>
      </w:r>
    </w:p>
  </w:footnote>
  <w:footnote w:id="4">
    <w:p w14:paraId="60482A85" w14:textId="77777777" w:rsidR="00695AE2" w:rsidRPr="001A10AE" w:rsidRDefault="00695AE2" w:rsidP="00695AE2">
      <w:pPr>
        <w:spacing w:line="240" w:lineRule="auto"/>
        <w:jc w:val="both"/>
        <w:rPr>
          <w:sz w:val="18"/>
          <w:szCs w:val="18"/>
        </w:rPr>
      </w:pPr>
      <w:r w:rsidRPr="001A10AE">
        <w:rPr>
          <w:rStyle w:val="Char1"/>
          <w:sz w:val="18"/>
          <w:szCs w:val="18"/>
        </w:rPr>
        <w:footnoteRef/>
      </w:r>
      <w:r w:rsidRPr="001A10AE">
        <w:rPr>
          <w:sz w:val="18"/>
          <w:szCs w:val="18"/>
        </w:rPr>
        <w:t xml:space="preserve"> Povzeto po Tratar, B.: Primerjalnopravna ureditev organov, ki izvajajo pravobranilsko funkcijo, Pravosodni bilten 3/2014, str. 144.</w:t>
      </w:r>
    </w:p>
  </w:footnote>
  <w:footnote w:id="5">
    <w:p w14:paraId="4B942787" w14:textId="77777777" w:rsidR="00695AE2" w:rsidRPr="001A10AE" w:rsidRDefault="00695AE2" w:rsidP="00695AE2">
      <w:pPr>
        <w:pStyle w:val="fn1"/>
        <w:rPr>
          <w:rFonts w:cs="Calibri"/>
          <w:sz w:val="18"/>
          <w:szCs w:val="18"/>
        </w:rPr>
      </w:pPr>
      <w:r w:rsidRPr="001A10AE">
        <w:rPr>
          <w:rStyle w:val="Char1"/>
          <w:rFonts w:cs="Calibri"/>
          <w:sz w:val="18"/>
          <w:szCs w:val="18"/>
        </w:rPr>
        <w:footnoteRef/>
      </w:r>
      <w:r w:rsidRPr="001A10AE">
        <w:rPr>
          <w:rFonts w:cs="Calibri"/>
          <w:sz w:val="18"/>
          <w:szCs w:val="18"/>
        </w:rPr>
        <w:t xml:space="preserve">  Predlog Zakona o državnem odvetništvu, EVA 2014-2030-0001.</w:t>
      </w:r>
    </w:p>
  </w:footnote>
  <w:footnote w:id="6">
    <w:p w14:paraId="0DBD3F83" w14:textId="77777777" w:rsidR="00695AE2" w:rsidRPr="001A10AE" w:rsidRDefault="00695AE2" w:rsidP="00695AE2">
      <w:pPr>
        <w:pStyle w:val="fn1"/>
        <w:rPr>
          <w:rFonts w:cs="Calibri"/>
          <w:sz w:val="18"/>
          <w:szCs w:val="18"/>
        </w:rPr>
      </w:pPr>
      <w:r w:rsidRPr="001A10AE">
        <w:rPr>
          <w:rStyle w:val="Char1"/>
          <w:rFonts w:cs="Calibri"/>
          <w:sz w:val="18"/>
          <w:szCs w:val="18"/>
        </w:rPr>
        <w:footnoteRef/>
      </w:r>
      <w:r w:rsidRPr="001A10AE">
        <w:rPr>
          <w:rFonts w:cs="Calibri"/>
          <w:sz w:val="18"/>
          <w:szCs w:val="18"/>
        </w:rPr>
        <w:t xml:space="preserve"> Iz Pripomb in predlogov Državnega pravobranilstva za izboljšanje besedila predloga Zakona o državnem   odvetništvu z delovnim osnutkom ZDPra-1 z dne 5. 9. 2016.</w:t>
      </w:r>
    </w:p>
  </w:footnote>
  <w:footnote w:id="7">
    <w:p w14:paraId="303A336C" w14:textId="77777777" w:rsidR="00695AE2" w:rsidRPr="001A10AE" w:rsidRDefault="00695AE2" w:rsidP="00695AE2">
      <w:pPr>
        <w:pStyle w:val="fn1"/>
        <w:spacing w:afterLines="60" w:after="144"/>
        <w:rPr>
          <w:rFonts w:cs="Calibri"/>
          <w:sz w:val="18"/>
          <w:szCs w:val="18"/>
        </w:rPr>
      </w:pPr>
      <w:r w:rsidRPr="001A10AE">
        <w:rPr>
          <w:rStyle w:val="Char1"/>
          <w:rFonts w:cs="Calibri"/>
          <w:sz w:val="18"/>
          <w:szCs w:val="18"/>
        </w:rPr>
        <w:footnoteRef/>
      </w:r>
      <w:r w:rsidRPr="001A10AE">
        <w:rPr>
          <w:rFonts w:cs="Calibri"/>
          <w:sz w:val="18"/>
          <w:szCs w:val="18"/>
        </w:rPr>
        <w:t xml:space="preserve"> Dostopno na: </w:t>
      </w:r>
      <w:hyperlink r:id="rId1" w:history="1">
        <w:r w:rsidRPr="001A10AE">
          <w:rPr>
            <w:rStyle w:val="Hiperpovezava1"/>
            <w:rFonts w:cs="Calibri"/>
            <w:sz w:val="18"/>
            <w:szCs w:val="18"/>
          </w:rPr>
          <w:t>https://ds-rs.si/sl/novice/posvet-kaksnega-odvetnika-potrebuje-drzava</w:t>
        </w:r>
      </w:hyperlink>
      <w:r w:rsidRPr="001A10AE">
        <w:rPr>
          <w:rFonts w:cs="Calibri"/>
          <w:color w:val="1F4E79"/>
          <w:sz w:val="18"/>
          <w:szCs w:val="18"/>
        </w:rPr>
        <w:t xml:space="preserve"> (25. 3. 2023).</w:t>
      </w:r>
    </w:p>
  </w:footnote>
  <w:footnote w:id="8">
    <w:p w14:paraId="43D37DDE" w14:textId="77777777" w:rsidR="00695AE2" w:rsidRPr="001A10AE" w:rsidRDefault="00695AE2" w:rsidP="00695AE2">
      <w:pPr>
        <w:pStyle w:val="footnotedescription"/>
        <w:spacing w:line="240" w:lineRule="auto"/>
        <w:ind w:left="0"/>
        <w:jc w:val="both"/>
        <w:rPr>
          <w:sz w:val="18"/>
          <w:szCs w:val="18"/>
        </w:rPr>
      </w:pPr>
      <w:r w:rsidRPr="001A10AE">
        <w:rPr>
          <w:rStyle w:val="footnotemark"/>
          <w:rFonts w:ascii="Calibri" w:eastAsia="Calibri" w:hAnsi="Calibri" w:cs="Calibri"/>
          <w:sz w:val="18"/>
          <w:szCs w:val="18"/>
        </w:rPr>
        <w:footnoteRef/>
      </w:r>
      <w:r w:rsidRPr="001A10AE">
        <w:rPr>
          <w:sz w:val="18"/>
          <w:szCs w:val="18"/>
        </w:rPr>
        <w:t xml:space="preserve"> Sodba Vrhovnega sodišča RS, opr. št. II Ips 111/2009 z 10. septembra 2012. </w:t>
      </w:r>
    </w:p>
  </w:footnote>
  <w:footnote w:id="9">
    <w:p w14:paraId="23907A01" w14:textId="77777777" w:rsidR="00695AE2" w:rsidRDefault="00695AE2" w:rsidP="00695AE2">
      <w:pPr>
        <w:pStyle w:val="Sprotnaopomba-besedilo"/>
      </w:pPr>
      <w:r>
        <w:rPr>
          <w:rStyle w:val="Sprotnaopomba-sklic"/>
        </w:rPr>
        <w:footnoteRef/>
      </w:r>
      <w:r>
        <w:t xml:space="preserve"> </w:t>
      </w:r>
      <w:r w:rsidRPr="00495C0D">
        <w:rPr>
          <w:rFonts w:cstheme="minorHAnsi"/>
        </w:rPr>
        <w:t xml:space="preserve">Posnetek </w:t>
      </w:r>
      <w:r>
        <w:rPr>
          <w:rFonts w:cstheme="minorHAnsi"/>
        </w:rPr>
        <w:t xml:space="preserve">celotnega </w:t>
      </w:r>
      <w:r w:rsidRPr="00495C0D">
        <w:rPr>
          <w:rFonts w:cstheme="minorHAnsi"/>
        </w:rPr>
        <w:t>posveta</w:t>
      </w:r>
      <w:r>
        <w:rPr>
          <w:rFonts w:cstheme="minorHAnsi"/>
        </w:rPr>
        <w:t xml:space="preserve"> z dne 21. 3. 2023</w:t>
      </w:r>
      <w:r w:rsidRPr="00495C0D">
        <w:rPr>
          <w:rFonts w:cstheme="minorHAnsi"/>
        </w:rPr>
        <w:t xml:space="preserve"> je dostopen na povezavi: </w:t>
      </w:r>
      <w:hyperlink r:id="rId2" w:history="1">
        <w:r w:rsidRPr="003C7A45">
          <w:rPr>
            <w:rStyle w:val="Hiperpovezava"/>
            <w:rFonts w:cstheme="minorHAnsi"/>
          </w:rPr>
          <w:t>posvet: Kakšnega odvetnika potrebuje država?</w:t>
        </w:r>
      </w:hyperlink>
    </w:p>
  </w:footnote>
  <w:footnote w:id="10">
    <w:p w14:paraId="78A52F5C" w14:textId="77777777" w:rsidR="00695AE2" w:rsidRPr="00402ED8" w:rsidRDefault="00695AE2" w:rsidP="00695AE2">
      <w:pPr>
        <w:pStyle w:val="fn1"/>
        <w:spacing w:after="60"/>
        <w:rPr>
          <w:rFonts w:cs="Calibri"/>
        </w:rPr>
      </w:pPr>
      <w:r w:rsidRPr="00402ED8">
        <w:rPr>
          <w:rStyle w:val="Char1"/>
          <w:rFonts w:cs="Calibri"/>
        </w:rPr>
        <w:footnoteRef/>
      </w:r>
      <w:r w:rsidRPr="00402ED8">
        <w:rPr>
          <w:rFonts w:cs="Calibri"/>
        </w:rPr>
        <w:t xml:space="preserve"> Posnetek posveta</w:t>
      </w:r>
      <w:r>
        <w:rPr>
          <w:rFonts w:cs="Calibri"/>
        </w:rPr>
        <w:t xml:space="preserve"> iz leta 2016</w:t>
      </w:r>
      <w:r w:rsidRPr="00402ED8">
        <w:rPr>
          <w:rFonts w:cs="Calibri"/>
        </w:rPr>
        <w:t xml:space="preserve"> je dostopen na povezavi: </w:t>
      </w:r>
      <w:hyperlink r:id="rId3" w:history="1">
        <w:r w:rsidRPr="00402ED8">
          <w:rPr>
            <w:rStyle w:val="Hiperpovezava1"/>
            <w:rFonts w:cs="Calibri"/>
          </w:rPr>
          <w:t>https://www.youtube.com/watch?v=c5nOubuK7M8</w:t>
        </w:r>
      </w:hyperlink>
      <w:r w:rsidRPr="00402ED8">
        <w:rPr>
          <w:rFonts w:cs="Calibri"/>
        </w:rPr>
        <w:t xml:space="preserve">. </w:t>
      </w:r>
    </w:p>
  </w:footnote>
  <w:footnote w:id="11">
    <w:p w14:paraId="7416C2B2" w14:textId="77777777" w:rsidR="00695AE2" w:rsidRPr="009A2D16" w:rsidRDefault="00695AE2" w:rsidP="00695AE2">
      <w:pPr>
        <w:spacing w:line="240" w:lineRule="auto"/>
        <w:jc w:val="both"/>
        <w:rPr>
          <w:b/>
          <w:bCs/>
          <w:color w:val="007466"/>
          <w:sz w:val="20"/>
          <w:szCs w:val="20"/>
        </w:rPr>
      </w:pPr>
      <w:r w:rsidRPr="009A2D16">
        <w:rPr>
          <w:rStyle w:val="Sprotnaopomba-sklic"/>
          <w:color w:val="007466"/>
          <w:sz w:val="20"/>
          <w:szCs w:val="20"/>
        </w:rPr>
        <w:footnoteRef/>
      </w:r>
      <w:r w:rsidRPr="009A2D16">
        <w:rPr>
          <w:color w:val="007466"/>
          <w:sz w:val="20"/>
          <w:szCs w:val="20"/>
        </w:rPr>
        <w:t xml:space="preserve"> </w:t>
      </w:r>
      <w:r w:rsidRPr="009A2D16">
        <w:rPr>
          <w:b/>
          <w:bCs/>
          <w:color w:val="007466"/>
          <w:sz w:val="20"/>
          <w:szCs w:val="20"/>
        </w:rPr>
        <w:t>P</w:t>
      </w:r>
      <w:r w:rsidRPr="009A2D16">
        <w:rPr>
          <w:rFonts w:eastAsia="Times New Roman"/>
          <w:b/>
          <w:bCs/>
          <w:color w:val="007466"/>
          <w:sz w:val="20"/>
          <w:szCs w:val="20"/>
        </w:rPr>
        <w:t xml:space="preserve">ojasnilo glede </w:t>
      </w:r>
      <w:r>
        <w:rPr>
          <w:rFonts w:eastAsia="Times New Roman"/>
          <w:b/>
          <w:bCs/>
          <w:color w:val="007466"/>
          <w:sz w:val="20"/>
          <w:szCs w:val="20"/>
        </w:rPr>
        <w:t xml:space="preserve">smiselnosti </w:t>
      </w:r>
      <w:r w:rsidRPr="009A2D16">
        <w:rPr>
          <w:rFonts w:eastAsia="Times New Roman"/>
          <w:b/>
          <w:bCs/>
          <w:color w:val="007466"/>
          <w:sz w:val="20"/>
          <w:szCs w:val="20"/>
        </w:rPr>
        <w:t>dopolnitve 23.a člena Zakona o ustavnem sodišču z uvrstitvijo generalnega državnega odvetnika med subjekte, ki lahko zahtevajo oceno ustavnosti:</w:t>
      </w:r>
    </w:p>
    <w:p w14:paraId="2838249F" w14:textId="77777777" w:rsidR="00695AE2" w:rsidRPr="001E3B58" w:rsidRDefault="00695AE2" w:rsidP="00695AE2">
      <w:pPr>
        <w:pStyle w:val="Odstavekseznama"/>
        <w:keepNext/>
        <w:keepLines/>
        <w:spacing w:line="240" w:lineRule="auto"/>
        <w:ind w:left="360"/>
        <w:jc w:val="both"/>
        <w:outlineLvl w:val="4"/>
        <w:rPr>
          <w:rFonts w:eastAsia="Times New Roman"/>
          <w:b/>
          <w:color w:val="007466"/>
          <w:sz w:val="20"/>
          <w:szCs w:val="20"/>
        </w:rPr>
      </w:pPr>
    </w:p>
    <w:p w14:paraId="0CE1A847" w14:textId="77777777" w:rsidR="00695AE2" w:rsidRPr="001E3B58" w:rsidRDefault="00695AE2" w:rsidP="00695AE2">
      <w:pPr>
        <w:spacing w:line="240" w:lineRule="auto"/>
        <w:jc w:val="both"/>
        <w:rPr>
          <w:rFonts w:eastAsia="Calibri"/>
          <w:sz w:val="20"/>
          <w:szCs w:val="20"/>
        </w:rPr>
      </w:pPr>
      <w:r w:rsidRPr="001E3B58">
        <w:rPr>
          <w:rFonts w:eastAsia="Calibri"/>
          <w:sz w:val="20"/>
          <w:szCs w:val="20"/>
        </w:rPr>
        <w:t xml:space="preserve">Dolžnost varovanja ustavnih interesov, ki je z ZDOdv naložena državnim odvetnikom, ter narava dela Državnega odvetništva RS, zaradi katere Državno odvetništvo RS lahko pride v položaj, ko se od njega bodisi zahteva ravnanje, ki je lahko ustavno sporno zaradi tega, ker terja uporabo neustavnega zakona, bodisi morebiti neustavni zakon preprečuje učinkovito izvajanje pristojnosti Državnega odvetništva RS, terja po mnenju Državnega odvetništva RS povečanje pristojnosti Državnega odvetništva RS na področju varovanja ustave z dopolnitvijo 23.a člena Zakona o ustavnem sodišču (ZUstS) v smeri, da se med upravičene vlagatelje zahteve za začetek postopka za oceno ustavnosti oziroma zakonitosti predpisa ali splošnega akta, izdanega za izvrševanje javnih pooblastil, uvrsti tudi generalni državni odvetnik, in sicer podobno, kot velja za generalnega državnega tožilca, torej če nastane vprašanje ustavnosti v zvezi z zadevo, ki jo obravnava Državno odvetništvo RS in v kateri bi se lahko pokazal pravni interes države. K cilju zmanjševanja obremenitve ustavnega sodišča z namenom zagotavljanja njegove večje učinkovitosti in tudi učinkovitosti varstva človekovih pravic in temeljnih svoboščin bi </w:t>
      </w:r>
      <w:r>
        <w:rPr>
          <w:rFonts w:eastAsia="Calibri"/>
          <w:sz w:val="20"/>
          <w:szCs w:val="20"/>
        </w:rPr>
        <w:t xml:space="preserve">torej </w:t>
      </w:r>
      <w:r w:rsidRPr="001E3B58">
        <w:rPr>
          <w:rFonts w:eastAsia="Calibri"/>
          <w:sz w:val="20"/>
          <w:szCs w:val="20"/>
        </w:rPr>
        <w:t>lahko tvorno in kakovostno pripevalo tudi Državno odvetništvo RS, če bi tudi njemu bila podeljena pristojnost vlaganja zahtev.</w:t>
      </w:r>
      <w:r w:rsidRPr="00145305">
        <w:rPr>
          <w:rFonts w:eastAsia="Calibri"/>
          <w:sz w:val="20"/>
          <w:szCs w:val="20"/>
        </w:rPr>
        <w:t xml:space="preserve"> </w:t>
      </w:r>
      <w:r w:rsidRPr="001E3B58">
        <w:rPr>
          <w:rFonts w:eastAsia="Calibri"/>
          <w:sz w:val="20"/>
          <w:szCs w:val="20"/>
        </w:rPr>
        <w:t>Zaradi pomembnosti problematike in z namenom priprave predloga za umestitev Državnega odvetništva RS med subjekte, ki lahko zahtevajo oceno ustavnosti, je bila na Državnem odvetništvu RS z odredbo generalne državne odvetnice ustanovljena posebna delovna skupina</w:t>
      </w:r>
      <w:r>
        <w:rPr>
          <w:rFonts w:eastAsia="Calibri"/>
          <w:sz w:val="20"/>
          <w:szCs w:val="20"/>
        </w:rPr>
        <w:t>, ki je</w:t>
      </w:r>
      <w:r w:rsidRPr="001E3B58">
        <w:rPr>
          <w:rFonts w:eastAsia="Calibri"/>
          <w:sz w:val="20"/>
          <w:szCs w:val="20"/>
        </w:rPr>
        <w:t xml:space="preserve"> pripravila besedilo in obrazložitev predloga dopolnitve spremembe drugega odstavka 162. člena Ustave RS, kot je </w:t>
      </w:r>
      <w:r>
        <w:rPr>
          <w:rFonts w:eastAsia="Calibri"/>
          <w:sz w:val="20"/>
          <w:szCs w:val="20"/>
        </w:rPr>
        <w:t xml:space="preserve">bila </w:t>
      </w:r>
      <w:r w:rsidRPr="001E3B58">
        <w:rPr>
          <w:rFonts w:eastAsia="Calibri"/>
          <w:sz w:val="20"/>
          <w:szCs w:val="20"/>
        </w:rPr>
        <w:t>predvidena v predlogu EPA 0818-IX</w:t>
      </w:r>
      <w:r>
        <w:rPr>
          <w:rFonts w:eastAsia="Calibri"/>
          <w:sz w:val="20"/>
          <w:szCs w:val="20"/>
        </w:rPr>
        <w:t xml:space="preserve"> (</w:t>
      </w:r>
      <w:r w:rsidRPr="001E3B58">
        <w:rPr>
          <w:rFonts w:eastAsia="Calibri"/>
          <w:sz w:val="20"/>
          <w:szCs w:val="20"/>
        </w:rPr>
        <w:t>namen</w:t>
      </w:r>
      <w:r>
        <w:rPr>
          <w:rFonts w:eastAsia="Calibri"/>
          <w:sz w:val="20"/>
          <w:szCs w:val="20"/>
        </w:rPr>
        <w:t xml:space="preserve"> sprememb je bil</w:t>
      </w:r>
      <w:r w:rsidRPr="001E3B58">
        <w:rPr>
          <w:rFonts w:eastAsia="Calibri"/>
          <w:sz w:val="20"/>
          <w:szCs w:val="20"/>
        </w:rPr>
        <w:t xml:space="preserve">, </w:t>
      </w:r>
      <w:r>
        <w:rPr>
          <w:rFonts w:eastAsia="Calibri"/>
          <w:sz w:val="20"/>
          <w:szCs w:val="20"/>
        </w:rPr>
        <w:t xml:space="preserve">da se </w:t>
      </w:r>
      <w:r w:rsidRPr="001E3B58">
        <w:rPr>
          <w:rFonts w:eastAsia="Calibri"/>
          <w:sz w:val="20"/>
          <w:szCs w:val="20"/>
        </w:rPr>
        <w:t>ustavnemu sodišču zagotovi učinkovito opravljanje njegove funkcije varuha ustave ter človekovih pravic in temeljnih svoboščin</w:t>
      </w:r>
      <w:r>
        <w:rPr>
          <w:rFonts w:eastAsia="Calibri"/>
          <w:sz w:val="20"/>
          <w:szCs w:val="20"/>
        </w:rPr>
        <w:t>, kar pa je</w:t>
      </w:r>
      <w:r w:rsidRPr="001E3B58">
        <w:rPr>
          <w:rFonts w:eastAsia="Calibri"/>
          <w:sz w:val="20"/>
          <w:szCs w:val="20"/>
        </w:rPr>
        <w:t xml:space="preserve"> pogojeno tudi s kakovostjo vhodnih aktov, na podlagi katerih oziroma o katerih nato </w:t>
      </w:r>
      <w:r>
        <w:rPr>
          <w:rFonts w:eastAsia="Calibri"/>
          <w:sz w:val="20"/>
          <w:szCs w:val="20"/>
        </w:rPr>
        <w:t>U</w:t>
      </w:r>
      <w:r w:rsidRPr="001E3B58">
        <w:rPr>
          <w:rFonts w:eastAsia="Calibri"/>
          <w:sz w:val="20"/>
          <w:szCs w:val="20"/>
        </w:rPr>
        <w:t>stavno sodišče odloča</w:t>
      </w:r>
      <w:r>
        <w:rPr>
          <w:rFonts w:eastAsia="Calibri"/>
          <w:sz w:val="20"/>
          <w:szCs w:val="20"/>
        </w:rPr>
        <w:t>)</w:t>
      </w:r>
      <w:r w:rsidRPr="001E3B58">
        <w:rPr>
          <w:rFonts w:eastAsia="Calibri"/>
          <w:sz w:val="20"/>
          <w:szCs w:val="20"/>
        </w:rPr>
        <w:t>, tako da se med vlagatelje zahteve za oceno ustavnosti in zakonitosti predpisov vključi tudi Državno odvetništvo RS. Predlog je generalna državna odvetnica nato poslala državnemu zboru</w:t>
      </w:r>
      <w:r>
        <w:rPr>
          <w:rFonts w:eastAsia="Calibri"/>
          <w:sz w:val="20"/>
          <w:szCs w:val="20"/>
        </w:rPr>
        <w:t xml:space="preserve">, Državno odvetništvo RS pa je v nadaljevanju v zvezi z obravnavo svojega predloga </w:t>
      </w:r>
      <w:r w:rsidRPr="001E3B58">
        <w:rPr>
          <w:rFonts w:eastAsia="Calibri"/>
          <w:sz w:val="20"/>
          <w:szCs w:val="20"/>
        </w:rPr>
        <w:t>tvorno sodelovalo</w:t>
      </w:r>
      <w:r>
        <w:rPr>
          <w:rFonts w:eastAsia="Calibri"/>
          <w:sz w:val="20"/>
          <w:szCs w:val="20"/>
        </w:rPr>
        <w:t xml:space="preserve"> z ustavno komisijo</w:t>
      </w:r>
      <w:r w:rsidRPr="001E3B58">
        <w:rPr>
          <w:rFonts w:eastAsia="Calibri"/>
          <w:sz w:val="20"/>
          <w:szCs w:val="20"/>
        </w:rPr>
        <w:t xml:space="preserve">. </w:t>
      </w:r>
    </w:p>
    <w:p w14:paraId="48016E54" w14:textId="77777777" w:rsidR="00695AE2" w:rsidRDefault="00695AE2" w:rsidP="00695AE2">
      <w:pPr>
        <w:pStyle w:val="Sprotnaopomba-besedilo"/>
      </w:pPr>
    </w:p>
    <w:p w14:paraId="79F271BE" w14:textId="77777777" w:rsidR="00695AE2" w:rsidRDefault="00695AE2" w:rsidP="00695AE2">
      <w:pPr>
        <w:pStyle w:val="Sprotnaopomba-besedilo"/>
      </w:pPr>
    </w:p>
  </w:footnote>
  <w:footnote w:id="12">
    <w:p w14:paraId="65026F12" w14:textId="77777777" w:rsidR="00695AE2" w:rsidRPr="00B71456" w:rsidRDefault="00695AE2" w:rsidP="00695AE2">
      <w:pPr>
        <w:pStyle w:val="Sprotnaopomba-besedilo"/>
      </w:pPr>
      <w:r w:rsidRPr="00B71456">
        <w:rPr>
          <w:rStyle w:val="Sprotnaopomba-sklic"/>
        </w:rPr>
        <w:footnoteRef/>
      </w:r>
      <w:r w:rsidRPr="00B71456">
        <w:t xml:space="preserve"> 7. člen ZOKIPOSR</w:t>
      </w:r>
    </w:p>
    <w:p w14:paraId="296BF8DB" w14:textId="77777777" w:rsidR="00695AE2" w:rsidRPr="00B71456" w:rsidRDefault="00695AE2" w:rsidP="00695AE2">
      <w:pPr>
        <w:pStyle w:val="Sprotnaopomba-besedilo"/>
      </w:pPr>
      <w:r w:rsidRPr="00B71456">
        <w:t>(1) Postopek za uveljavitev zahtevka na podlagi tega zakona se prične z vložitvijo predloga za poravnavo pri Državnem odvetništvu.</w:t>
      </w:r>
    </w:p>
  </w:footnote>
  <w:footnote w:id="13">
    <w:p w14:paraId="2E36B1F1" w14:textId="77777777" w:rsidR="00695AE2" w:rsidRPr="00B71456" w:rsidRDefault="00695AE2" w:rsidP="00695AE2">
      <w:pPr>
        <w:pStyle w:val="Sprotnaopomba-besedilo"/>
      </w:pPr>
      <w:r w:rsidRPr="00B71456">
        <w:rPr>
          <w:rStyle w:val="Sprotnaopomba-sklic"/>
        </w:rPr>
        <w:footnoteRef/>
      </w:r>
      <w:r w:rsidRPr="00B71456">
        <w:t xml:space="preserve"> 17. člen ZOKIPOSR</w:t>
      </w:r>
    </w:p>
    <w:p w14:paraId="03552FDD" w14:textId="77777777" w:rsidR="00695AE2" w:rsidRPr="00B71456" w:rsidRDefault="00695AE2" w:rsidP="00695AE2">
      <w:pPr>
        <w:pStyle w:val="Sprotnaopomba-besedilo"/>
      </w:pPr>
      <w:r w:rsidRPr="00B71456">
        <w:t>(3) Z uveljavitvijo tega zakona se šteje, da je Republika Slovenija prevzela dolg odgovornega družbenika do upnikov iz 6. točke 2. člena tega zakona pod pogoji, ki jih za prevzem dolga določa zakon, ki ureja obligacijska razmerja, in da je upnik v prevzem dolga privolil ter da so prenehala vsa zavarovanja dolga.</w:t>
      </w:r>
    </w:p>
  </w:footnote>
  <w:footnote w:id="14">
    <w:p w14:paraId="7619E56F" w14:textId="77777777" w:rsidR="00695AE2" w:rsidRPr="00710304" w:rsidRDefault="00695AE2" w:rsidP="00695AE2">
      <w:pPr>
        <w:pStyle w:val="Sprotnaopomba-besedilo"/>
      </w:pPr>
      <w:r w:rsidRPr="00710304">
        <w:rPr>
          <w:rStyle w:val="Sprotnaopomba-sklic"/>
        </w:rPr>
        <w:footnoteRef/>
      </w:r>
      <w:r w:rsidRPr="00710304">
        <w:t xml:space="preserve"> </w:t>
      </w:r>
      <w:r w:rsidRPr="00CB5050">
        <w:rPr>
          <w:rFonts w:eastAsia="Calibri"/>
          <w:bCs/>
          <w:color w:val="000000"/>
          <w:szCs w:val="24"/>
        </w:rPr>
        <w:t xml:space="preserve">Ustavno sodišče je dne 4. 4. 2024 sprejelo odločitev </w:t>
      </w:r>
      <w:r w:rsidRPr="00CB5050">
        <w:rPr>
          <w:rFonts w:eastAsia="Calibri"/>
          <w:b/>
          <w:color w:val="000000"/>
          <w:szCs w:val="24"/>
        </w:rPr>
        <w:t>št. U-I-115/2023-14</w:t>
      </w:r>
      <w:r w:rsidRPr="00CB5050">
        <w:rPr>
          <w:rFonts w:eastAsia="Calibri"/>
          <w:bCs/>
          <w:color w:val="000000"/>
          <w:szCs w:val="24"/>
        </w:rPr>
        <w:t>, da točke 3, 6 in 8 2. člena, prvi odstavek 5. člena, drugi in četrti odstavek 8. člena ter tretji odstavek 17. člena Zakona o odpravi krivic zaradi izbrisa pravnih oseb iz sodnega registra v obdobju od 23. julija 1999 do 15. januarja 2008 (Uradni list RS, št. 186/21) niso v neskladju z Ustavo.</w:t>
      </w:r>
    </w:p>
  </w:footnote>
  <w:footnote w:id="15">
    <w:p w14:paraId="5A83BD59" w14:textId="77777777" w:rsidR="00695AE2" w:rsidRPr="00CB5050" w:rsidRDefault="00695AE2" w:rsidP="00695AE2">
      <w:pPr>
        <w:spacing w:line="240" w:lineRule="auto"/>
        <w:jc w:val="both"/>
        <w:rPr>
          <w:sz w:val="20"/>
          <w:szCs w:val="20"/>
        </w:rPr>
      </w:pPr>
      <w:r w:rsidRPr="00710304">
        <w:rPr>
          <w:rStyle w:val="Sprotnaopomba-sklic"/>
          <w:sz w:val="20"/>
          <w:szCs w:val="20"/>
        </w:rPr>
        <w:footnoteRef/>
      </w:r>
      <w:r w:rsidRPr="00710304">
        <w:rPr>
          <w:sz w:val="20"/>
          <w:szCs w:val="20"/>
        </w:rPr>
        <w:t xml:space="preserve"> S</w:t>
      </w:r>
      <w:r w:rsidRPr="00CB5050">
        <w:rPr>
          <w:sz w:val="20"/>
          <w:szCs w:val="20"/>
        </w:rPr>
        <w:t xml:space="preserve">odba Vrhovnega sodišča RS, opr. št. VIII Ips 196/2018 z dne 1. 2. 2022 je sledila odločitvi Sodišča EU v sodbi C-742/19 z dne 15. 7. 2021, s katero je bilo zavzeto stališče, da se v delovni čas všteje čas, ki ga je pripadnik prebil v odrejeni stalni pripravljenosti na določenem kraju, razen če je bila stalna pripravljenost odrejena v okviru vojaške dejavnosti v štirih, taksativno opisanih okoliščinah, ki izključujejo uporabo Direktive 2003/88/ES. Ker nacionalna zakonodaja nima ustreznih določb, s katerimi bi bilo določeno plačilo (urejeno je bilo le plačilo stalne pripravljenosti, ki se ne všteva v delovni čas), so pripadniki upravičeni do plačila, kot ga za redno delo določa pogodba o zaposlitvi v višini 100 % urne postavke in ne zgolj v višini 50 % dodatka, ki jim je bil že izplačan skladno z določbo 46. člena KPJS. </w:t>
      </w:r>
    </w:p>
    <w:p w14:paraId="0B03F100" w14:textId="77777777" w:rsidR="00695AE2" w:rsidRPr="00CB5050" w:rsidRDefault="00695AE2" w:rsidP="00695AE2">
      <w:pPr>
        <w:pStyle w:val="Sprotnaopomba-besedilo"/>
      </w:pPr>
      <w:r w:rsidRPr="00CB5050">
        <w:t>Vrhovno sodišče RS je v citirani sodbi presodilo, da je v tem primeru tožnik opravljal običajno službo (ni okoliščin, ki bi izključevale uporabo Direktive 2003/88/ES, ki so:</w:t>
      </w:r>
    </w:p>
    <w:p w14:paraId="31415588" w14:textId="77777777" w:rsidR="00695AE2" w:rsidRPr="00CB5050" w:rsidRDefault="00695AE2" w:rsidP="00695AE2">
      <w:pPr>
        <w:pStyle w:val="Sprotnaopomba-besedilo"/>
      </w:pPr>
      <w:r w:rsidRPr="00CB5050">
        <w:t>- kadar ta dejavnost poteka v okviru začetnega usposabljanja te osebe, operativnega urjenja ali vojaške operacije v pravem pomenu besede</w:t>
      </w:r>
    </w:p>
    <w:p w14:paraId="327B15A7" w14:textId="77777777" w:rsidR="00695AE2" w:rsidRPr="00CB5050" w:rsidRDefault="00695AE2" w:rsidP="00695AE2">
      <w:pPr>
        <w:pStyle w:val="Sprotnaopomba-besedilo"/>
      </w:pPr>
      <w:r w:rsidRPr="00CB5050">
        <w:t>-  kadar pomeni tako posebno dejavnost, da zanjo sistem rotacije zaposlenih, ki bi omogočal zagotoviti spoštovanje zahtev navedene direktive, ni primeren,</w:t>
      </w:r>
    </w:p>
    <w:p w14:paraId="36FA79F1" w14:textId="77777777" w:rsidR="00695AE2" w:rsidRPr="00CB5050" w:rsidRDefault="00695AE2" w:rsidP="00695AE2">
      <w:pPr>
        <w:pStyle w:val="Sprotnaopomba-besedilo"/>
      </w:pPr>
      <w:r w:rsidRPr="00CB5050">
        <w:t>- kadar je glede na vse upoštevne okoliščine razvidno, da se ta dejavnost opravlja v okviru izrednih dogodkov, katerih resnost in obseg zahtevata sprejetje ukrepov, ki so nujni za zaščito življenja, zdravja in varnosti skupnosti ter katerih dobra izvedba bi bila ogrožena, če bi bilo treba upoštevati vsa pravila, določena z navedeno direktivo,</w:t>
      </w:r>
    </w:p>
    <w:p w14:paraId="4224D6F6" w14:textId="77777777" w:rsidR="00695AE2" w:rsidRPr="00CB5050" w:rsidRDefault="00695AE2" w:rsidP="00695AE2">
      <w:pPr>
        <w:pStyle w:val="Sprotnaopomba-besedilo"/>
      </w:pPr>
      <w:r w:rsidRPr="00CB5050">
        <w:t>-  kadar bi se uporaba navedene direktive za tako dejavnost z naložitvijo dolžnosti zadevnim organom, da uvedejo sistem rotacije ali načrtovanja delovnega časa, lahko izvedla le v škodo dobre izvedbe vojaških operacij v pravem pomenu besede)</w:t>
      </w:r>
    </w:p>
    <w:p w14:paraId="1A576EFD" w14:textId="77777777" w:rsidR="00695AE2" w:rsidRPr="00CB5050" w:rsidRDefault="00695AE2" w:rsidP="00695AE2">
      <w:pPr>
        <w:pStyle w:val="Sprotnaopomba-besedilo"/>
      </w:pPr>
      <w:r w:rsidRPr="00CB5050">
        <w:t xml:space="preserve">in da se zato čas pripravljenosti na določenem kraju v okviru straže šteje v delovni čas. Posledično je ugotovilo, da ureditev 97. č člena Zakona o obrambi ni skladna z navedeno direktivo, ki ima zato vertikalni neposredni učinek (nacionalna zakonodaja pa se ne uporablja). Glede višine zahtevka je sodišče zaključilo, da ker 46. člen KPJS določa le dodatek za čas stalne pripravljenosti na določenem kraju, ki se ne šteje v delovni čas, te določbe pri odločitvi glede plačila ni mogoče upoštevati, zato se upoštevajo splošna pravila o plačilu, tj. plačilo po pogodbi o zaposlitvi, in se čas stalne pripravljenosti plača kot redno delo v višini 100 % plačila osnovne plače. </w:t>
      </w:r>
    </w:p>
    <w:p w14:paraId="2749AEA9" w14:textId="77777777" w:rsidR="00695AE2" w:rsidRPr="00710304" w:rsidRDefault="00695AE2" w:rsidP="00695AE2">
      <w:pPr>
        <w:pStyle w:val="Sprotnaopomba-besedilo"/>
      </w:pPr>
    </w:p>
  </w:footnote>
  <w:footnote w:id="16">
    <w:p w14:paraId="50BE5F90" w14:textId="77777777" w:rsidR="00695AE2" w:rsidRPr="00710304" w:rsidRDefault="00695AE2" w:rsidP="00695AE2">
      <w:pPr>
        <w:pStyle w:val="Sprotnaopomba-besedilo"/>
      </w:pPr>
      <w:r w:rsidRPr="00710304">
        <w:rPr>
          <w:rStyle w:val="Sprotnaopomba-sklic"/>
        </w:rPr>
        <w:footnoteRef/>
      </w:r>
      <w:r w:rsidRPr="00710304">
        <w:t xml:space="preserve"> O pritožbi je bilo odločeno s sklepom VDSS, opr. št. X Pdp 500/2024 z dne 12. 2. 2025</w:t>
      </w:r>
      <w:r>
        <w:t>.</w:t>
      </w:r>
    </w:p>
  </w:footnote>
  <w:footnote w:id="17">
    <w:p w14:paraId="3264ECCF" w14:textId="77777777" w:rsidR="00695AE2" w:rsidRPr="00710304" w:rsidRDefault="00695AE2" w:rsidP="00695AE2">
      <w:pPr>
        <w:pStyle w:val="Sprotnaopomba-besedilo"/>
      </w:pPr>
      <w:r w:rsidRPr="00710304">
        <w:rPr>
          <w:rStyle w:val="Sprotnaopomba-sklic"/>
        </w:rPr>
        <w:footnoteRef/>
      </w:r>
      <w:r w:rsidRPr="00710304">
        <w:t xml:space="preserve"> Zakon o štipendiranju in Pravilnik o dodeljevanju Zoisovih štipendij</w:t>
      </w:r>
    </w:p>
  </w:footnote>
  <w:footnote w:id="18">
    <w:p w14:paraId="64DD7E57" w14:textId="77777777" w:rsidR="00695AE2" w:rsidRPr="00710304" w:rsidRDefault="00695AE2" w:rsidP="00695AE2">
      <w:pPr>
        <w:pStyle w:val="Sprotnaopomba-besedilo"/>
      </w:pPr>
      <w:r w:rsidRPr="00710304">
        <w:rPr>
          <w:rStyle w:val="Sprotnaopomba-sklic"/>
        </w:rPr>
        <w:footnoteRef/>
      </w:r>
      <w:r w:rsidRPr="00710304">
        <w:t xml:space="preserve"> npr. Pravna praksa, št. 13-14, 2025, dr. Matej Avbelj, v članku: Kako se ministrstvo norčuje  iz pravne države in dijakov?</w:t>
      </w:r>
    </w:p>
  </w:footnote>
  <w:footnote w:id="19">
    <w:p w14:paraId="2044B1D7" w14:textId="77777777" w:rsidR="00695AE2" w:rsidRPr="00710304" w:rsidRDefault="00695AE2" w:rsidP="00695AE2">
      <w:pPr>
        <w:pStyle w:val="Sprotnaopomba-besedilo"/>
      </w:pPr>
      <w:r w:rsidRPr="00710304">
        <w:rPr>
          <w:rStyle w:val="Sprotnaopomba-sklic"/>
        </w:rPr>
        <w:footnoteRef/>
      </w:r>
      <w:r w:rsidRPr="00710304">
        <w:t xml:space="preserve"> 21. člen Zakona o štipendiranju</w:t>
      </w:r>
    </w:p>
  </w:footnote>
  <w:footnote w:id="20">
    <w:p w14:paraId="06673D9B" w14:textId="77777777" w:rsidR="00695AE2" w:rsidRPr="00710304" w:rsidRDefault="00695AE2" w:rsidP="00695AE2">
      <w:pPr>
        <w:pStyle w:val="Sprotnaopomba-besedilo"/>
      </w:pPr>
      <w:r w:rsidRPr="00710304">
        <w:rPr>
          <w:rStyle w:val="Sprotnaopomba-sklic"/>
        </w:rPr>
        <w:footnoteRef/>
      </w:r>
      <w:r w:rsidRPr="00710304">
        <w:t xml:space="preserve"> 22. člen Zakona o štipendiranju</w:t>
      </w:r>
    </w:p>
  </w:footnote>
  <w:footnote w:id="21">
    <w:p w14:paraId="41B31523" w14:textId="77777777" w:rsidR="00695AE2" w:rsidRPr="00710304" w:rsidRDefault="00695AE2" w:rsidP="00695AE2">
      <w:pPr>
        <w:pStyle w:val="Sprotnaopomba-besedilo"/>
      </w:pPr>
      <w:r w:rsidRPr="00710304">
        <w:rPr>
          <w:rStyle w:val="Sprotnaopomba-sklic"/>
        </w:rPr>
        <w:footnoteRef/>
      </w:r>
      <w:r w:rsidRPr="00710304">
        <w:t xml:space="preserve"> 24. člen Zakona o štipendiranju</w:t>
      </w:r>
    </w:p>
  </w:footnote>
  <w:footnote w:id="22">
    <w:p w14:paraId="0E3EB18A" w14:textId="77777777" w:rsidR="00695AE2" w:rsidRDefault="00695AE2" w:rsidP="00695AE2">
      <w:pPr>
        <w:pStyle w:val="Sprotnaopomba-besedilo"/>
      </w:pPr>
      <w:r>
        <w:rPr>
          <w:rStyle w:val="Sprotnaopomba-sklic"/>
        </w:rPr>
        <w:footnoteRef/>
      </w:r>
      <w:r>
        <w:t xml:space="preserve"> Uradni list RS, št. 48/22 – uradno prečiščeno besedilo, 40/23 – ZČmlS-1, 78/23 – ZORR, 84/23 – ZDOsk-1, 125/23 – odl. US, 133/23 in 90/25.</w:t>
      </w:r>
    </w:p>
  </w:footnote>
  <w:footnote w:id="23">
    <w:p w14:paraId="162DBC19" w14:textId="77777777" w:rsidR="00695AE2" w:rsidRPr="00680D13" w:rsidRDefault="00695AE2" w:rsidP="00695AE2">
      <w:pPr>
        <w:spacing w:line="240" w:lineRule="auto"/>
        <w:jc w:val="both"/>
        <w:rPr>
          <w:sz w:val="20"/>
          <w:szCs w:val="20"/>
        </w:rPr>
      </w:pPr>
      <w:r w:rsidRPr="00680D13">
        <w:rPr>
          <w:rStyle w:val="Sprotnaopomba-sklic"/>
        </w:rPr>
        <w:footnoteRef/>
      </w:r>
      <w:r w:rsidRPr="00680D13">
        <w:t xml:space="preserve"> </w:t>
      </w:r>
      <w:r w:rsidRPr="00680D13">
        <w:rPr>
          <w:sz w:val="20"/>
          <w:szCs w:val="20"/>
        </w:rPr>
        <w:t>Prva dva odstavka 28. člena ZPIZ-2 določata:</w:t>
      </w:r>
    </w:p>
    <w:p w14:paraId="7395D110" w14:textId="77777777" w:rsidR="00695AE2" w:rsidRPr="00680D13" w:rsidRDefault="00695AE2" w:rsidP="00695AE2">
      <w:pPr>
        <w:spacing w:line="240" w:lineRule="auto"/>
        <w:jc w:val="both"/>
        <w:rPr>
          <w:sz w:val="20"/>
          <w:szCs w:val="20"/>
        </w:rPr>
      </w:pPr>
      <w:r w:rsidRPr="00680D13">
        <w:rPr>
          <w:sz w:val="20"/>
          <w:szCs w:val="20"/>
        </w:rPr>
        <w:t>»(1) Starostne meje za pridobitev pravice do starostne pokojnine, določene v prejšnjem členu tega zakona, se lahko znižajo zaradi:</w:t>
      </w:r>
    </w:p>
    <w:p w14:paraId="558245AD" w14:textId="77777777" w:rsidR="00695AE2" w:rsidRPr="00680D13" w:rsidRDefault="00695AE2" w:rsidP="00695AE2">
      <w:pPr>
        <w:spacing w:line="240" w:lineRule="auto"/>
        <w:jc w:val="both"/>
        <w:rPr>
          <w:sz w:val="20"/>
          <w:szCs w:val="20"/>
        </w:rPr>
      </w:pPr>
      <w:r w:rsidRPr="00680D13">
        <w:rPr>
          <w:sz w:val="20"/>
          <w:szCs w:val="20"/>
        </w:rPr>
        <w:t>- skrbi za vsakega rojenega ali posvojenega otroka, za katerega je zavarovanec skrbel v prvem letu njegove starosti, ki ima državljanstvo Republike Slovenije, če ni z mednarodnim sporazumom drugače določeno, in sicer se starostna meja zniža za šest mesecev za enega otroka, za 16 mesecev za dva otroka, za 26 mesecev za tri otroke, za 36 mesecev za štiri otroke in za 48 mesecev za pet ali več otrok,</w:t>
      </w:r>
    </w:p>
    <w:p w14:paraId="01B7E939" w14:textId="77777777" w:rsidR="00695AE2" w:rsidRPr="00680D13" w:rsidRDefault="00695AE2" w:rsidP="00695AE2">
      <w:pPr>
        <w:spacing w:line="240" w:lineRule="auto"/>
        <w:jc w:val="both"/>
        <w:rPr>
          <w:sz w:val="20"/>
          <w:szCs w:val="20"/>
        </w:rPr>
      </w:pPr>
      <w:r w:rsidRPr="00680D13">
        <w:rPr>
          <w:sz w:val="20"/>
          <w:szCs w:val="20"/>
        </w:rPr>
        <w:t>- služenja obveznega vojaškega roka za dve tretjini njegovega dejanskega trajanja in</w:t>
      </w:r>
    </w:p>
    <w:p w14:paraId="077AEE5A" w14:textId="77777777" w:rsidR="00695AE2" w:rsidRPr="00680D13" w:rsidRDefault="00695AE2" w:rsidP="00695AE2">
      <w:pPr>
        <w:spacing w:line="240" w:lineRule="auto"/>
        <w:jc w:val="both"/>
        <w:rPr>
          <w:sz w:val="20"/>
          <w:szCs w:val="20"/>
        </w:rPr>
      </w:pPr>
      <w:r w:rsidRPr="00680D13">
        <w:rPr>
          <w:sz w:val="20"/>
          <w:szCs w:val="20"/>
        </w:rPr>
        <w:t>- vstopa v obvezno pokojninsko in invalidsko zavarovanje pred dopolnjenim 18. letom starosti za ves čas trajanja obveznega zavarovanja do dopolnjenega 18. leta starosti.</w:t>
      </w:r>
    </w:p>
    <w:p w14:paraId="1216A07B" w14:textId="77777777" w:rsidR="00695AE2" w:rsidRPr="00680D13" w:rsidRDefault="00695AE2" w:rsidP="00695AE2">
      <w:pPr>
        <w:spacing w:line="240" w:lineRule="auto"/>
        <w:jc w:val="both"/>
        <w:rPr>
          <w:sz w:val="20"/>
          <w:szCs w:val="20"/>
        </w:rPr>
      </w:pPr>
      <w:r w:rsidRPr="00680D13">
        <w:rPr>
          <w:sz w:val="20"/>
          <w:szCs w:val="20"/>
        </w:rPr>
        <w:t>(2) Do znižanja starostne meje po prvi alineji prvega odstavka tega člena je upravičena ženska, razen če je pravico do nadomestila iz naslova starševstva užival moški. Na tej podlagi se ženski oziroma moškemu, če je dopolnil 38 let pokojninske dobe brez dokupa, lahko zniža starostna meja, določena v prvem odstavku 27. člena tega zakona, največ do dopolnjenega 61. leta starosti. Če sta ženska oziroma moški dopolnila 40 let pokojninske dobe brez dokupa, pa se lahko zniža starostna meja, določena v četrtem odstavku 27. člena tega zakona, največ do dopolnjenega 56. leta starosti (ženska) oziroma do dopolnjenega 58. leta starosti (moški).«</w:t>
      </w:r>
    </w:p>
    <w:p w14:paraId="0917587B" w14:textId="77777777" w:rsidR="00695AE2" w:rsidRDefault="00695AE2" w:rsidP="00695AE2">
      <w:pPr>
        <w:pStyle w:val="Sprotnaopomba-besedilo"/>
      </w:pPr>
    </w:p>
  </w:footnote>
  <w:footnote w:id="24">
    <w:p w14:paraId="5FAA2E0D" w14:textId="77777777" w:rsidR="00695AE2" w:rsidRPr="00CB5050" w:rsidRDefault="00695AE2" w:rsidP="00695AE2">
      <w:pPr>
        <w:pStyle w:val="Sprotnaopomba-besedilo"/>
        <w:rPr>
          <w:sz w:val="18"/>
          <w:szCs w:val="18"/>
        </w:rPr>
      </w:pPr>
      <w:r w:rsidRPr="00CB5050">
        <w:rPr>
          <w:rStyle w:val="Sprotnaopomba-sklic"/>
          <w:rFonts w:eastAsia="Times New Roman"/>
          <w:sz w:val="18"/>
          <w:szCs w:val="18"/>
        </w:rPr>
        <w:footnoteRef/>
      </w:r>
      <w:r w:rsidRPr="00CB5050">
        <w:rPr>
          <w:sz w:val="18"/>
          <w:szCs w:val="18"/>
        </w:rPr>
        <w:t xml:space="preserve"> Odločba US RS U-I 60/98 z dne 16. 7. 1998.</w:t>
      </w:r>
    </w:p>
  </w:footnote>
  <w:footnote w:id="25">
    <w:p w14:paraId="1EB5963C" w14:textId="77777777" w:rsidR="00695AE2" w:rsidRPr="00CB5050" w:rsidRDefault="00695AE2" w:rsidP="00695AE2">
      <w:pPr>
        <w:pStyle w:val="Sprotnaopomba-besedilo"/>
        <w:rPr>
          <w:sz w:val="18"/>
          <w:szCs w:val="18"/>
        </w:rPr>
      </w:pPr>
      <w:r w:rsidRPr="00CB5050">
        <w:rPr>
          <w:rStyle w:val="Sprotnaopomba-sklic"/>
          <w:rFonts w:eastAsia="Times New Roman"/>
          <w:sz w:val="18"/>
          <w:szCs w:val="18"/>
        </w:rPr>
        <w:footnoteRef/>
      </w:r>
      <w:r w:rsidRPr="00CB5050">
        <w:rPr>
          <w:sz w:val="18"/>
          <w:szCs w:val="18"/>
        </w:rPr>
        <w:t xml:space="preserve"> Avbelj (ur.), 2019, str. 291.</w:t>
      </w:r>
    </w:p>
  </w:footnote>
  <w:footnote w:id="26">
    <w:p w14:paraId="37512E00" w14:textId="77777777" w:rsidR="00695AE2" w:rsidRPr="00710304" w:rsidRDefault="00695AE2" w:rsidP="00695AE2">
      <w:pPr>
        <w:widowControl w:val="0"/>
        <w:tabs>
          <w:tab w:val="left" w:pos="1440"/>
        </w:tabs>
        <w:jc w:val="both"/>
        <w:rPr>
          <w:rFonts w:eastAsia="Calibri"/>
          <w:color w:val="000000"/>
          <w:sz w:val="20"/>
          <w:szCs w:val="20"/>
        </w:rPr>
      </w:pPr>
      <w:r w:rsidRPr="00710304">
        <w:rPr>
          <w:rStyle w:val="Sprotnaopomba-sklic"/>
        </w:rPr>
        <w:footnoteRef/>
      </w:r>
      <w:r w:rsidRPr="00710304">
        <w:rPr>
          <w:rFonts w:eastAsia="Calibri"/>
          <w:color w:val="000000"/>
          <w:sz w:val="20"/>
          <w:szCs w:val="20"/>
        </w:rPr>
        <w:t xml:space="preserve"> V oktobru 2025 je bil navedeni člen, ki je uvajal novo obveznost Državnega odvetništva</w:t>
      </w:r>
      <w:r>
        <w:rPr>
          <w:rFonts w:eastAsia="Calibri"/>
          <w:color w:val="000000"/>
          <w:sz w:val="20"/>
          <w:szCs w:val="20"/>
        </w:rPr>
        <w:t xml:space="preserve"> RS</w:t>
      </w:r>
      <w:r w:rsidRPr="00710304">
        <w:rPr>
          <w:rFonts w:eastAsia="Calibri"/>
          <w:color w:val="000000"/>
          <w:sz w:val="20"/>
          <w:szCs w:val="20"/>
        </w:rPr>
        <w:t>, umaknjen iz Zakona o spremembah in dopolnitvah ZJF-K.</w:t>
      </w:r>
    </w:p>
    <w:p w14:paraId="405E844D" w14:textId="77777777" w:rsidR="00695AE2" w:rsidRPr="00710304" w:rsidRDefault="00695AE2" w:rsidP="00695AE2">
      <w:pPr>
        <w:pStyle w:val="Sprotnaopomba-besedilo"/>
      </w:pPr>
      <w:r w:rsidRPr="00710304">
        <w:t xml:space="preserve"> </w:t>
      </w:r>
    </w:p>
  </w:footnote>
  <w:footnote w:id="27">
    <w:p w14:paraId="050650B3" w14:textId="77777777" w:rsidR="00695AE2" w:rsidRPr="00CB5050" w:rsidRDefault="00695AE2" w:rsidP="00695AE2">
      <w:pPr>
        <w:pStyle w:val="Sprotnaopomba-besedilo"/>
      </w:pPr>
      <w:r w:rsidRPr="00CB5050">
        <w:rPr>
          <w:rStyle w:val="Sprotnaopomba-sklic"/>
        </w:rPr>
        <w:footnoteRef/>
      </w:r>
      <w:r w:rsidRPr="00CB5050">
        <w:t xml:space="preserve"> Uredba (EU) 2015/848 Evropskega parlamenta in Sveta z dne 20. 5. 2015 o postopkih v primeru insolventnosti (prenovitev).</w:t>
      </w:r>
    </w:p>
  </w:footnote>
  <w:footnote w:id="28">
    <w:p w14:paraId="5E528485" w14:textId="77777777" w:rsidR="00695AE2" w:rsidRPr="00710304" w:rsidRDefault="00695AE2" w:rsidP="00695AE2">
      <w:pPr>
        <w:pStyle w:val="Sprotnaopomba-besedilo"/>
        <w:spacing w:line="276" w:lineRule="auto"/>
      </w:pPr>
      <w:r w:rsidRPr="00710304">
        <w:rPr>
          <w:rStyle w:val="Sprotnaopomba-sklic"/>
        </w:rPr>
        <w:footnoteRef/>
      </w:r>
      <w:r w:rsidRPr="00710304">
        <w:t xml:space="preserve"> Predlog Zakona o spremembah in dopolnitvah zakona o dedovanju, EVA: 2015-2030-0018.</w:t>
      </w:r>
    </w:p>
  </w:footnote>
  <w:footnote w:id="29">
    <w:p w14:paraId="1EB2C393" w14:textId="77777777" w:rsidR="00695AE2" w:rsidRPr="00710304" w:rsidRDefault="00695AE2" w:rsidP="00695AE2">
      <w:pPr>
        <w:pStyle w:val="Sprotnaopomba-besedilo"/>
      </w:pPr>
      <w:r w:rsidRPr="00710304">
        <w:rPr>
          <w:rStyle w:val="Sprotnaopomba-sklic"/>
        </w:rPr>
        <w:footnoteRef/>
      </w:r>
      <w:r w:rsidRPr="00710304">
        <w:t xml:space="preserve"> »</w:t>
      </w:r>
      <w:r w:rsidRPr="00710304">
        <w:rPr>
          <w:i/>
          <w:iCs/>
          <w:color w:val="000000"/>
        </w:rPr>
        <w:t>ne ultra alterum tantum« pomeni</w:t>
      </w:r>
      <w:r w:rsidRPr="00710304">
        <w:rPr>
          <w:color w:val="000000"/>
        </w:rPr>
        <w:t>, da zamudne obresti prenehajo teči, ko vsota zapadlih in neizplačanih obresti doseže glavnico</w:t>
      </w:r>
    </w:p>
  </w:footnote>
  <w:footnote w:id="30">
    <w:p w14:paraId="4B05AF66" w14:textId="77777777" w:rsidR="00695AE2" w:rsidRPr="004D2003" w:rsidRDefault="00695AE2" w:rsidP="00695AE2">
      <w:pPr>
        <w:pStyle w:val="Sprotnaopomba-besedilo"/>
        <w:rPr>
          <w:color w:val="484848"/>
        </w:rPr>
      </w:pPr>
      <w:r w:rsidRPr="004D2003">
        <w:rPr>
          <w:rStyle w:val="Sprotnaopomba-sklic"/>
        </w:rPr>
        <w:footnoteRef/>
      </w:r>
      <w:r w:rsidRPr="004D2003">
        <w:t xml:space="preserve"> 46.člen ZNP-1</w:t>
      </w:r>
      <w:r w:rsidRPr="004D2003">
        <w:rPr>
          <w:color w:val="484848"/>
        </w:rPr>
        <w:t xml:space="preserve"> </w:t>
      </w:r>
    </w:p>
    <w:p w14:paraId="3426C375" w14:textId="77777777" w:rsidR="00695AE2" w:rsidRPr="00710304" w:rsidRDefault="00695AE2" w:rsidP="00695AE2">
      <w:pPr>
        <w:pStyle w:val="Sprotnaopomba-besedilo"/>
      </w:pPr>
      <w:r w:rsidRPr="00710304">
        <w:t>(1) Center za socialno delo lahko opravlja procesna dejanja v postopku pred sodiščem prve stopnje tudi po strokovnem delavcu, ki ga za to pooblasti direktor.</w:t>
      </w:r>
    </w:p>
    <w:p w14:paraId="4E252C74" w14:textId="77777777" w:rsidR="00695AE2" w:rsidRPr="00710304" w:rsidRDefault="00695AE2" w:rsidP="00695AE2">
      <w:pPr>
        <w:pStyle w:val="Sprotnaopomba-besedilo"/>
      </w:pPr>
      <w:r w:rsidRPr="00710304">
        <w:t>(2) Če sodišče oceni, da je zaradi varovanja koristi oseb iz drugega odstavka 6. člena tega zakona in zahtevnosti zadeve potrebno zastopanje po odvetniku ali drugi osebi, ki je opravila pravniški državni izpit, lahko sodišče Državno odvetništvo Republike Slovenije pozove, da prevzame zastopanje centra za socialno delo.</w:t>
      </w:r>
    </w:p>
    <w:p w14:paraId="03274CE4" w14:textId="77777777" w:rsidR="00695AE2" w:rsidRPr="00710304" w:rsidRDefault="00695AE2" w:rsidP="00695AE2">
      <w:pPr>
        <w:pStyle w:val="Sprotnaopomba-besedilo"/>
      </w:pPr>
    </w:p>
  </w:footnote>
  <w:footnote w:id="31">
    <w:p w14:paraId="15BD65C7" w14:textId="77777777" w:rsidR="00695AE2" w:rsidRPr="00710304" w:rsidRDefault="00695AE2" w:rsidP="00695AE2">
      <w:pPr>
        <w:pStyle w:val="Sprotnaopomba-besedilo"/>
      </w:pPr>
      <w:r w:rsidRPr="00710304">
        <w:rPr>
          <w:rStyle w:val="Sprotnaopomba-sklic"/>
        </w:rPr>
        <w:footnoteRef/>
      </w:r>
      <w:r w:rsidRPr="00710304">
        <w:t xml:space="preserve"> </w:t>
      </w:r>
      <w:r w:rsidRPr="00710304">
        <w:rPr>
          <w:b/>
          <w:bCs/>
        </w:rPr>
        <w:t>7. člen DZ</w:t>
      </w:r>
    </w:p>
    <w:p w14:paraId="1DF63773" w14:textId="77777777" w:rsidR="00695AE2" w:rsidRPr="00710304" w:rsidRDefault="00695AE2" w:rsidP="00695AE2">
      <w:pPr>
        <w:pStyle w:val="Sprotnaopomba-besedilo"/>
        <w:rPr>
          <w:b/>
          <w:bCs/>
        </w:rPr>
      </w:pPr>
      <w:r w:rsidRPr="00710304">
        <w:rPr>
          <w:b/>
          <w:bCs/>
        </w:rPr>
        <w:t>(načelo otrokove koristi)</w:t>
      </w:r>
    </w:p>
    <w:p w14:paraId="09B9EB15" w14:textId="77777777" w:rsidR="00695AE2" w:rsidRPr="00710304" w:rsidRDefault="00695AE2" w:rsidP="00695AE2">
      <w:pPr>
        <w:pStyle w:val="Sprotnaopomba-besedilo"/>
      </w:pPr>
      <w:r w:rsidRPr="00710304">
        <w:t>(1) Starši v vseh dejavnostih v zvezi z otrokom skrbijo za korist otroka. Otroke vzgajajo s spoštovanjem do njihove osebe, individualnosti in dostojanstva.</w:t>
      </w:r>
    </w:p>
    <w:p w14:paraId="3C7C2FDD" w14:textId="77777777" w:rsidR="00695AE2" w:rsidRPr="00710304" w:rsidRDefault="00695AE2" w:rsidP="00695AE2">
      <w:pPr>
        <w:pStyle w:val="Sprotnaopomba-besedilo"/>
      </w:pPr>
      <w:r w:rsidRPr="00710304">
        <w:t>(2) Starši imajo pri skrbi in odgovornosti za korist otroka prednost pred vsemi drugimi.</w:t>
      </w:r>
    </w:p>
    <w:p w14:paraId="034503B6" w14:textId="77777777" w:rsidR="00695AE2" w:rsidRPr="00710304" w:rsidRDefault="00695AE2" w:rsidP="00695AE2">
      <w:pPr>
        <w:pStyle w:val="Sprotnaopomba-besedilo"/>
      </w:pPr>
      <w:r w:rsidRPr="00710304">
        <w:t>(3) Starši delajo v korist otroka, če, zlasti ob upoštevanju osebnosti otroka, njegove starosti in razvojne stopnje ter hotenj, primerno zadovoljujejo njegove materialne, čustvene in psihosocialne potrebe z ravnanjem, ki kaže na njihovo skrb in odgovornost do otroka, ter mu nudijo primerno vzgojno vodstvo in ga spodbujajo v njegovem razvoju.</w:t>
      </w:r>
    </w:p>
    <w:p w14:paraId="09AC091B" w14:textId="77777777" w:rsidR="00695AE2" w:rsidRPr="00710304" w:rsidRDefault="00695AE2" w:rsidP="00695AE2">
      <w:pPr>
        <w:pStyle w:val="Sprotnaopomba-besedilo"/>
        <w:rPr>
          <w:b/>
          <w:bCs/>
        </w:rPr>
      </w:pPr>
      <w:r w:rsidRPr="00710304">
        <w:rPr>
          <w:b/>
          <w:bCs/>
        </w:rPr>
        <w:t>(4) Državni organi, izvajalci javnih služb, nosilci javnih pooblastil, organi lokalnih skupnosti ter druge fizične in pravne osebe morajo v vseh dejavnostih in postopkih v zvezi z otrokom skrbeti za korist otroka.</w:t>
      </w:r>
    </w:p>
    <w:p w14:paraId="27E5F5D4" w14:textId="77777777" w:rsidR="00695AE2" w:rsidRPr="00710304" w:rsidRDefault="00695AE2" w:rsidP="00695AE2">
      <w:pPr>
        <w:pStyle w:val="Sprotnaopomba-besedilo"/>
      </w:pPr>
      <w:r w:rsidRPr="00710304">
        <w:t>(5) Država zagotavlja pogoje za delovanje nevladnih organizacij in strokovnih institucij za razvijanje pozitivnega starševstva.</w:t>
      </w:r>
    </w:p>
    <w:p w14:paraId="3C148625" w14:textId="77777777" w:rsidR="00695AE2" w:rsidRPr="00710304" w:rsidRDefault="00695AE2" w:rsidP="00695AE2">
      <w:pPr>
        <w:pStyle w:val="Sprotnaopomba-besedilo"/>
      </w:pPr>
    </w:p>
  </w:footnote>
  <w:footnote w:id="32">
    <w:p w14:paraId="7A6B169D" w14:textId="77777777" w:rsidR="00695AE2" w:rsidRPr="00710304" w:rsidRDefault="00695AE2" w:rsidP="00695AE2">
      <w:pPr>
        <w:pStyle w:val="Sprotnaopomba-besedilo"/>
        <w:spacing w:line="276" w:lineRule="auto"/>
        <w:rPr>
          <w:sz w:val="18"/>
          <w:szCs w:val="18"/>
        </w:rPr>
      </w:pPr>
      <w:r w:rsidRPr="00CB5050">
        <w:rPr>
          <w:rStyle w:val="Sprotnaopomba-sklic"/>
          <w:rFonts w:eastAsia="Times New Roman"/>
          <w:sz w:val="18"/>
          <w:szCs w:val="18"/>
        </w:rPr>
        <w:footnoteRef/>
      </w:r>
      <w:r w:rsidRPr="00710304">
        <w:rPr>
          <w:sz w:val="18"/>
          <w:szCs w:val="18"/>
        </w:rPr>
        <w:t xml:space="preserve"> 37.člen ZNP-1 določa, da je zoper sklep sodišča druge stopnje, s katerim je postopek pravnomočno končan, dovoljena revizija pod pogoji, ki jih določa ZPP.</w:t>
      </w:r>
    </w:p>
  </w:footnote>
  <w:footnote w:id="33">
    <w:p w14:paraId="794F6D08" w14:textId="77777777" w:rsidR="00695AE2" w:rsidRPr="00710304" w:rsidRDefault="00695AE2" w:rsidP="00695AE2">
      <w:pPr>
        <w:spacing w:line="240" w:lineRule="auto"/>
        <w:jc w:val="both"/>
        <w:rPr>
          <w:sz w:val="20"/>
          <w:szCs w:val="20"/>
        </w:rPr>
      </w:pPr>
      <w:r w:rsidRPr="00710304">
        <w:rPr>
          <w:rStyle w:val="Sprotnaopomba-sklic"/>
          <w:sz w:val="20"/>
          <w:szCs w:val="20"/>
        </w:rPr>
        <w:footnoteRef/>
      </w:r>
      <w:r w:rsidRPr="00710304">
        <w:rPr>
          <w:sz w:val="20"/>
          <w:szCs w:val="20"/>
        </w:rPr>
        <w:t xml:space="preserve"> 55. b člen Zakona o ustavnem sodišču</w:t>
      </w:r>
    </w:p>
    <w:p w14:paraId="7716D09A" w14:textId="77777777" w:rsidR="00695AE2" w:rsidRPr="00710304" w:rsidRDefault="00695AE2" w:rsidP="00695AE2">
      <w:pPr>
        <w:spacing w:line="240" w:lineRule="auto"/>
        <w:jc w:val="both"/>
        <w:rPr>
          <w:sz w:val="20"/>
          <w:szCs w:val="20"/>
        </w:rPr>
      </w:pPr>
      <w:r w:rsidRPr="00710304">
        <w:rPr>
          <w:sz w:val="20"/>
          <w:szCs w:val="20"/>
        </w:rPr>
        <w:t>(1)Ustavna pritožba se zavrže:</w:t>
      </w:r>
    </w:p>
    <w:p w14:paraId="414D9829" w14:textId="77777777" w:rsidR="00695AE2" w:rsidRPr="00710304" w:rsidRDefault="00695AE2" w:rsidP="00695AE2">
      <w:pPr>
        <w:spacing w:line="240" w:lineRule="auto"/>
        <w:jc w:val="both"/>
        <w:rPr>
          <w:sz w:val="20"/>
          <w:szCs w:val="20"/>
        </w:rPr>
      </w:pPr>
      <w:r w:rsidRPr="00710304">
        <w:rPr>
          <w:sz w:val="20"/>
          <w:szCs w:val="20"/>
        </w:rPr>
        <w:t>- če ne gre za posamičen akt državnega organa, organa lokalne skupnosti ali nosilca javnih pooblastil, s katerim bi bilo odločeno o pritožnikovi pravici, obveznosti ali o pravni koristi,</w:t>
      </w:r>
    </w:p>
    <w:p w14:paraId="58D32C3E" w14:textId="77777777" w:rsidR="00695AE2" w:rsidRPr="00710304" w:rsidRDefault="00695AE2" w:rsidP="00695AE2">
      <w:pPr>
        <w:spacing w:line="240" w:lineRule="auto"/>
        <w:jc w:val="both"/>
        <w:rPr>
          <w:sz w:val="20"/>
          <w:szCs w:val="20"/>
        </w:rPr>
      </w:pPr>
      <w:r w:rsidRPr="00710304">
        <w:rPr>
          <w:sz w:val="20"/>
          <w:szCs w:val="20"/>
        </w:rPr>
        <w:t>- če pritožnik nima pravnega interesa za odločitev o ustavni pritožbi,</w:t>
      </w:r>
    </w:p>
    <w:p w14:paraId="38552E13" w14:textId="77777777" w:rsidR="00695AE2" w:rsidRPr="00710304" w:rsidRDefault="00695AE2" w:rsidP="00695AE2">
      <w:pPr>
        <w:spacing w:line="240" w:lineRule="auto"/>
        <w:jc w:val="both"/>
        <w:rPr>
          <w:sz w:val="20"/>
          <w:szCs w:val="20"/>
        </w:rPr>
      </w:pPr>
      <w:r w:rsidRPr="00710304">
        <w:rPr>
          <w:sz w:val="20"/>
          <w:szCs w:val="20"/>
        </w:rPr>
        <w:t>- če ni dovoljena, razen v primeru iz tretjega odstavka prejšnjega člena,</w:t>
      </w:r>
    </w:p>
    <w:p w14:paraId="36D569CB" w14:textId="77777777" w:rsidR="00695AE2" w:rsidRPr="00710304" w:rsidRDefault="00695AE2" w:rsidP="00695AE2">
      <w:pPr>
        <w:spacing w:line="240" w:lineRule="auto"/>
        <w:jc w:val="both"/>
        <w:rPr>
          <w:sz w:val="20"/>
          <w:szCs w:val="20"/>
        </w:rPr>
      </w:pPr>
      <w:r w:rsidRPr="00710304">
        <w:rPr>
          <w:sz w:val="20"/>
          <w:szCs w:val="20"/>
        </w:rPr>
        <w:t>- če je prepozna, razen v primeru iz tretjega odstavka 52. člena tega zakona,</w:t>
      </w:r>
    </w:p>
    <w:p w14:paraId="344850E3" w14:textId="77777777" w:rsidR="00695AE2" w:rsidRPr="00710304" w:rsidRDefault="00695AE2" w:rsidP="00695AE2">
      <w:pPr>
        <w:spacing w:line="240" w:lineRule="auto"/>
        <w:jc w:val="both"/>
        <w:rPr>
          <w:sz w:val="20"/>
          <w:szCs w:val="20"/>
        </w:rPr>
      </w:pPr>
      <w:r w:rsidRPr="00710304">
        <w:rPr>
          <w:sz w:val="20"/>
          <w:szCs w:val="20"/>
        </w:rPr>
        <w:t>- če niso izčrpana pravna sredstva, razen v primeru iz drugega odstavka 51. člena tega zakona,</w:t>
      </w:r>
    </w:p>
    <w:p w14:paraId="5553DA86" w14:textId="77777777" w:rsidR="00695AE2" w:rsidRPr="00710304" w:rsidRDefault="00695AE2" w:rsidP="00695AE2">
      <w:pPr>
        <w:spacing w:line="240" w:lineRule="auto"/>
        <w:jc w:val="both"/>
        <w:rPr>
          <w:sz w:val="20"/>
          <w:szCs w:val="20"/>
        </w:rPr>
      </w:pPr>
      <w:r w:rsidRPr="00710304">
        <w:rPr>
          <w:sz w:val="20"/>
          <w:szCs w:val="20"/>
        </w:rPr>
        <w:t>- če jo je vložila neupravičena oseba,</w:t>
      </w:r>
    </w:p>
    <w:p w14:paraId="0CF31A27" w14:textId="77777777" w:rsidR="00695AE2" w:rsidRPr="00710304" w:rsidRDefault="00695AE2" w:rsidP="00695AE2">
      <w:pPr>
        <w:spacing w:line="240" w:lineRule="auto"/>
        <w:jc w:val="both"/>
        <w:rPr>
          <w:sz w:val="20"/>
          <w:szCs w:val="20"/>
        </w:rPr>
      </w:pPr>
      <w:r w:rsidRPr="00710304">
        <w:rPr>
          <w:sz w:val="20"/>
          <w:szCs w:val="20"/>
        </w:rPr>
        <w:t>- če v primeru iz prvega odstavka 55. člena tega zakona pritožnik vloge ne dopolni v skladu s pozivom ustavnega sodišča,</w:t>
      </w:r>
    </w:p>
    <w:p w14:paraId="653F0AFB" w14:textId="77777777" w:rsidR="00695AE2" w:rsidRPr="00710304" w:rsidRDefault="00695AE2" w:rsidP="00695AE2">
      <w:pPr>
        <w:spacing w:line="240" w:lineRule="auto"/>
        <w:jc w:val="both"/>
        <w:rPr>
          <w:sz w:val="20"/>
          <w:szCs w:val="20"/>
        </w:rPr>
      </w:pPr>
      <w:r w:rsidRPr="00710304">
        <w:rPr>
          <w:sz w:val="20"/>
          <w:szCs w:val="20"/>
        </w:rPr>
        <w:t>- če je v primeru iz drugega odstavka 55. člena tega zakona tako nepopolna, da je ustavno sodišče ne more preizkusiti.</w:t>
      </w:r>
    </w:p>
    <w:p w14:paraId="3E951D98" w14:textId="77777777" w:rsidR="00695AE2" w:rsidRPr="00710304" w:rsidRDefault="00695AE2" w:rsidP="00695AE2">
      <w:pPr>
        <w:spacing w:line="240" w:lineRule="auto"/>
        <w:jc w:val="both"/>
        <w:rPr>
          <w:sz w:val="20"/>
          <w:szCs w:val="20"/>
        </w:rPr>
      </w:pPr>
      <w:r w:rsidRPr="00710304">
        <w:rPr>
          <w:sz w:val="20"/>
          <w:szCs w:val="20"/>
        </w:rPr>
        <w:t>(2) Ustavna pritožba se sprejme v obravnavo:</w:t>
      </w:r>
    </w:p>
    <w:p w14:paraId="799D24F6" w14:textId="77777777" w:rsidR="00695AE2" w:rsidRPr="00710304" w:rsidRDefault="00695AE2" w:rsidP="00695AE2">
      <w:pPr>
        <w:spacing w:line="240" w:lineRule="auto"/>
        <w:jc w:val="both"/>
        <w:rPr>
          <w:sz w:val="20"/>
          <w:szCs w:val="20"/>
        </w:rPr>
      </w:pPr>
      <w:r w:rsidRPr="00710304">
        <w:rPr>
          <w:sz w:val="20"/>
          <w:szCs w:val="20"/>
        </w:rPr>
        <w:t>- če gre za kršitev človekovih pravic ali temeljnih svoboščin, ki je imela hujše posledice za pritožnika, ali</w:t>
      </w:r>
    </w:p>
    <w:p w14:paraId="1C9FDBEB" w14:textId="77777777" w:rsidR="00695AE2" w:rsidRPr="00710304" w:rsidRDefault="00695AE2" w:rsidP="00695AE2">
      <w:pPr>
        <w:spacing w:line="240" w:lineRule="auto"/>
        <w:jc w:val="both"/>
        <w:rPr>
          <w:sz w:val="20"/>
          <w:szCs w:val="20"/>
        </w:rPr>
      </w:pPr>
      <w:r w:rsidRPr="00710304">
        <w:rPr>
          <w:sz w:val="20"/>
          <w:szCs w:val="20"/>
        </w:rPr>
        <w:t>- če gre za pomembno ustavnopravno vprašanje, ki presega pomen konkretne zadeve.</w:t>
      </w:r>
    </w:p>
    <w:p w14:paraId="3BC4853D" w14:textId="77777777" w:rsidR="00695AE2" w:rsidRPr="00710304" w:rsidRDefault="00695AE2" w:rsidP="00695AE2">
      <w:pPr>
        <w:spacing w:line="240" w:lineRule="auto"/>
        <w:jc w:val="both"/>
        <w:rPr>
          <w:sz w:val="20"/>
          <w:szCs w:val="20"/>
        </w:rPr>
      </w:pPr>
      <w:r w:rsidRPr="00710304">
        <w:rPr>
          <w:sz w:val="20"/>
          <w:szCs w:val="20"/>
        </w:rPr>
        <w:t>(3) Postopek za preizkus ustavne pritožbe oziroma postopek odločanja o ustavni pritožbi se ustavi, če pritožnik umakne ustavno pritožbo.</w:t>
      </w:r>
    </w:p>
    <w:p w14:paraId="7D3837D8" w14:textId="77777777" w:rsidR="00695AE2" w:rsidRPr="00710304" w:rsidRDefault="00695AE2" w:rsidP="00695AE2"/>
    <w:p w14:paraId="70C34CA2" w14:textId="77777777" w:rsidR="00695AE2" w:rsidRPr="00710304" w:rsidRDefault="00695AE2" w:rsidP="00695AE2">
      <w:pPr>
        <w:pStyle w:val="Sprotnaopomba-besedilo"/>
        <w:spacing w:line="276" w:lineRule="auto"/>
      </w:pPr>
    </w:p>
  </w:footnote>
  <w:footnote w:id="34">
    <w:p w14:paraId="0F5FC3BD" w14:textId="77777777" w:rsidR="00695AE2" w:rsidRPr="00D44CC0" w:rsidRDefault="00695AE2" w:rsidP="00695AE2">
      <w:pPr>
        <w:pStyle w:val="Sprotnaopomba-besedilo"/>
      </w:pPr>
      <w:r w:rsidRPr="00710304">
        <w:rPr>
          <w:rStyle w:val="Sprotnaopomba-sklic"/>
        </w:rPr>
        <w:footnoteRef/>
      </w:r>
      <w:r w:rsidRPr="00710304">
        <w:t xml:space="preserve"> ESČP je v letu 2025 odločilo v več pritožbenih zadevah proti Sloveniji, a v nekaterih pritožbe Sloveniji niso bile vročene v opredelitev, zato v poročilu niso obravnavane. Kot presečni datum je upoštevan datum notifikacije odločitve Slovenije in ne tisti, na katerega je bila sprejeta odločitev.</w:t>
      </w:r>
    </w:p>
  </w:footnote>
  <w:footnote w:id="35">
    <w:p w14:paraId="67E4D7E4" w14:textId="77777777" w:rsidR="00695AE2" w:rsidRPr="00B32F5B" w:rsidRDefault="00695AE2" w:rsidP="00695AE2">
      <w:pPr>
        <w:spacing w:line="240" w:lineRule="auto"/>
        <w:jc w:val="both"/>
        <w:rPr>
          <w:sz w:val="20"/>
          <w:szCs w:val="20"/>
        </w:rPr>
      </w:pPr>
      <w:r w:rsidRPr="00B32F5B">
        <w:rPr>
          <w:rStyle w:val="Sprotnaopomba-sklic"/>
          <w:sz w:val="20"/>
          <w:szCs w:val="20"/>
        </w:rPr>
        <w:footnoteRef/>
      </w:r>
      <w:r w:rsidRPr="00B32F5B">
        <w:rPr>
          <w:sz w:val="20"/>
          <w:szCs w:val="20"/>
        </w:rPr>
        <w:t xml:space="preserve"> </w:t>
      </w:r>
      <w:r>
        <w:rPr>
          <w:sz w:val="20"/>
          <w:szCs w:val="20"/>
        </w:rPr>
        <w:t>P</w:t>
      </w:r>
      <w:r w:rsidRPr="00B32F5B">
        <w:rPr>
          <w:sz w:val="20"/>
          <w:szCs w:val="20"/>
        </w:rPr>
        <w:t>ritožbeni zadev</w:t>
      </w:r>
      <w:r>
        <w:rPr>
          <w:sz w:val="20"/>
          <w:szCs w:val="20"/>
        </w:rPr>
        <w:t xml:space="preserve">i </w:t>
      </w:r>
      <w:r w:rsidRPr="00B32F5B">
        <w:rPr>
          <w:sz w:val="20"/>
          <w:szCs w:val="20"/>
        </w:rPr>
        <w:t>sta bili tekom postopka obravnavani ločeno</w:t>
      </w:r>
      <w:r>
        <w:rPr>
          <w:sz w:val="20"/>
          <w:szCs w:val="20"/>
        </w:rPr>
        <w:t>, a je Sodišče o njima odločilo z enim sklepom</w:t>
      </w:r>
      <w:r w:rsidRPr="00B32F5B">
        <w:rPr>
          <w:sz w:val="20"/>
          <w:szCs w:val="20"/>
        </w:rPr>
        <w:t xml:space="preserve">. Pritožba </w:t>
      </w:r>
      <w:r w:rsidRPr="00B32F5B">
        <w:rPr>
          <w:i/>
          <w:iCs/>
          <w:sz w:val="20"/>
          <w:szCs w:val="20"/>
        </w:rPr>
        <w:t>Jukič</w:t>
      </w:r>
      <w:r w:rsidRPr="00B32F5B">
        <w:rPr>
          <w:sz w:val="20"/>
          <w:szCs w:val="20"/>
        </w:rPr>
        <w:t xml:space="preserve"> se je prvotno obravnavala skupaj s pritožbo </w:t>
      </w:r>
      <w:r w:rsidRPr="00B32F5B">
        <w:rPr>
          <w:i/>
          <w:iCs/>
          <w:sz w:val="20"/>
          <w:szCs w:val="20"/>
        </w:rPr>
        <w:t xml:space="preserve">Cokan </w:t>
      </w:r>
      <w:r w:rsidRPr="00B32F5B">
        <w:rPr>
          <w:sz w:val="20"/>
          <w:szCs w:val="20"/>
        </w:rPr>
        <w:t xml:space="preserve">(št. 18184/23), o kateri je bilo odločeno že v letu 2024. </w:t>
      </w:r>
    </w:p>
    <w:p w14:paraId="513B2270" w14:textId="77777777" w:rsidR="00695AE2" w:rsidRDefault="00695AE2" w:rsidP="00695AE2">
      <w:pPr>
        <w:pStyle w:val="Sprotnaopomba-besedil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9CA00BC"/>
    <w:lvl w:ilvl="0">
      <w:start w:val="1"/>
      <w:numFmt w:val="bullet"/>
      <w:pStyle w:val="Oznaenseznam1"/>
      <w:lvlText w:val=""/>
      <w:lvlJc w:val="left"/>
      <w:pPr>
        <w:tabs>
          <w:tab w:val="num" w:pos="360"/>
        </w:tabs>
        <w:ind w:left="360" w:hanging="360"/>
      </w:pPr>
      <w:rPr>
        <w:rFonts w:ascii="Symbol" w:hAnsi="Symbol" w:hint="default"/>
      </w:rPr>
    </w:lvl>
  </w:abstractNum>
  <w:abstractNum w:abstractNumId="1" w15:restartNumberingAfterBreak="0">
    <w:nsid w:val="00FF5FC9"/>
    <w:multiLevelType w:val="hybridMultilevel"/>
    <w:tmpl w:val="D54EB6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D871C2"/>
    <w:multiLevelType w:val="hybridMultilevel"/>
    <w:tmpl w:val="34BEBB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41C63B1"/>
    <w:multiLevelType w:val="hybridMultilevel"/>
    <w:tmpl w:val="7294310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8476D3"/>
    <w:multiLevelType w:val="hybridMultilevel"/>
    <w:tmpl w:val="BE58D5F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0D6730"/>
    <w:multiLevelType w:val="hybridMultilevel"/>
    <w:tmpl w:val="1A9879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2A5E9F"/>
    <w:multiLevelType w:val="hybridMultilevel"/>
    <w:tmpl w:val="0C30EC6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5361122"/>
    <w:multiLevelType w:val="hybridMultilevel"/>
    <w:tmpl w:val="11A0ACE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58913D3"/>
    <w:multiLevelType w:val="hybridMultilevel"/>
    <w:tmpl w:val="60422746"/>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5A82F95"/>
    <w:multiLevelType w:val="hybridMultilevel"/>
    <w:tmpl w:val="3C7EF6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65E05F7"/>
    <w:multiLevelType w:val="hybridMultilevel"/>
    <w:tmpl w:val="76D4371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07742B64"/>
    <w:multiLevelType w:val="hybridMultilevel"/>
    <w:tmpl w:val="3E4402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7847D6E"/>
    <w:multiLevelType w:val="hybridMultilevel"/>
    <w:tmpl w:val="2E26F2A2"/>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9E5DC7"/>
    <w:multiLevelType w:val="hybridMultilevel"/>
    <w:tmpl w:val="61BA8DD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8060F36"/>
    <w:multiLevelType w:val="hybridMultilevel"/>
    <w:tmpl w:val="3AE607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9176332"/>
    <w:multiLevelType w:val="hybridMultilevel"/>
    <w:tmpl w:val="BD981680"/>
    <w:styleLink w:val="ECHRA1StyleList11"/>
    <w:lvl w:ilvl="0" w:tplc="D8A6F628">
      <w:start w:val="1000"/>
      <w:numFmt w:val="bullet"/>
      <w:lvlText w:val="–"/>
      <w:lvlJc w:val="left"/>
      <w:pPr>
        <w:ind w:left="108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0B2E2028"/>
    <w:multiLevelType w:val="hybridMultilevel"/>
    <w:tmpl w:val="0A3883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BE20903"/>
    <w:multiLevelType w:val="hybridMultilevel"/>
    <w:tmpl w:val="D5385E1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C0125A8"/>
    <w:multiLevelType w:val="hybridMultilevel"/>
    <w:tmpl w:val="C2189268"/>
    <w:lvl w:ilvl="0" w:tplc="D8A6F628">
      <w:start w:val="1000"/>
      <w:numFmt w:val="bullet"/>
      <w:lvlText w:val="–"/>
      <w:lvlJc w:val="left"/>
      <w:pPr>
        <w:tabs>
          <w:tab w:val="num" w:pos="720"/>
        </w:tabs>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AF30EA"/>
    <w:multiLevelType w:val="hybridMultilevel"/>
    <w:tmpl w:val="66F8B740"/>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E0A5A45"/>
    <w:multiLevelType w:val="multilevel"/>
    <w:tmpl w:val="92F4FDF0"/>
    <w:lvl w:ilvl="0">
      <w:start w:val="2"/>
      <w:numFmt w:val="decimal"/>
      <w:lvlText w:val="%1."/>
      <w:lvlJc w:val="left"/>
      <w:pPr>
        <w:tabs>
          <w:tab w:val="num" w:pos="720"/>
        </w:tabs>
        <w:ind w:left="720" w:hanging="360"/>
      </w:pPr>
      <w:rPr>
        <w:rFonts w:hint="default"/>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0E482558"/>
    <w:multiLevelType w:val="hybridMultilevel"/>
    <w:tmpl w:val="D59A06D8"/>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FA42B82"/>
    <w:multiLevelType w:val="hybridMultilevel"/>
    <w:tmpl w:val="8548B3FA"/>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117D2A82"/>
    <w:multiLevelType w:val="hybridMultilevel"/>
    <w:tmpl w:val="BF34C144"/>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1E528AC"/>
    <w:multiLevelType w:val="hybridMultilevel"/>
    <w:tmpl w:val="8260151C"/>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2C700C2"/>
    <w:multiLevelType w:val="hybridMultilevel"/>
    <w:tmpl w:val="7AE8B5AC"/>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2DC3C4B"/>
    <w:multiLevelType w:val="hybridMultilevel"/>
    <w:tmpl w:val="0B7A9706"/>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EF2176"/>
    <w:multiLevelType w:val="hybridMultilevel"/>
    <w:tmpl w:val="CC36C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385084F"/>
    <w:multiLevelType w:val="hybridMultilevel"/>
    <w:tmpl w:val="CA22F1E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43142ED"/>
    <w:multiLevelType w:val="hybridMultilevel"/>
    <w:tmpl w:val="7D9092C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4535F21"/>
    <w:multiLevelType w:val="hybridMultilevel"/>
    <w:tmpl w:val="85DE270C"/>
    <w:lvl w:ilvl="0" w:tplc="FD3ED042">
      <w:numFmt w:val="bullet"/>
      <w:lvlText w:val=""/>
      <w:lvlJc w:val="left"/>
      <w:pPr>
        <w:ind w:left="720" w:hanging="360"/>
      </w:pPr>
      <w:rPr>
        <w:rFonts w:ascii="Symbol" w:eastAsia="Eras Bold ITC" w:hAnsi="Symbol" w:cs="Eras Bold ITC"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68763DF"/>
    <w:multiLevelType w:val="hybridMultilevel"/>
    <w:tmpl w:val="E03C18F2"/>
    <w:lvl w:ilvl="0" w:tplc="D8A6F628">
      <w:start w:val="1000"/>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6B55DCB"/>
    <w:multiLevelType w:val="hybridMultilevel"/>
    <w:tmpl w:val="8D521AB2"/>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6E17C08"/>
    <w:multiLevelType w:val="hybridMultilevel"/>
    <w:tmpl w:val="2C0C4C7E"/>
    <w:lvl w:ilvl="0" w:tplc="525278AE">
      <w:start w:val="1"/>
      <w:numFmt w:val="bullet"/>
      <w:lvlText w:val="-"/>
      <w:lvlJc w:val="left"/>
      <w:pPr>
        <w:ind w:left="360" w:hanging="360"/>
      </w:pPr>
      <w:rPr>
        <w:rFonts w:ascii="Arial" w:eastAsia="Calibri" w:hAnsi="Arial" w:cs="Arial" w:hint="default"/>
      </w:rPr>
    </w:lvl>
    <w:lvl w:ilvl="1" w:tplc="321CC57C">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173D4381"/>
    <w:multiLevelType w:val="hybridMultilevel"/>
    <w:tmpl w:val="1862C868"/>
    <w:lvl w:ilvl="0" w:tplc="9376BD92">
      <w:start w:val="1"/>
      <w:numFmt w:val="bullet"/>
      <w:lvlText w:val=""/>
      <w:lvlJc w:val="left"/>
      <w:pPr>
        <w:ind w:left="1080" w:hanging="360"/>
      </w:pPr>
      <w:rPr>
        <w:rFonts w:ascii="Wingdings 2" w:eastAsia="Wingdings 2" w:hAnsi="Wingdings 2" w:hint="default"/>
        <w:color w:val="414042"/>
        <w:sz w:val="14"/>
        <w:szCs w:val="1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17C476CF"/>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7CB0667"/>
    <w:multiLevelType w:val="hybridMultilevel"/>
    <w:tmpl w:val="06EE51F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8DA2A12"/>
    <w:multiLevelType w:val="hybridMultilevel"/>
    <w:tmpl w:val="EA9AD0E8"/>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198077EC"/>
    <w:multiLevelType w:val="hybridMultilevel"/>
    <w:tmpl w:val="D750CB8E"/>
    <w:lvl w:ilvl="0" w:tplc="E0D254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19DE148B"/>
    <w:multiLevelType w:val="hybridMultilevel"/>
    <w:tmpl w:val="B16ABB30"/>
    <w:lvl w:ilvl="0" w:tplc="E0D25400">
      <w:start w:val="1"/>
      <w:numFmt w:val="bullet"/>
      <w:lvlText w:val=""/>
      <w:lvlJc w:val="left"/>
      <w:pPr>
        <w:ind w:left="644"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40" w15:restartNumberingAfterBreak="0">
    <w:nsid w:val="1C260DDE"/>
    <w:multiLevelType w:val="hybridMultilevel"/>
    <w:tmpl w:val="51B280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1C2A2D86"/>
    <w:multiLevelType w:val="hybridMultilevel"/>
    <w:tmpl w:val="CDAE2FDE"/>
    <w:styleLink w:val="ECHRA1StyleList3"/>
    <w:lvl w:ilvl="0" w:tplc="E0D25400">
      <w:start w:val="1"/>
      <w:numFmt w:val="bullet"/>
      <w:lvlText w:val=""/>
      <w:lvlJc w:val="left"/>
      <w:pPr>
        <w:ind w:left="644"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42" w15:restartNumberingAfterBreak="0">
    <w:nsid w:val="1CD95F27"/>
    <w:multiLevelType w:val="hybridMultilevel"/>
    <w:tmpl w:val="A290E7F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1CEF3951"/>
    <w:multiLevelType w:val="hybridMultilevel"/>
    <w:tmpl w:val="1FAE9CDE"/>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1F1B7B7D"/>
    <w:multiLevelType w:val="hybridMultilevel"/>
    <w:tmpl w:val="33A472CC"/>
    <w:lvl w:ilvl="0" w:tplc="D8A6F628">
      <w:start w:val="1000"/>
      <w:numFmt w:val="bullet"/>
      <w:lvlText w:val="–"/>
      <w:lvlJc w:val="left"/>
      <w:pPr>
        <w:ind w:left="720" w:hanging="360"/>
      </w:pPr>
      <w:rPr>
        <w:rFonts w:ascii="Calibri" w:eastAsiaTheme="minorHAns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11316FB"/>
    <w:multiLevelType w:val="hybridMultilevel"/>
    <w:tmpl w:val="E65862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1BF451E"/>
    <w:multiLevelType w:val="hybridMultilevel"/>
    <w:tmpl w:val="B3ECF5E6"/>
    <w:styleLink w:val="Trenutniseznam12"/>
    <w:lvl w:ilvl="0" w:tplc="FD3ED042">
      <w:numFmt w:val="bullet"/>
      <w:lvlText w:val=""/>
      <w:lvlJc w:val="left"/>
      <w:pPr>
        <w:ind w:left="360" w:hanging="360"/>
      </w:pPr>
      <w:rPr>
        <w:rFonts w:ascii="Symbol" w:eastAsia="Eras Bold ITC" w:hAnsi="Symbol" w:cs="Eras Bold ITC"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223E6434"/>
    <w:multiLevelType w:val="hybridMultilevel"/>
    <w:tmpl w:val="EDBAA8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30116E1"/>
    <w:multiLevelType w:val="hybridMultilevel"/>
    <w:tmpl w:val="DC7C20A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34543FE"/>
    <w:multiLevelType w:val="hybridMultilevel"/>
    <w:tmpl w:val="B630CDB2"/>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4046F2C"/>
    <w:multiLevelType w:val="multilevel"/>
    <w:tmpl w:val="8D3C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270CF7"/>
    <w:multiLevelType w:val="hybridMultilevel"/>
    <w:tmpl w:val="571640B2"/>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5B414BA"/>
    <w:multiLevelType w:val="multilevel"/>
    <w:tmpl w:val="6108FC4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rPr>
        <w:b w:val="0"/>
        <w:bCs w:val="0"/>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3" w15:restartNumberingAfterBreak="0">
    <w:nsid w:val="25C93DA4"/>
    <w:multiLevelType w:val="hybridMultilevel"/>
    <w:tmpl w:val="AA68D942"/>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6096201"/>
    <w:multiLevelType w:val="hybridMultilevel"/>
    <w:tmpl w:val="3BBE7504"/>
    <w:lvl w:ilvl="0" w:tplc="E0D2540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261B2374"/>
    <w:multiLevelType w:val="hybridMultilevel"/>
    <w:tmpl w:val="CA2693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6E6798D"/>
    <w:multiLevelType w:val="hybridMultilevel"/>
    <w:tmpl w:val="90FC96BE"/>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8" w15:restartNumberingAfterBreak="0">
    <w:nsid w:val="27D5546B"/>
    <w:multiLevelType w:val="multilevel"/>
    <w:tmpl w:val="C8FE6436"/>
    <w:styleLink w:val="ECHRA1StyleList"/>
    <w:lvl w:ilvl="0">
      <w:start w:val="1"/>
      <w:numFmt w:val="decimal"/>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suff w:val="space"/>
      <w:lvlText w:val="(%3)"/>
      <w:lvlJc w:val="left"/>
      <w:pPr>
        <w:ind w:left="1021" w:hanging="341"/>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28A74EF4"/>
    <w:multiLevelType w:val="hybridMultilevel"/>
    <w:tmpl w:val="4CE2E1D6"/>
    <w:lvl w:ilvl="0" w:tplc="DF4ADF5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0" w15:restartNumberingAfterBreak="0">
    <w:nsid w:val="28F755E2"/>
    <w:multiLevelType w:val="hybridMultilevel"/>
    <w:tmpl w:val="AC84B2E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29AD19E3"/>
    <w:multiLevelType w:val="hybridMultilevel"/>
    <w:tmpl w:val="DC5A21B4"/>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AE30D1C"/>
    <w:multiLevelType w:val="hybridMultilevel"/>
    <w:tmpl w:val="4CD851AA"/>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2C7D6541"/>
    <w:multiLevelType w:val="hybridMultilevel"/>
    <w:tmpl w:val="7EE0D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2D6B1621"/>
    <w:multiLevelType w:val="hybridMultilevel"/>
    <w:tmpl w:val="D2465FE8"/>
    <w:lvl w:ilvl="0" w:tplc="FEF6CCB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2E0118AC"/>
    <w:multiLevelType w:val="hybridMultilevel"/>
    <w:tmpl w:val="60A2B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0C81D83"/>
    <w:multiLevelType w:val="hybridMultilevel"/>
    <w:tmpl w:val="B0E25E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15E159D"/>
    <w:multiLevelType w:val="hybridMultilevel"/>
    <w:tmpl w:val="86DAED7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3167053F"/>
    <w:multiLevelType w:val="hybridMultilevel"/>
    <w:tmpl w:val="09BE19D6"/>
    <w:lvl w:ilvl="0" w:tplc="D8A6F628">
      <w:start w:val="100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D33535"/>
    <w:multiLevelType w:val="hybridMultilevel"/>
    <w:tmpl w:val="33C2F160"/>
    <w:lvl w:ilvl="0" w:tplc="4FA842E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2680927"/>
    <w:multiLevelType w:val="hybridMultilevel"/>
    <w:tmpl w:val="C8480DEA"/>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47B166F"/>
    <w:multiLevelType w:val="hybridMultilevel"/>
    <w:tmpl w:val="20826E9A"/>
    <w:lvl w:ilvl="0" w:tplc="9A960DBC">
      <w:start w:val="1"/>
      <w:numFmt w:val="lowerLetter"/>
      <w:lvlText w:val="%1)"/>
      <w:lvlJc w:val="left"/>
      <w:pPr>
        <w:ind w:left="720" w:hanging="360"/>
      </w:pPr>
      <w:rPr>
        <w:rFonts w:asciiTheme="minorHAnsi" w:eastAsiaTheme="minorHAnsi" w:hAnsiTheme="minorHAnsi" w:cstheme="minorHAn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726793E"/>
    <w:multiLevelType w:val="hybridMultilevel"/>
    <w:tmpl w:val="216C78D8"/>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37E03AAD"/>
    <w:multiLevelType w:val="hybridMultilevel"/>
    <w:tmpl w:val="77849D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37ED3DCA"/>
    <w:multiLevelType w:val="hybridMultilevel"/>
    <w:tmpl w:val="45983A0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39286E00"/>
    <w:multiLevelType w:val="multilevel"/>
    <w:tmpl w:val="6EA05BA2"/>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3A551E9C"/>
    <w:multiLevelType w:val="hybridMultilevel"/>
    <w:tmpl w:val="F232F0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3A6D32E6"/>
    <w:multiLevelType w:val="hybridMultilevel"/>
    <w:tmpl w:val="B4906A86"/>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8" w15:restartNumberingAfterBreak="0">
    <w:nsid w:val="3C1701C9"/>
    <w:multiLevelType w:val="hybridMultilevel"/>
    <w:tmpl w:val="B2D4E638"/>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C6F3B02"/>
    <w:multiLevelType w:val="multilevel"/>
    <w:tmpl w:val="F9328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3CA66BB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1692951"/>
    <w:multiLevelType w:val="hybridMultilevel"/>
    <w:tmpl w:val="80A6ED10"/>
    <w:lvl w:ilvl="0" w:tplc="B354132E">
      <w:start w:val="1501"/>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2" w15:restartNumberingAfterBreak="0">
    <w:nsid w:val="42EE79D5"/>
    <w:multiLevelType w:val="hybridMultilevel"/>
    <w:tmpl w:val="E7402800"/>
    <w:lvl w:ilvl="0" w:tplc="4FA842E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2F0337C"/>
    <w:multiLevelType w:val="hybridMultilevel"/>
    <w:tmpl w:val="C7DAB428"/>
    <w:lvl w:ilvl="0" w:tplc="120CB104">
      <w:start w:val="1"/>
      <w:numFmt w:val="bullet"/>
      <w:pStyle w:val="Oznaenseznam"/>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3F6666C"/>
    <w:multiLevelType w:val="hybridMultilevel"/>
    <w:tmpl w:val="60D4233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410645D"/>
    <w:multiLevelType w:val="hybridMultilevel"/>
    <w:tmpl w:val="1FEE5CB4"/>
    <w:styleLink w:val="ECHRA1StyleList2"/>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41509FB"/>
    <w:multiLevelType w:val="hybridMultilevel"/>
    <w:tmpl w:val="330E052C"/>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4D155EE"/>
    <w:multiLevelType w:val="hybridMultilevel"/>
    <w:tmpl w:val="BD889F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5952A5C"/>
    <w:multiLevelType w:val="hybridMultilevel"/>
    <w:tmpl w:val="6B646828"/>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9" w15:restartNumberingAfterBreak="0">
    <w:nsid w:val="45C979FB"/>
    <w:multiLevelType w:val="hybridMultilevel"/>
    <w:tmpl w:val="2E46A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462E180A"/>
    <w:multiLevelType w:val="hybridMultilevel"/>
    <w:tmpl w:val="45E48B9C"/>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464C167B"/>
    <w:multiLevelType w:val="hybridMultilevel"/>
    <w:tmpl w:val="926EEA80"/>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47B65AA8"/>
    <w:multiLevelType w:val="hybridMultilevel"/>
    <w:tmpl w:val="3570889A"/>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48633801"/>
    <w:multiLevelType w:val="hybridMultilevel"/>
    <w:tmpl w:val="D7625F60"/>
    <w:lvl w:ilvl="0" w:tplc="AC7C8B42">
      <w:start w:val="4"/>
      <w:numFmt w:val="bullet"/>
      <w:lvlText w:val="•"/>
      <w:lvlJc w:val="left"/>
      <w:pPr>
        <w:ind w:left="714" w:hanging="430"/>
      </w:pPr>
      <w:rPr>
        <w:rFonts w:ascii="Times New Roman" w:eastAsia="Times New Roman" w:hAnsi="Times New Roman" w:cs="Times New Roman"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94" w15:restartNumberingAfterBreak="0">
    <w:nsid w:val="497D0F5B"/>
    <w:multiLevelType w:val="hybridMultilevel"/>
    <w:tmpl w:val="823E00A6"/>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4BBD4599"/>
    <w:multiLevelType w:val="hybridMultilevel"/>
    <w:tmpl w:val="79484CFA"/>
    <w:lvl w:ilvl="0" w:tplc="120CB104">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C2029CC"/>
    <w:multiLevelType w:val="hybridMultilevel"/>
    <w:tmpl w:val="76DEB1F2"/>
    <w:lvl w:ilvl="0" w:tplc="4FA842E0">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97" w15:restartNumberingAfterBreak="0">
    <w:nsid w:val="4CE946A9"/>
    <w:multiLevelType w:val="hybridMultilevel"/>
    <w:tmpl w:val="475C0FBE"/>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FA81F8B"/>
    <w:multiLevelType w:val="hybridMultilevel"/>
    <w:tmpl w:val="AB209B4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507A205B"/>
    <w:multiLevelType w:val="hybridMultilevel"/>
    <w:tmpl w:val="E84066B0"/>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0951A2E"/>
    <w:multiLevelType w:val="hybridMultilevel"/>
    <w:tmpl w:val="8628345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0C71EA7"/>
    <w:multiLevelType w:val="hybridMultilevel"/>
    <w:tmpl w:val="4A089664"/>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50CF5C72"/>
    <w:multiLevelType w:val="hybridMultilevel"/>
    <w:tmpl w:val="3232399A"/>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51C36624"/>
    <w:multiLevelType w:val="hybridMultilevel"/>
    <w:tmpl w:val="08363AFE"/>
    <w:lvl w:ilvl="0" w:tplc="0FF6BA2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4" w15:restartNumberingAfterBreak="0">
    <w:nsid w:val="525B354E"/>
    <w:multiLevelType w:val="hybridMultilevel"/>
    <w:tmpl w:val="157CB36E"/>
    <w:lvl w:ilvl="0" w:tplc="D8A6F628">
      <w:start w:val="1000"/>
      <w:numFmt w:val="bullet"/>
      <w:lvlText w:val="–"/>
      <w:lvlJc w:val="left"/>
      <w:pPr>
        <w:ind w:left="720" w:hanging="360"/>
      </w:pPr>
      <w:rPr>
        <w:rFonts w:ascii="Calibri" w:eastAsiaTheme="minorHAns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15:restartNumberingAfterBreak="0">
    <w:nsid w:val="54367301"/>
    <w:multiLevelType w:val="hybridMultilevel"/>
    <w:tmpl w:val="8BD6F6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561E15EC"/>
    <w:multiLevelType w:val="hybridMultilevel"/>
    <w:tmpl w:val="2CF29D12"/>
    <w:lvl w:ilvl="0" w:tplc="3286BA1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582002DD"/>
    <w:multiLevelType w:val="hybridMultilevel"/>
    <w:tmpl w:val="2A2C54A2"/>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583F2AC2"/>
    <w:multiLevelType w:val="hybridMultilevel"/>
    <w:tmpl w:val="911AFBDC"/>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A0A7FA6"/>
    <w:multiLevelType w:val="hybridMultilevel"/>
    <w:tmpl w:val="BE1852BC"/>
    <w:lvl w:ilvl="0" w:tplc="E0D2540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5A3F7EB0"/>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5A49595F"/>
    <w:multiLevelType w:val="hybridMultilevel"/>
    <w:tmpl w:val="41FE1A28"/>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5AFA67CF"/>
    <w:multiLevelType w:val="hybridMultilevel"/>
    <w:tmpl w:val="A3F0A85E"/>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AFC4B0A"/>
    <w:multiLevelType w:val="hybridMultilevel"/>
    <w:tmpl w:val="15AEF69A"/>
    <w:lvl w:ilvl="0" w:tplc="0A0CBA26">
      <w:start w:val="1"/>
      <w:numFmt w:val="decimal"/>
      <w:pStyle w:val="08Question"/>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C2F465D"/>
    <w:multiLevelType w:val="hybridMultilevel"/>
    <w:tmpl w:val="38E87AA8"/>
    <w:lvl w:ilvl="0" w:tplc="4FA842E0">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15" w15:restartNumberingAfterBreak="0">
    <w:nsid w:val="5E5F28EB"/>
    <w:multiLevelType w:val="hybridMultilevel"/>
    <w:tmpl w:val="ECCE3C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6" w15:restartNumberingAfterBreak="0">
    <w:nsid w:val="5E750012"/>
    <w:multiLevelType w:val="hybridMultilevel"/>
    <w:tmpl w:val="DB56F930"/>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5F5D4134"/>
    <w:multiLevelType w:val="hybridMultilevel"/>
    <w:tmpl w:val="588E9160"/>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5FAA4F2C"/>
    <w:multiLevelType w:val="hybridMultilevel"/>
    <w:tmpl w:val="A1744EC0"/>
    <w:lvl w:ilvl="0" w:tplc="D8A6F628">
      <w:start w:val="100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0A1FC5"/>
    <w:multiLevelType w:val="hybridMultilevel"/>
    <w:tmpl w:val="D3DC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622A3E26"/>
    <w:multiLevelType w:val="hybridMultilevel"/>
    <w:tmpl w:val="0B46B9EA"/>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627D3156"/>
    <w:multiLevelType w:val="hybridMultilevel"/>
    <w:tmpl w:val="B95EC4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62942568"/>
    <w:multiLevelType w:val="hybridMultilevel"/>
    <w:tmpl w:val="B59EED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629A6F80"/>
    <w:multiLevelType w:val="hybridMultilevel"/>
    <w:tmpl w:val="C4A8DF26"/>
    <w:lvl w:ilvl="0" w:tplc="5254DE74">
      <w:start w:val="1"/>
      <w:numFmt w:val="upperRoman"/>
      <w:pStyle w:val="Naslov"/>
      <w:lvlText w:val="%1."/>
      <w:lvlJc w:val="right"/>
      <w:pPr>
        <w:ind w:left="720" w:hanging="360"/>
      </w:pPr>
      <w:rPr>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62B04C3E"/>
    <w:multiLevelType w:val="hybridMultilevel"/>
    <w:tmpl w:val="75C2FF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62B61EA1"/>
    <w:multiLevelType w:val="hybridMultilevel"/>
    <w:tmpl w:val="93A47120"/>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62DD0D4A"/>
    <w:multiLevelType w:val="hybridMultilevel"/>
    <w:tmpl w:val="EFB46576"/>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630E4F24"/>
    <w:multiLevelType w:val="hybridMultilevel"/>
    <w:tmpl w:val="14C8901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63A875E3"/>
    <w:multiLevelType w:val="hybridMultilevel"/>
    <w:tmpl w:val="5FEC3E1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15:restartNumberingAfterBreak="0">
    <w:nsid w:val="63E6301D"/>
    <w:multiLevelType w:val="hybridMultilevel"/>
    <w:tmpl w:val="12A80D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64FC6CB1"/>
    <w:multiLevelType w:val="hybridMultilevel"/>
    <w:tmpl w:val="123282B8"/>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15:restartNumberingAfterBreak="0">
    <w:nsid w:val="67683F45"/>
    <w:multiLevelType w:val="hybridMultilevel"/>
    <w:tmpl w:val="D4CA01B2"/>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68277D13"/>
    <w:multiLevelType w:val="hybridMultilevel"/>
    <w:tmpl w:val="183AF090"/>
    <w:styleLink w:val="Trenutniseznam13"/>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6856774B"/>
    <w:multiLevelType w:val="hybridMultilevel"/>
    <w:tmpl w:val="75523718"/>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68914146"/>
    <w:multiLevelType w:val="hybridMultilevel"/>
    <w:tmpl w:val="CF7E9124"/>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68915138"/>
    <w:multiLevelType w:val="hybridMultilevel"/>
    <w:tmpl w:val="9DDC711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6AD549D3"/>
    <w:multiLevelType w:val="hybridMultilevel"/>
    <w:tmpl w:val="997C9A50"/>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BD7743C"/>
    <w:multiLevelType w:val="hybridMultilevel"/>
    <w:tmpl w:val="196202E2"/>
    <w:lvl w:ilvl="0" w:tplc="D8A6F628">
      <w:start w:val="1000"/>
      <w:numFmt w:val="bullet"/>
      <w:lvlText w:val="–"/>
      <w:lvlJc w:val="left"/>
      <w:pPr>
        <w:ind w:left="644" w:hanging="360"/>
      </w:pPr>
      <w:rPr>
        <w:rFonts w:ascii="Calibri" w:eastAsiaTheme="minorHAnsi" w:hAnsi="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38" w15:restartNumberingAfterBreak="0">
    <w:nsid w:val="6C030FEB"/>
    <w:multiLevelType w:val="hybridMultilevel"/>
    <w:tmpl w:val="AA90C1B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6E3E0D1C"/>
    <w:multiLevelType w:val="hybridMultilevel"/>
    <w:tmpl w:val="0C4E89EC"/>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6E4F1D99"/>
    <w:multiLevelType w:val="hybridMultilevel"/>
    <w:tmpl w:val="7D76C02A"/>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6E9E64C0"/>
    <w:multiLevelType w:val="hybridMultilevel"/>
    <w:tmpl w:val="E78EF07E"/>
    <w:lvl w:ilvl="0" w:tplc="4FA842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6F1539F7"/>
    <w:multiLevelType w:val="hybridMultilevel"/>
    <w:tmpl w:val="E1C617BE"/>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6FA43F3C"/>
    <w:multiLevelType w:val="hybridMultilevel"/>
    <w:tmpl w:val="1292B9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15:restartNumberingAfterBreak="0">
    <w:nsid w:val="700A7C45"/>
    <w:multiLevelType w:val="hybridMultilevel"/>
    <w:tmpl w:val="936866E2"/>
    <w:lvl w:ilvl="0" w:tplc="E0D254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70F959AA"/>
    <w:multiLevelType w:val="hybridMultilevel"/>
    <w:tmpl w:val="DCB6ABE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719D6B1E"/>
    <w:multiLevelType w:val="hybridMultilevel"/>
    <w:tmpl w:val="B5C25A68"/>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730E2A75"/>
    <w:multiLevelType w:val="hybridMultilevel"/>
    <w:tmpl w:val="5C0C8C0A"/>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74621E91"/>
    <w:multiLevelType w:val="hybridMultilevel"/>
    <w:tmpl w:val="1F30C3EC"/>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75D6722F"/>
    <w:multiLevelType w:val="hybridMultilevel"/>
    <w:tmpl w:val="A71C8E46"/>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76850EFA"/>
    <w:multiLevelType w:val="hybridMultilevel"/>
    <w:tmpl w:val="5FBAE8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1" w15:restartNumberingAfterBreak="0">
    <w:nsid w:val="76B95926"/>
    <w:multiLevelType w:val="hybridMultilevel"/>
    <w:tmpl w:val="0EDC73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15:restartNumberingAfterBreak="0">
    <w:nsid w:val="777C2936"/>
    <w:multiLevelType w:val="hybridMultilevel"/>
    <w:tmpl w:val="8A6CFB5E"/>
    <w:lvl w:ilvl="0" w:tplc="4FA842E0">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3" w15:restartNumberingAfterBreak="0">
    <w:nsid w:val="780F3BA4"/>
    <w:multiLevelType w:val="hybridMultilevel"/>
    <w:tmpl w:val="773CC034"/>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4" w15:restartNumberingAfterBreak="0">
    <w:nsid w:val="789C5B03"/>
    <w:multiLevelType w:val="hybridMultilevel"/>
    <w:tmpl w:val="916434DE"/>
    <w:lvl w:ilvl="0" w:tplc="120CB104">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79046703"/>
    <w:multiLevelType w:val="hybridMultilevel"/>
    <w:tmpl w:val="4A7E4EB2"/>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797E336F"/>
    <w:multiLevelType w:val="hybridMultilevel"/>
    <w:tmpl w:val="01CAEB64"/>
    <w:lvl w:ilvl="0" w:tplc="D8A6F628">
      <w:start w:val="1000"/>
      <w:numFmt w:val="bullet"/>
      <w:lvlText w:val="–"/>
      <w:lvlJc w:val="left"/>
      <w:pPr>
        <w:ind w:left="720" w:hanging="360"/>
      </w:pPr>
      <w:rPr>
        <w:rFonts w:ascii="Calibri" w:eastAsiaTheme="minorHAnsi" w:hAnsi="Calibri" w:hint="default"/>
        <w:b w:val="0"/>
        <w:i w:val="0"/>
        <w:strike w:val="0"/>
        <w:dstrike w:val="0"/>
        <w:color w:val="000000"/>
        <w:sz w:val="26"/>
        <w:szCs w:val="26"/>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7B7F7AB8"/>
    <w:multiLevelType w:val="hybridMultilevel"/>
    <w:tmpl w:val="C3425C16"/>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8" w15:restartNumberingAfterBreak="0">
    <w:nsid w:val="7B8450D6"/>
    <w:multiLevelType w:val="hybridMultilevel"/>
    <w:tmpl w:val="FACCEB6E"/>
    <w:lvl w:ilvl="0" w:tplc="D8A6F628">
      <w:start w:val="1000"/>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15:restartNumberingAfterBreak="0">
    <w:nsid w:val="7BF23D9A"/>
    <w:multiLevelType w:val="multilevel"/>
    <w:tmpl w:val="68D40C64"/>
    <w:styleLink w:val="Trenutniseznam1"/>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7C1A4F71"/>
    <w:multiLevelType w:val="hybridMultilevel"/>
    <w:tmpl w:val="125A60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55509895">
    <w:abstractNumId w:val="83"/>
  </w:num>
  <w:num w:numId="2" w16cid:durableId="742332930">
    <w:abstractNumId w:val="27"/>
  </w:num>
  <w:num w:numId="3" w16cid:durableId="1320498606">
    <w:abstractNumId w:val="154"/>
  </w:num>
  <w:num w:numId="4" w16cid:durableId="497692861">
    <w:abstractNumId w:val="133"/>
  </w:num>
  <w:num w:numId="5" w16cid:durableId="1326008274">
    <w:abstractNumId w:val="132"/>
  </w:num>
  <w:num w:numId="6" w16cid:durableId="1786655042">
    <w:abstractNumId w:val="28"/>
  </w:num>
  <w:num w:numId="7" w16cid:durableId="289242706">
    <w:abstractNumId w:val="125"/>
  </w:num>
  <w:num w:numId="8" w16cid:durableId="348483392">
    <w:abstractNumId w:val="122"/>
  </w:num>
  <w:num w:numId="9" w16cid:durableId="1718239303">
    <w:abstractNumId w:val="36"/>
  </w:num>
  <w:num w:numId="10" w16cid:durableId="207257560">
    <w:abstractNumId w:val="62"/>
  </w:num>
  <w:num w:numId="11" w16cid:durableId="1882326424">
    <w:abstractNumId w:val="126"/>
  </w:num>
  <w:num w:numId="12" w16cid:durableId="213270843">
    <w:abstractNumId w:val="138"/>
  </w:num>
  <w:num w:numId="13" w16cid:durableId="1255438713">
    <w:abstractNumId w:val="60"/>
  </w:num>
  <w:num w:numId="14" w16cid:durableId="657880999">
    <w:abstractNumId w:val="67"/>
  </w:num>
  <w:num w:numId="15" w16cid:durableId="1632512536">
    <w:abstractNumId w:val="29"/>
  </w:num>
  <w:num w:numId="16" w16cid:durableId="2005349734">
    <w:abstractNumId w:val="98"/>
  </w:num>
  <w:num w:numId="17" w16cid:durableId="1368724550">
    <w:abstractNumId w:val="48"/>
  </w:num>
  <w:num w:numId="18" w16cid:durableId="1467310068">
    <w:abstractNumId w:val="57"/>
  </w:num>
  <w:num w:numId="19" w16cid:durableId="1596089443">
    <w:abstractNumId w:val="2"/>
  </w:num>
  <w:num w:numId="20" w16cid:durableId="2066221774">
    <w:abstractNumId w:val="0"/>
  </w:num>
  <w:num w:numId="21" w16cid:durableId="1566994125">
    <w:abstractNumId w:val="113"/>
  </w:num>
  <w:num w:numId="22" w16cid:durableId="315258170">
    <w:abstractNumId w:val="33"/>
  </w:num>
  <w:num w:numId="23" w16cid:durableId="2146460242">
    <w:abstractNumId w:val="25"/>
  </w:num>
  <w:num w:numId="24" w16cid:durableId="1016613383">
    <w:abstractNumId w:val="95"/>
  </w:num>
  <w:num w:numId="25" w16cid:durableId="998386819">
    <w:abstractNumId w:val="159"/>
  </w:num>
  <w:num w:numId="26" w16cid:durableId="911886474">
    <w:abstractNumId w:val="46"/>
  </w:num>
  <w:num w:numId="27" w16cid:durableId="612830205">
    <w:abstractNumId w:val="30"/>
  </w:num>
  <w:num w:numId="28" w16cid:durableId="602760379">
    <w:abstractNumId w:val="41"/>
  </w:num>
  <w:num w:numId="29" w16cid:durableId="1423527808">
    <w:abstractNumId w:val="39"/>
  </w:num>
  <w:num w:numId="30" w16cid:durableId="1632829698">
    <w:abstractNumId w:val="107"/>
  </w:num>
  <w:num w:numId="31" w16cid:durableId="1657804627">
    <w:abstractNumId w:val="156"/>
  </w:num>
  <w:num w:numId="32" w16cid:durableId="675498942">
    <w:abstractNumId w:val="140"/>
  </w:num>
  <w:num w:numId="33" w16cid:durableId="600793976">
    <w:abstractNumId w:val="92"/>
  </w:num>
  <w:num w:numId="34" w16cid:durableId="1027292522">
    <w:abstractNumId w:val="15"/>
  </w:num>
  <w:num w:numId="35" w16cid:durableId="38281623">
    <w:abstractNumId w:val="53"/>
  </w:num>
  <w:num w:numId="36" w16cid:durableId="1642809211">
    <w:abstractNumId w:val="148"/>
  </w:num>
  <w:num w:numId="37" w16cid:durableId="1221400580">
    <w:abstractNumId w:val="149"/>
  </w:num>
  <w:num w:numId="38" w16cid:durableId="1462572057">
    <w:abstractNumId w:val="56"/>
  </w:num>
  <w:num w:numId="39" w16cid:durableId="751125467">
    <w:abstractNumId w:val="78"/>
  </w:num>
  <w:num w:numId="40" w16cid:durableId="51581630">
    <w:abstractNumId w:val="147"/>
  </w:num>
  <w:num w:numId="41" w16cid:durableId="694690962">
    <w:abstractNumId w:val="155"/>
  </w:num>
  <w:num w:numId="42" w16cid:durableId="336540256">
    <w:abstractNumId w:val="24"/>
  </w:num>
  <w:num w:numId="43" w16cid:durableId="1519540075">
    <w:abstractNumId w:val="61"/>
  </w:num>
  <w:num w:numId="44" w16cid:durableId="1974435046">
    <w:abstractNumId w:val="58"/>
  </w:num>
  <w:num w:numId="45" w16cid:durableId="591547257">
    <w:abstractNumId w:val="38"/>
  </w:num>
  <w:num w:numId="46" w16cid:durableId="476604166">
    <w:abstractNumId w:val="54"/>
  </w:num>
  <w:num w:numId="47" w16cid:durableId="1181775458">
    <w:abstractNumId w:val="109"/>
  </w:num>
  <w:num w:numId="48" w16cid:durableId="409693761">
    <w:abstractNumId w:val="10"/>
  </w:num>
  <w:num w:numId="49" w16cid:durableId="1249734058">
    <w:abstractNumId w:val="45"/>
  </w:num>
  <w:num w:numId="50" w16cid:durableId="1546597942">
    <w:abstractNumId w:val="121"/>
  </w:num>
  <w:num w:numId="51" w16cid:durableId="55593083">
    <w:abstractNumId w:val="105"/>
  </w:num>
  <w:num w:numId="52" w16cid:durableId="981467590">
    <w:abstractNumId w:val="66"/>
  </w:num>
  <w:num w:numId="53" w16cid:durableId="2022587410">
    <w:abstractNumId w:val="63"/>
  </w:num>
  <w:num w:numId="54" w16cid:durableId="1100490979">
    <w:abstractNumId w:val="77"/>
  </w:num>
  <w:num w:numId="55" w16cid:durableId="1794858576">
    <w:abstractNumId w:val="150"/>
  </w:num>
  <w:num w:numId="56" w16cid:durableId="1872499819">
    <w:abstractNumId w:val="5"/>
  </w:num>
  <w:num w:numId="57" w16cid:durableId="572743787">
    <w:abstractNumId w:val="65"/>
  </w:num>
  <w:num w:numId="58" w16cid:durableId="1957329946">
    <w:abstractNumId w:val="32"/>
  </w:num>
  <w:num w:numId="59" w16cid:durableId="241333125">
    <w:abstractNumId w:val="1"/>
  </w:num>
  <w:num w:numId="60" w16cid:durableId="863787497">
    <w:abstractNumId w:val="143"/>
  </w:num>
  <w:num w:numId="61" w16cid:durableId="176308976">
    <w:abstractNumId w:val="71"/>
  </w:num>
  <w:num w:numId="62" w16cid:durableId="613944416">
    <w:abstractNumId w:val="115"/>
  </w:num>
  <w:num w:numId="63" w16cid:durableId="524296586">
    <w:abstractNumId w:val="129"/>
  </w:num>
  <w:num w:numId="64" w16cid:durableId="919021063">
    <w:abstractNumId w:val="47"/>
  </w:num>
  <w:num w:numId="65" w16cid:durableId="165679706">
    <w:abstractNumId w:val="76"/>
  </w:num>
  <w:num w:numId="66" w16cid:durableId="355351895">
    <w:abstractNumId w:val="9"/>
  </w:num>
  <w:num w:numId="67" w16cid:durableId="1675762701">
    <w:abstractNumId w:val="87"/>
  </w:num>
  <w:num w:numId="68" w16cid:durableId="1719622037">
    <w:abstractNumId w:val="119"/>
  </w:num>
  <w:num w:numId="69" w16cid:durableId="865018308">
    <w:abstractNumId w:val="12"/>
  </w:num>
  <w:num w:numId="70" w16cid:durableId="822700007">
    <w:abstractNumId w:val="112"/>
  </w:num>
  <w:num w:numId="71" w16cid:durableId="320740091">
    <w:abstractNumId w:val="88"/>
  </w:num>
  <w:num w:numId="72" w16cid:durableId="785974555">
    <w:abstractNumId w:val="40"/>
  </w:num>
  <w:num w:numId="73" w16cid:durableId="1050034963">
    <w:abstractNumId w:val="4"/>
  </w:num>
  <w:num w:numId="74" w16cid:durableId="1008751956">
    <w:abstractNumId w:val="19"/>
  </w:num>
  <w:num w:numId="75" w16cid:durableId="1250698965">
    <w:abstractNumId w:val="124"/>
  </w:num>
  <w:num w:numId="76" w16cid:durableId="86079340">
    <w:abstractNumId w:val="100"/>
  </w:num>
  <w:num w:numId="77" w16cid:durableId="1796292751">
    <w:abstractNumId w:val="131"/>
  </w:num>
  <w:num w:numId="78" w16cid:durableId="1708529168">
    <w:abstractNumId w:val="17"/>
  </w:num>
  <w:num w:numId="79" w16cid:durableId="1857426918">
    <w:abstractNumId w:val="80"/>
  </w:num>
  <w:num w:numId="80" w16cid:durableId="952635979">
    <w:abstractNumId w:val="31"/>
  </w:num>
  <w:num w:numId="81" w16cid:durableId="512229734">
    <w:abstractNumId w:val="108"/>
  </w:num>
  <w:num w:numId="82" w16cid:durableId="595099264">
    <w:abstractNumId w:val="49"/>
  </w:num>
  <w:num w:numId="83" w16cid:durableId="2091341019">
    <w:abstractNumId w:val="43"/>
  </w:num>
  <w:num w:numId="84" w16cid:durableId="1269195044">
    <w:abstractNumId w:val="70"/>
  </w:num>
  <w:num w:numId="85" w16cid:durableId="647323754">
    <w:abstractNumId w:val="7"/>
  </w:num>
  <w:num w:numId="86" w16cid:durableId="608515359">
    <w:abstractNumId w:val="106"/>
  </w:num>
  <w:num w:numId="87" w16cid:durableId="673847583">
    <w:abstractNumId w:val="103"/>
  </w:num>
  <w:num w:numId="88" w16cid:durableId="1797796318">
    <w:abstractNumId w:val="50"/>
  </w:num>
  <w:num w:numId="89" w16cid:durableId="2080706184">
    <w:abstractNumId w:val="37"/>
  </w:num>
  <w:num w:numId="90" w16cid:durableId="760370883">
    <w:abstractNumId w:val="81"/>
  </w:num>
  <w:num w:numId="91" w16cid:durableId="836579895">
    <w:abstractNumId w:val="72"/>
  </w:num>
  <w:num w:numId="92" w16cid:durableId="648368274">
    <w:abstractNumId w:val="86"/>
  </w:num>
  <w:num w:numId="93" w16cid:durableId="537739089">
    <w:abstractNumId w:val="97"/>
  </w:num>
  <w:num w:numId="94" w16cid:durableId="586766078">
    <w:abstractNumId w:val="104"/>
  </w:num>
  <w:num w:numId="95" w16cid:durableId="1645771068">
    <w:abstractNumId w:val="136"/>
  </w:num>
  <w:num w:numId="96" w16cid:durableId="180627231">
    <w:abstractNumId w:val="85"/>
  </w:num>
  <w:num w:numId="97" w16cid:durableId="343021121">
    <w:abstractNumId w:val="134"/>
  </w:num>
  <w:num w:numId="98" w16cid:durableId="1526602978">
    <w:abstractNumId w:val="153"/>
  </w:num>
  <w:num w:numId="99" w16cid:durableId="2144426067">
    <w:abstractNumId w:val="102"/>
  </w:num>
  <w:num w:numId="100" w16cid:durableId="750590971">
    <w:abstractNumId w:val="13"/>
  </w:num>
  <w:num w:numId="101" w16cid:durableId="828060580">
    <w:abstractNumId w:val="42"/>
  </w:num>
  <w:num w:numId="102" w16cid:durableId="581766569">
    <w:abstractNumId w:val="74"/>
  </w:num>
  <w:num w:numId="103" w16cid:durableId="1753429514">
    <w:abstractNumId w:val="3"/>
  </w:num>
  <w:num w:numId="104" w16cid:durableId="836726021">
    <w:abstractNumId w:val="117"/>
  </w:num>
  <w:num w:numId="105" w16cid:durableId="816150832">
    <w:abstractNumId w:val="84"/>
  </w:num>
  <w:num w:numId="106" w16cid:durableId="303237102">
    <w:abstractNumId w:val="127"/>
  </w:num>
  <w:num w:numId="107" w16cid:durableId="1828785075">
    <w:abstractNumId w:val="90"/>
  </w:num>
  <w:num w:numId="108" w16cid:durableId="1448697231">
    <w:abstractNumId w:val="139"/>
  </w:num>
  <w:num w:numId="109" w16cid:durableId="1097597099">
    <w:abstractNumId w:val="145"/>
  </w:num>
  <w:num w:numId="110" w16cid:durableId="249437325">
    <w:abstractNumId w:val="51"/>
  </w:num>
  <w:num w:numId="111" w16cid:durableId="317154259">
    <w:abstractNumId w:val="158"/>
  </w:num>
  <w:num w:numId="112" w16cid:durableId="1430542279">
    <w:abstractNumId w:val="116"/>
  </w:num>
  <w:num w:numId="113" w16cid:durableId="1619607297">
    <w:abstractNumId w:val="34"/>
  </w:num>
  <w:num w:numId="114" w16cid:durableId="1314220234">
    <w:abstractNumId w:val="160"/>
  </w:num>
  <w:num w:numId="115" w16cid:durableId="1942640821">
    <w:abstractNumId w:val="16"/>
  </w:num>
  <w:num w:numId="116" w16cid:durableId="35393198">
    <w:abstractNumId w:val="89"/>
  </w:num>
  <w:num w:numId="117" w16cid:durableId="1963725910">
    <w:abstractNumId w:val="128"/>
  </w:num>
  <w:num w:numId="118" w16cid:durableId="20782398">
    <w:abstractNumId w:val="59"/>
  </w:num>
  <w:num w:numId="119" w16cid:durableId="1642728371">
    <w:abstractNumId w:val="6"/>
  </w:num>
  <w:num w:numId="120" w16cid:durableId="1795899790">
    <w:abstractNumId w:val="157"/>
  </w:num>
  <w:num w:numId="121" w16cid:durableId="1854613381">
    <w:abstractNumId w:val="22"/>
  </w:num>
  <w:num w:numId="122" w16cid:durableId="1507791201">
    <w:abstractNumId w:val="118"/>
  </w:num>
  <w:num w:numId="123" w16cid:durableId="1512791038">
    <w:abstractNumId w:val="68"/>
  </w:num>
  <w:num w:numId="124" w16cid:durableId="1981766244">
    <w:abstractNumId w:val="44"/>
  </w:num>
  <w:num w:numId="125" w16cid:durableId="1643928183">
    <w:abstractNumId w:val="35"/>
  </w:num>
  <w:num w:numId="126" w16cid:durableId="1006174847">
    <w:abstractNumId w:val="110"/>
  </w:num>
  <w:num w:numId="127" w16cid:durableId="679745823">
    <w:abstractNumId w:val="141"/>
  </w:num>
  <w:num w:numId="128" w16cid:durableId="1814788599">
    <w:abstractNumId w:val="99"/>
  </w:num>
  <w:num w:numId="129" w16cid:durableId="632638028">
    <w:abstractNumId w:val="8"/>
  </w:num>
  <w:num w:numId="130" w16cid:durableId="1565798852">
    <w:abstractNumId w:val="120"/>
  </w:num>
  <w:num w:numId="131" w16cid:durableId="1551457645">
    <w:abstractNumId w:val="152"/>
  </w:num>
  <w:num w:numId="132" w16cid:durableId="666059652">
    <w:abstractNumId w:val="114"/>
  </w:num>
  <w:num w:numId="133" w16cid:durableId="31659814">
    <w:abstractNumId w:val="96"/>
  </w:num>
  <w:num w:numId="134" w16cid:durableId="991103452">
    <w:abstractNumId w:val="82"/>
  </w:num>
  <w:num w:numId="135" w16cid:durableId="353774510">
    <w:abstractNumId w:val="144"/>
  </w:num>
  <w:num w:numId="136" w16cid:durableId="1403334073">
    <w:abstractNumId w:val="101"/>
  </w:num>
  <w:num w:numId="137" w16cid:durableId="1635329136">
    <w:abstractNumId w:val="69"/>
  </w:num>
  <w:num w:numId="138" w16cid:durableId="891303882">
    <w:abstractNumId w:val="142"/>
  </w:num>
  <w:num w:numId="139" w16cid:durableId="1028259847">
    <w:abstractNumId w:val="94"/>
  </w:num>
  <w:num w:numId="140" w16cid:durableId="1188134233">
    <w:abstractNumId w:val="14"/>
  </w:num>
  <w:num w:numId="141" w16cid:durableId="1320230888">
    <w:abstractNumId w:val="73"/>
  </w:num>
  <w:num w:numId="142" w16cid:durableId="1582367098">
    <w:abstractNumId w:val="93"/>
  </w:num>
  <w:num w:numId="143" w16cid:durableId="319889685">
    <w:abstractNumId w:val="55"/>
  </w:num>
  <w:num w:numId="144" w16cid:durableId="103572289">
    <w:abstractNumId w:val="151"/>
  </w:num>
  <w:num w:numId="145" w16cid:durableId="2138538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851679071">
    <w:abstractNumId w:val="75"/>
  </w:num>
  <w:num w:numId="147" w16cid:durableId="1146315759">
    <w:abstractNumId w:val="11"/>
  </w:num>
  <w:num w:numId="148" w16cid:durableId="1306203323">
    <w:abstractNumId w:val="20"/>
  </w:num>
  <w:num w:numId="149" w16cid:durableId="1887915289">
    <w:abstractNumId w:val="137"/>
  </w:num>
  <w:num w:numId="150" w16cid:durableId="331101513">
    <w:abstractNumId w:val="123"/>
  </w:num>
  <w:num w:numId="151" w16cid:durableId="1801025731">
    <w:abstractNumId w:val="52"/>
  </w:num>
  <w:num w:numId="152" w16cid:durableId="16579530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551098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711495366">
    <w:abstractNumId w:val="135"/>
  </w:num>
  <w:num w:numId="155" w16cid:durableId="575020152">
    <w:abstractNumId w:val="64"/>
  </w:num>
  <w:num w:numId="156" w16cid:durableId="761144184">
    <w:abstractNumId w:val="146"/>
  </w:num>
  <w:num w:numId="157" w16cid:durableId="1363556177">
    <w:abstractNumId w:val="18"/>
  </w:num>
  <w:num w:numId="158" w16cid:durableId="445543991">
    <w:abstractNumId w:val="130"/>
  </w:num>
  <w:num w:numId="159" w16cid:durableId="590360196">
    <w:abstractNumId w:val="91"/>
  </w:num>
  <w:num w:numId="160" w16cid:durableId="38554932">
    <w:abstractNumId w:val="21"/>
  </w:num>
  <w:num w:numId="161" w16cid:durableId="1490555357">
    <w:abstractNumId w:val="26"/>
  </w:num>
  <w:num w:numId="162" w16cid:durableId="1242594639">
    <w:abstractNumId w:val="111"/>
  </w:num>
  <w:num w:numId="163" w16cid:durableId="1815482838">
    <w:abstractNumId w:val="2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73B"/>
    <w:rsid w:val="00011F83"/>
    <w:rsid w:val="000300A6"/>
    <w:rsid w:val="00031E59"/>
    <w:rsid w:val="00047088"/>
    <w:rsid w:val="00052E26"/>
    <w:rsid w:val="00083910"/>
    <w:rsid w:val="000B2023"/>
    <w:rsid w:val="000B4DD4"/>
    <w:rsid w:val="000D6881"/>
    <w:rsid w:val="000F121A"/>
    <w:rsid w:val="000F5854"/>
    <w:rsid w:val="000F6D5D"/>
    <w:rsid w:val="00113482"/>
    <w:rsid w:val="00115A72"/>
    <w:rsid w:val="001415F1"/>
    <w:rsid w:val="001462ED"/>
    <w:rsid w:val="001C2BFF"/>
    <w:rsid w:val="001D0B95"/>
    <w:rsid w:val="001D7C37"/>
    <w:rsid w:val="001E2F95"/>
    <w:rsid w:val="00211C3D"/>
    <w:rsid w:val="00212987"/>
    <w:rsid w:val="00225E37"/>
    <w:rsid w:val="00244A40"/>
    <w:rsid w:val="00244F1B"/>
    <w:rsid w:val="002511DA"/>
    <w:rsid w:val="00256503"/>
    <w:rsid w:val="00266A39"/>
    <w:rsid w:val="002D243E"/>
    <w:rsid w:val="002D4AD3"/>
    <w:rsid w:val="002E714B"/>
    <w:rsid w:val="00307EE9"/>
    <w:rsid w:val="003347B3"/>
    <w:rsid w:val="00342A7B"/>
    <w:rsid w:val="003702AE"/>
    <w:rsid w:val="00375550"/>
    <w:rsid w:val="003774C4"/>
    <w:rsid w:val="00391DB5"/>
    <w:rsid w:val="003C3F4B"/>
    <w:rsid w:val="003C5D14"/>
    <w:rsid w:val="003D1F67"/>
    <w:rsid w:val="00446D06"/>
    <w:rsid w:val="00453114"/>
    <w:rsid w:val="00462126"/>
    <w:rsid w:val="004624CD"/>
    <w:rsid w:val="00464AEF"/>
    <w:rsid w:val="004833DC"/>
    <w:rsid w:val="00484FD2"/>
    <w:rsid w:val="004A3E49"/>
    <w:rsid w:val="00504FAC"/>
    <w:rsid w:val="00523255"/>
    <w:rsid w:val="005447C4"/>
    <w:rsid w:val="005449AC"/>
    <w:rsid w:val="00563931"/>
    <w:rsid w:val="005735A6"/>
    <w:rsid w:val="00580F8D"/>
    <w:rsid w:val="005954BE"/>
    <w:rsid w:val="005B51BC"/>
    <w:rsid w:val="005C04C3"/>
    <w:rsid w:val="005F37AA"/>
    <w:rsid w:val="00605D91"/>
    <w:rsid w:val="00612ACB"/>
    <w:rsid w:val="0062064F"/>
    <w:rsid w:val="00627320"/>
    <w:rsid w:val="00634703"/>
    <w:rsid w:val="00653195"/>
    <w:rsid w:val="00666601"/>
    <w:rsid w:val="00695AE2"/>
    <w:rsid w:val="00697CFF"/>
    <w:rsid w:val="006D0197"/>
    <w:rsid w:val="006D073B"/>
    <w:rsid w:val="006D16C0"/>
    <w:rsid w:val="006D17EF"/>
    <w:rsid w:val="006D33C0"/>
    <w:rsid w:val="00714219"/>
    <w:rsid w:val="007352B4"/>
    <w:rsid w:val="00745C5F"/>
    <w:rsid w:val="00746751"/>
    <w:rsid w:val="007665BB"/>
    <w:rsid w:val="00775C33"/>
    <w:rsid w:val="00777C33"/>
    <w:rsid w:val="0078078E"/>
    <w:rsid w:val="00781272"/>
    <w:rsid w:val="00785C2C"/>
    <w:rsid w:val="007A094F"/>
    <w:rsid w:val="0080625D"/>
    <w:rsid w:val="0080789B"/>
    <w:rsid w:val="00824BDA"/>
    <w:rsid w:val="00827D18"/>
    <w:rsid w:val="008429ED"/>
    <w:rsid w:val="00847FB8"/>
    <w:rsid w:val="008935C3"/>
    <w:rsid w:val="008A1E31"/>
    <w:rsid w:val="008C095A"/>
    <w:rsid w:val="008E0B3F"/>
    <w:rsid w:val="008E4692"/>
    <w:rsid w:val="008F0EFE"/>
    <w:rsid w:val="00937335"/>
    <w:rsid w:val="00962B65"/>
    <w:rsid w:val="00986666"/>
    <w:rsid w:val="009A01F6"/>
    <w:rsid w:val="009E2D63"/>
    <w:rsid w:val="009F6A70"/>
    <w:rsid w:val="00A32D55"/>
    <w:rsid w:val="00A36816"/>
    <w:rsid w:val="00A374F3"/>
    <w:rsid w:val="00A554B0"/>
    <w:rsid w:val="00A76D9F"/>
    <w:rsid w:val="00AB7EDE"/>
    <w:rsid w:val="00AC73C2"/>
    <w:rsid w:val="00AD0FEF"/>
    <w:rsid w:val="00AF1686"/>
    <w:rsid w:val="00AF56FD"/>
    <w:rsid w:val="00AF5BD1"/>
    <w:rsid w:val="00B1011A"/>
    <w:rsid w:val="00B11625"/>
    <w:rsid w:val="00B13228"/>
    <w:rsid w:val="00B159EF"/>
    <w:rsid w:val="00B22AC1"/>
    <w:rsid w:val="00B5231B"/>
    <w:rsid w:val="00B53C7B"/>
    <w:rsid w:val="00B57635"/>
    <w:rsid w:val="00B64DA7"/>
    <w:rsid w:val="00B76BA9"/>
    <w:rsid w:val="00B8039B"/>
    <w:rsid w:val="00B82259"/>
    <w:rsid w:val="00B85642"/>
    <w:rsid w:val="00BC487C"/>
    <w:rsid w:val="00BD3E9A"/>
    <w:rsid w:val="00BF699A"/>
    <w:rsid w:val="00BF740A"/>
    <w:rsid w:val="00C04F32"/>
    <w:rsid w:val="00C333D4"/>
    <w:rsid w:val="00C37E2D"/>
    <w:rsid w:val="00C42450"/>
    <w:rsid w:val="00C70D20"/>
    <w:rsid w:val="00C862B4"/>
    <w:rsid w:val="00CB083A"/>
    <w:rsid w:val="00CB5161"/>
    <w:rsid w:val="00CC6E30"/>
    <w:rsid w:val="00CD702A"/>
    <w:rsid w:val="00D2079E"/>
    <w:rsid w:val="00D50D96"/>
    <w:rsid w:val="00D51C89"/>
    <w:rsid w:val="00D8438A"/>
    <w:rsid w:val="00DD789E"/>
    <w:rsid w:val="00DF7B23"/>
    <w:rsid w:val="00E07B9A"/>
    <w:rsid w:val="00E20DB6"/>
    <w:rsid w:val="00E5334A"/>
    <w:rsid w:val="00E618D6"/>
    <w:rsid w:val="00E70BBA"/>
    <w:rsid w:val="00E737D7"/>
    <w:rsid w:val="00E73F08"/>
    <w:rsid w:val="00EB3AED"/>
    <w:rsid w:val="00ED52BE"/>
    <w:rsid w:val="00EE1B49"/>
    <w:rsid w:val="00EF6933"/>
    <w:rsid w:val="00F02128"/>
    <w:rsid w:val="00F12917"/>
    <w:rsid w:val="00F2597D"/>
    <w:rsid w:val="00F32CED"/>
    <w:rsid w:val="00F47F97"/>
    <w:rsid w:val="00F669A9"/>
    <w:rsid w:val="00F760BD"/>
    <w:rsid w:val="00F84617"/>
    <w:rsid w:val="00FA50F9"/>
    <w:rsid w:val="00FB17F0"/>
    <w:rsid w:val="00FE1A82"/>
    <w:rsid w:val="00FF37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90F2C"/>
  <w15:chartTrackingRefBased/>
  <w15:docId w15:val="{2D95738E-DFE1-4F88-AEFE-148C7410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sz w:val="24"/>
        <w:szCs w:val="24"/>
        <w:lang w:val="sl-S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E1B49"/>
  </w:style>
  <w:style w:type="paragraph" w:styleId="Naslov1">
    <w:name w:val="heading 1"/>
    <w:basedOn w:val="Navaden"/>
    <w:next w:val="Navaden"/>
    <w:link w:val="Naslov1Znak"/>
    <w:uiPriority w:val="9"/>
    <w:qFormat/>
    <w:rsid w:val="00211C3D"/>
    <w:pPr>
      <w:keepNext/>
      <w:keepLines/>
      <w:numPr>
        <w:numId w:val="151"/>
      </w:numPr>
      <w:spacing w:line="240" w:lineRule="auto"/>
      <w:jc w:val="both"/>
      <w:outlineLvl w:val="0"/>
    </w:pPr>
    <w:rPr>
      <w:rFonts w:eastAsiaTheme="majorEastAsia"/>
      <w:b/>
      <w:bCs/>
      <w:color w:val="007466"/>
      <w:sz w:val="36"/>
      <w:szCs w:val="36"/>
    </w:rPr>
  </w:style>
  <w:style w:type="paragraph" w:styleId="Naslov2">
    <w:name w:val="heading 2"/>
    <w:basedOn w:val="Navaden"/>
    <w:next w:val="Navaden"/>
    <w:link w:val="Naslov2Znak"/>
    <w:uiPriority w:val="9"/>
    <w:unhideWhenUsed/>
    <w:qFormat/>
    <w:rsid w:val="005C04C3"/>
    <w:pPr>
      <w:keepNext/>
      <w:keepLines/>
      <w:numPr>
        <w:ilvl w:val="1"/>
        <w:numId w:val="151"/>
      </w:numPr>
      <w:spacing w:line="240" w:lineRule="auto"/>
      <w:jc w:val="both"/>
      <w:outlineLvl w:val="1"/>
    </w:pPr>
    <w:rPr>
      <w:rFonts w:eastAsia="Times New Roman"/>
      <w:b/>
      <w:iCs/>
      <w:color w:val="007466"/>
      <w:sz w:val="32"/>
      <w:szCs w:val="32"/>
    </w:rPr>
  </w:style>
  <w:style w:type="paragraph" w:styleId="Naslov3">
    <w:name w:val="heading 3"/>
    <w:basedOn w:val="Navaden"/>
    <w:next w:val="Navaden"/>
    <w:link w:val="Naslov3Znak"/>
    <w:unhideWhenUsed/>
    <w:qFormat/>
    <w:rsid w:val="005C04C3"/>
    <w:pPr>
      <w:keepNext/>
      <w:keepLines/>
      <w:numPr>
        <w:ilvl w:val="2"/>
        <w:numId w:val="151"/>
      </w:numPr>
      <w:spacing w:line="240" w:lineRule="auto"/>
      <w:jc w:val="both"/>
      <w:outlineLvl w:val="2"/>
    </w:pPr>
    <w:rPr>
      <w:rFonts w:eastAsia="Times New Roman"/>
      <w:b/>
      <w:bCs/>
      <w:color w:val="007466"/>
      <w:sz w:val="28"/>
      <w:szCs w:val="28"/>
    </w:rPr>
  </w:style>
  <w:style w:type="paragraph" w:styleId="Naslov4">
    <w:name w:val="heading 4"/>
    <w:basedOn w:val="Navaden"/>
    <w:next w:val="Navaden"/>
    <w:link w:val="Naslov4Znak"/>
    <w:unhideWhenUsed/>
    <w:qFormat/>
    <w:rsid w:val="00F760BD"/>
    <w:pPr>
      <w:keepNext/>
      <w:keepLines/>
      <w:numPr>
        <w:ilvl w:val="3"/>
        <w:numId w:val="151"/>
      </w:numPr>
      <w:spacing w:line="240" w:lineRule="auto"/>
      <w:jc w:val="both"/>
      <w:outlineLvl w:val="3"/>
    </w:pPr>
    <w:rPr>
      <w:rFonts w:eastAsia="Times New Roman"/>
      <w:b/>
      <w:color w:val="007466"/>
    </w:rPr>
  </w:style>
  <w:style w:type="paragraph" w:styleId="Naslov5">
    <w:name w:val="heading 5"/>
    <w:basedOn w:val="Navaden"/>
    <w:next w:val="Navaden"/>
    <w:link w:val="Naslov5Znak"/>
    <w:unhideWhenUsed/>
    <w:qFormat/>
    <w:rsid w:val="00F760BD"/>
    <w:pPr>
      <w:keepNext/>
      <w:keepLines/>
      <w:numPr>
        <w:ilvl w:val="4"/>
        <w:numId w:val="151"/>
      </w:numPr>
      <w:spacing w:line="240" w:lineRule="auto"/>
      <w:jc w:val="both"/>
      <w:outlineLvl w:val="4"/>
    </w:pPr>
    <w:rPr>
      <w:rFonts w:eastAsia="Times New Roman" w:cs="Times New Roman"/>
      <w:bCs/>
      <w:color w:val="007466"/>
    </w:rPr>
  </w:style>
  <w:style w:type="paragraph" w:styleId="Naslov6">
    <w:name w:val="heading 6"/>
    <w:basedOn w:val="Navaden"/>
    <w:next w:val="Navaden"/>
    <w:link w:val="Naslov6Znak"/>
    <w:unhideWhenUsed/>
    <w:qFormat/>
    <w:rsid w:val="006D073B"/>
    <w:pPr>
      <w:keepNext/>
      <w:keepLines/>
      <w:numPr>
        <w:ilvl w:val="5"/>
        <w:numId w:val="151"/>
      </w:numPr>
      <w:spacing w:before="40"/>
      <w:outlineLvl w:val="5"/>
    </w:pPr>
    <w:rPr>
      <w:rFonts w:asciiTheme="minorHAnsi" w:eastAsiaTheme="majorEastAsia" w:hAnsiTheme="minorHAnsi" w:cstheme="majorBidi"/>
      <w:i/>
      <w:iCs/>
      <w:color w:val="595959" w:themeColor="text1" w:themeTint="A6"/>
    </w:rPr>
  </w:style>
  <w:style w:type="paragraph" w:styleId="Naslov7">
    <w:name w:val="heading 7"/>
    <w:basedOn w:val="Navaden"/>
    <w:next w:val="Navaden"/>
    <w:link w:val="Naslov7Znak"/>
    <w:unhideWhenUsed/>
    <w:qFormat/>
    <w:rsid w:val="006D073B"/>
    <w:pPr>
      <w:keepNext/>
      <w:keepLines/>
      <w:numPr>
        <w:ilvl w:val="6"/>
        <w:numId w:val="151"/>
      </w:numPr>
      <w:spacing w:before="40"/>
      <w:outlineLvl w:val="6"/>
    </w:pPr>
    <w:rPr>
      <w:rFonts w:asciiTheme="minorHAnsi" w:eastAsiaTheme="majorEastAsia" w:hAnsiTheme="minorHAnsi" w:cstheme="majorBidi"/>
      <w:color w:val="595959" w:themeColor="text1" w:themeTint="A6"/>
    </w:rPr>
  </w:style>
  <w:style w:type="paragraph" w:styleId="Naslov8">
    <w:name w:val="heading 8"/>
    <w:basedOn w:val="Navaden"/>
    <w:next w:val="Navaden"/>
    <w:link w:val="Naslov8Znak"/>
    <w:uiPriority w:val="9"/>
    <w:unhideWhenUsed/>
    <w:qFormat/>
    <w:rsid w:val="006D073B"/>
    <w:pPr>
      <w:keepNext/>
      <w:keepLines/>
      <w:numPr>
        <w:ilvl w:val="7"/>
        <w:numId w:val="151"/>
      </w:numPr>
      <w:outlineLvl w:val="7"/>
    </w:pPr>
    <w:rPr>
      <w:rFonts w:asciiTheme="minorHAnsi" w:eastAsiaTheme="majorEastAsia" w:hAnsiTheme="minorHAnsi" w:cstheme="majorBidi"/>
      <w:i/>
      <w:iCs/>
      <w:color w:val="272727" w:themeColor="text1" w:themeTint="D8"/>
    </w:rPr>
  </w:style>
  <w:style w:type="paragraph" w:styleId="Naslov9">
    <w:name w:val="heading 9"/>
    <w:basedOn w:val="Navaden"/>
    <w:next w:val="Navaden"/>
    <w:link w:val="Naslov9Znak"/>
    <w:uiPriority w:val="9"/>
    <w:unhideWhenUsed/>
    <w:qFormat/>
    <w:rsid w:val="006D073B"/>
    <w:pPr>
      <w:keepNext/>
      <w:keepLines/>
      <w:numPr>
        <w:ilvl w:val="8"/>
        <w:numId w:val="151"/>
      </w:numPr>
      <w:outlineLvl w:val="8"/>
    </w:pPr>
    <w:rPr>
      <w:rFonts w:asciiTheme="minorHAnsi" w:eastAsiaTheme="majorEastAsia" w:hAnsiTheme="minorHAnsi"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11C3D"/>
    <w:rPr>
      <w:rFonts w:eastAsiaTheme="majorEastAsia"/>
      <w:b/>
      <w:bCs/>
      <w:color w:val="007466"/>
      <w:sz w:val="36"/>
      <w:szCs w:val="36"/>
    </w:rPr>
  </w:style>
  <w:style w:type="character" w:customStyle="1" w:styleId="Naslov2Znak">
    <w:name w:val="Naslov 2 Znak"/>
    <w:basedOn w:val="Privzetapisavaodstavka"/>
    <w:link w:val="Naslov2"/>
    <w:uiPriority w:val="9"/>
    <w:rsid w:val="005C04C3"/>
    <w:rPr>
      <w:rFonts w:eastAsia="Times New Roman"/>
      <w:b/>
      <w:iCs/>
      <w:color w:val="007466"/>
      <w:sz w:val="32"/>
      <w:szCs w:val="32"/>
    </w:rPr>
  </w:style>
  <w:style w:type="character" w:customStyle="1" w:styleId="Naslov3Znak">
    <w:name w:val="Naslov 3 Znak"/>
    <w:basedOn w:val="Privzetapisavaodstavka"/>
    <w:link w:val="Naslov3"/>
    <w:rsid w:val="005C04C3"/>
    <w:rPr>
      <w:rFonts w:eastAsia="Times New Roman"/>
      <w:b/>
      <w:bCs/>
      <w:color w:val="007466"/>
      <w:sz w:val="28"/>
      <w:szCs w:val="28"/>
    </w:rPr>
  </w:style>
  <w:style w:type="character" w:customStyle="1" w:styleId="Naslov4Znak">
    <w:name w:val="Naslov 4 Znak"/>
    <w:basedOn w:val="Privzetapisavaodstavka"/>
    <w:link w:val="Naslov4"/>
    <w:rsid w:val="00F760BD"/>
    <w:rPr>
      <w:rFonts w:eastAsia="Times New Roman"/>
      <w:b/>
      <w:color w:val="007466"/>
    </w:rPr>
  </w:style>
  <w:style w:type="character" w:customStyle="1" w:styleId="Naslov5Znak">
    <w:name w:val="Naslov 5 Znak"/>
    <w:basedOn w:val="Privzetapisavaodstavka"/>
    <w:link w:val="Naslov5"/>
    <w:rsid w:val="00F760BD"/>
    <w:rPr>
      <w:rFonts w:eastAsia="Times New Roman" w:cs="Times New Roman"/>
      <w:bCs/>
      <w:color w:val="007466"/>
    </w:rPr>
  </w:style>
  <w:style w:type="character" w:customStyle="1" w:styleId="Naslov6Znak">
    <w:name w:val="Naslov 6 Znak"/>
    <w:basedOn w:val="Privzetapisavaodstavka"/>
    <w:link w:val="Naslov6"/>
    <w:rsid w:val="006D073B"/>
    <w:rPr>
      <w:rFonts w:asciiTheme="minorHAnsi" w:eastAsiaTheme="majorEastAsia" w:hAnsiTheme="minorHAnsi" w:cstheme="majorBidi"/>
      <w:i/>
      <w:iCs/>
      <w:color w:val="595959" w:themeColor="text1" w:themeTint="A6"/>
    </w:rPr>
  </w:style>
  <w:style w:type="character" w:customStyle="1" w:styleId="Naslov7Znak">
    <w:name w:val="Naslov 7 Znak"/>
    <w:basedOn w:val="Privzetapisavaodstavka"/>
    <w:link w:val="Naslov7"/>
    <w:rsid w:val="006D073B"/>
    <w:rPr>
      <w:rFonts w:asciiTheme="minorHAnsi" w:eastAsiaTheme="majorEastAsia" w:hAnsiTheme="minorHAnsi" w:cstheme="majorBidi"/>
      <w:color w:val="595959" w:themeColor="text1" w:themeTint="A6"/>
    </w:rPr>
  </w:style>
  <w:style w:type="character" w:customStyle="1" w:styleId="Naslov8Znak">
    <w:name w:val="Naslov 8 Znak"/>
    <w:basedOn w:val="Privzetapisavaodstavka"/>
    <w:link w:val="Naslov8"/>
    <w:uiPriority w:val="9"/>
    <w:rsid w:val="006D073B"/>
    <w:rPr>
      <w:rFonts w:asciiTheme="minorHAnsi" w:eastAsiaTheme="majorEastAsia" w:hAnsiTheme="minorHAnsi" w:cstheme="majorBidi"/>
      <w:i/>
      <w:iCs/>
      <w:color w:val="272727" w:themeColor="text1" w:themeTint="D8"/>
    </w:rPr>
  </w:style>
  <w:style w:type="character" w:customStyle="1" w:styleId="Naslov9Znak">
    <w:name w:val="Naslov 9 Znak"/>
    <w:basedOn w:val="Privzetapisavaodstavka"/>
    <w:link w:val="Naslov9"/>
    <w:uiPriority w:val="9"/>
    <w:rsid w:val="006D073B"/>
    <w:rPr>
      <w:rFonts w:asciiTheme="minorHAnsi" w:eastAsiaTheme="majorEastAsia" w:hAnsiTheme="minorHAnsi" w:cstheme="majorBidi"/>
      <w:color w:val="272727" w:themeColor="text1" w:themeTint="D8"/>
    </w:rPr>
  </w:style>
  <w:style w:type="paragraph" w:styleId="Naslov">
    <w:name w:val="Title"/>
    <w:basedOn w:val="Navaden"/>
    <w:next w:val="Navaden"/>
    <w:link w:val="NaslovZnak"/>
    <w:uiPriority w:val="10"/>
    <w:qFormat/>
    <w:rsid w:val="00B85642"/>
    <w:pPr>
      <w:numPr>
        <w:numId w:val="150"/>
      </w:numPr>
      <w:spacing w:line="240" w:lineRule="auto"/>
      <w:jc w:val="both"/>
    </w:pPr>
    <w:rPr>
      <w:rFonts w:eastAsia="Calibri"/>
      <w:b/>
      <w:bCs/>
      <w:color w:val="007466"/>
      <w:sz w:val="40"/>
      <w:szCs w:val="40"/>
      <w:u w:val="single"/>
    </w:rPr>
  </w:style>
  <w:style w:type="character" w:customStyle="1" w:styleId="NaslovZnak">
    <w:name w:val="Naslov Znak"/>
    <w:basedOn w:val="Privzetapisavaodstavka"/>
    <w:link w:val="Naslov"/>
    <w:uiPriority w:val="10"/>
    <w:rsid w:val="00B85642"/>
    <w:rPr>
      <w:rFonts w:eastAsia="Calibri"/>
      <w:b/>
      <w:bCs/>
      <w:color w:val="007466"/>
      <w:sz w:val="40"/>
      <w:szCs w:val="40"/>
      <w:u w:val="single"/>
    </w:rPr>
  </w:style>
  <w:style w:type="paragraph" w:styleId="Podnaslov">
    <w:name w:val="Subtitle"/>
    <w:basedOn w:val="Navaden"/>
    <w:next w:val="Navaden"/>
    <w:link w:val="PodnaslovZnak"/>
    <w:uiPriority w:val="11"/>
    <w:qFormat/>
    <w:rsid w:val="006D07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6D073B"/>
    <w:rPr>
      <w:rFonts w:asciiTheme="minorHAnsi" w:eastAsiaTheme="majorEastAsia" w:hAnsiTheme="minorHAnsi" w:cstheme="majorBidi"/>
      <w:color w:val="595959" w:themeColor="text1" w:themeTint="A6"/>
      <w:spacing w:val="15"/>
      <w:sz w:val="28"/>
      <w:szCs w:val="28"/>
    </w:rPr>
  </w:style>
  <w:style w:type="paragraph" w:styleId="Citat">
    <w:name w:val="Quote"/>
    <w:basedOn w:val="Navaden"/>
    <w:next w:val="Navaden"/>
    <w:link w:val="CitatZnak"/>
    <w:uiPriority w:val="29"/>
    <w:qFormat/>
    <w:rsid w:val="006D073B"/>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6D073B"/>
    <w:rPr>
      <w:i/>
      <w:iCs/>
      <w:color w:val="404040" w:themeColor="text1" w:themeTint="BF"/>
    </w:rPr>
  </w:style>
  <w:style w:type="paragraph" w:styleId="Odstavekseznama">
    <w:name w:val="List Paragraph"/>
    <w:aliases w:val="za tekst,Označevanje,List Paragraph2,Bullet OFM,List Paragraph (numbered (a)),Bullet List,Primus H 3,lp1,Use Case List Paragraph Char,Citation List,Use Case List Paragraph,555,AB List 1,Prgrf_UNDP,Bullet Points,Odstavek seznama_IP,Dot p"/>
    <w:basedOn w:val="Navaden"/>
    <w:link w:val="OdstavekseznamaZnak"/>
    <w:uiPriority w:val="34"/>
    <w:qFormat/>
    <w:rsid w:val="006D073B"/>
    <w:pPr>
      <w:ind w:left="720"/>
      <w:contextualSpacing/>
    </w:pPr>
  </w:style>
  <w:style w:type="character" w:styleId="Intenzivenpoudarek">
    <w:name w:val="Intense Emphasis"/>
    <w:basedOn w:val="Privzetapisavaodstavka"/>
    <w:uiPriority w:val="21"/>
    <w:qFormat/>
    <w:rsid w:val="006D073B"/>
    <w:rPr>
      <w:i/>
      <w:iCs/>
      <w:color w:val="0F4761" w:themeColor="accent1" w:themeShade="BF"/>
    </w:rPr>
  </w:style>
  <w:style w:type="paragraph" w:styleId="Intenzivencitat">
    <w:name w:val="Intense Quote"/>
    <w:basedOn w:val="Navaden"/>
    <w:next w:val="Navaden"/>
    <w:link w:val="IntenzivencitatZnak"/>
    <w:uiPriority w:val="30"/>
    <w:qFormat/>
    <w:rsid w:val="006D07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6D073B"/>
    <w:rPr>
      <w:i/>
      <w:iCs/>
      <w:color w:val="0F4761" w:themeColor="accent1" w:themeShade="BF"/>
    </w:rPr>
  </w:style>
  <w:style w:type="character" w:styleId="Intenzivensklic">
    <w:name w:val="Intense Reference"/>
    <w:basedOn w:val="Privzetapisavaodstavka"/>
    <w:uiPriority w:val="32"/>
    <w:qFormat/>
    <w:rsid w:val="006D073B"/>
    <w:rPr>
      <w:b/>
      <w:bCs/>
      <w:smallCaps/>
      <w:color w:val="0F4761" w:themeColor="accent1" w:themeShade="BF"/>
      <w:spacing w:val="5"/>
    </w:rPr>
  </w:style>
  <w:style w:type="numbering" w:customStyle="1" w:styleId="Brezseznama1">
    <w:name w:val="Brez seznama1"/>
    <w:next w:val="Brezseznama"/>
    <w:uiPriority w:val="99"/>
    <w:semiHidden/>
    <w:unhideWhenUsed/>
    <w:rsid w:val="00EE1B49"/>
  </w:style>
  <w:style w:type="paragraph" w:customStyle="1" w:styleId="Glava1">
    <w:name w:val="Glava1"/>
    <w:basedOn w:val="Navaden"/>
    <w:next w:val="Glava"/>
    <w:link w:val="GlavaZnak"/>
    <w:uiPriority w:val="99"/>
    <w:unhideWhenUsed/>
    <w:rsid w:val="00EE1B49"/>
    <w:pPr>
      <w:tabs>
        <w:tab w:val="center" w:pos="4536"/>
        <w:tab w:val="right" w:pos="9072"/>
      </w:tabs>
      <w:spacing w:line="240" w:lineRule="auto"/>
    </w:pPr>
  </w:style>
  <w:style w:type="character" w:customStyle="1" w:styleId="GlavaZnak">
    <w:name w:val="Glava Znak"/>
    <w:basedOn w:val="Privzetapisavaodstavka"/>
    <w:link w:val="Glava1"/>
    <w:uiPriority w:val="99"/>
    <w:rsid w:val="00EE1B49"/>
  </w:style>
  <w:style w:type="paragraph" w:customStyle="1" w:styleId="Noga1">
    <w:name w:val="Noga1"/>
    <w:basedOn w:val="Navaden"/>
    <w:next w:val="Noga"/>
    <w:link w:val="NogaZnak"/>
    <w:uiPriority w:val="99"/>
    <w:unhideWhenUsed/>
    <w:rsid w:val="00EE1B49"/>
    <w:pPr>
      <w:tabs>
        <w:tab w:val="center" w:pos="4536"/>
        <w:tab w:val="right" w:pos="9072"/>
      </w:tabs>
      <w:spacing w:line="240" w:lineRule="auto"/>
    </w:pPr>
  </w:style>
  <w:style w:type="character" w:customStyle="1" w:styleId="NogaZnak">
    <w:name w:val="Noga Znak"/>
    <w:basedOn w:val="Privzetapisavaodstavka"/>
    <w:link w:val="Noga1"/>
    <w:uiPriority w:val="99"/>
    <w:rsid w:val="00EE1B49"/>
  </w:style>
  <w:style w:type="paragraph" w:customStyle="1" w:styleId="NaslovTOC1">
    <w:name w:val="Naslov TOC1"/>
    <w:basedOn w:val="Naslov1"/>
    <w:next w:val="Navaden"/>
    <w:uiPriority w:val="39"/>
    <w:unhideWhenUsed/>
    <w:qFormat/>
    <w:rsid w:val="00EE1B49"/>
    <w:pPr>
      <w:outlineLvl w:val="9"/>
    </w:pPr>
    <w:rPr>
      <w:caps/>
      <w:sz w:val="32"/>
      <w:szCs w:val="32"/>
      <w:lang w:eastAsia="sl-SI"/>
    </w:rPr>
  </w:style>
  <w:style w:type="paragraph" w:customStyle="1" w:styleId="Kazalovsebine11">
    <w:name w:val="Kazalo vsebine 11"/>
    <w:basedOn w:val="Navaden"/>
    <w:next w:val="Navaden"/>
    <w:autoRedefine/>
    <w:uiPriority w:val="39"/>
    <w:unhideWhenUsed/>
    <w:rsid w:val="00EE1B49"/>
    <w:pPr>
      <w:tabs>
        <w:tab w:val="right" w:leader="dot" w:pos="9062"/>
      </w:tabs>
      <w:spacing w:after="100"/>
    </w:pPr>
    <w:rPr>
      <w:noProof/>
      <w:sz w:val="20"/>
      <w:szCs w:val="20"/>
    </w:rPr>
  </w:style>
  <w:style w:type="paragraph" w:customStyle="1" w:styleId="Kazalovsebine21">
    <w:name w:val="Kazalo vsebine 21"/>
    <w:basedOn w:val="Navaden"/>
    <w:next w:val="Navaden"/>
    <w:autoRedefine/>
    <w:uiPriority w:val="39"/>
    <w:unhideWhenUsed/>
    <w:rsid w:val="00EE1B49"/>
    <w:pPr>
      <w:spacing w:after="100"/>
      <w:ind w:left="220"/>
    </w:pPr>
  </w:style>
  <w:style w:type="paragraph" w:customStyle="1" w:styleId="Kazalovsebine31">
    <w:name w:val="Kazalo vsebine 31"/>
    <w:basedOn w:val="Navaden"/>
    <w:next w:val="Navaden"/>
    <w:autoRedefine/>
    <w:uiPriority w:val="39"/>
    <w:unhideWhenUsed/>
    <w:rsid w:val="00EE1B49"/>
    <w:pPr>
      <w:tabs>
        <w:tab w:val="left" w:pos="880"/>
        <w:tab w:val="right" w:leader="dot" w:pos="9016"/>
      </w:tabs>
      <w:spacing w:after="100"/>
      <w:ind w:left="567"/>
    </w:pPr>
    <w:rPr>
      <w:rFonts w:cs="Times New Roman"/>
      <w:noProof/>
      <w:sz w:val="16"/>
      <w:szCs w:val="16"/>
    </w:rPr>
  </w:style>
  <w:style w:type="character" w:customStyle="1" w:styleId="Hiperpovezava1">
    <w:name w:val="Hiperpovezava1"/>
    <w:basedOn w:val="Privzetapisavaodstavka"/>
    <w:uiPriority w:val="99"/>
    <w:unhideWhenUsed/>
    <w:rsid w:val="00EE1B49"/>
    <w:rPr>
      <w:color w:val="0563C1"/>
      <w:u w:val="single"/>
    </w:rPr>
  </w:style>
  <w:style w:type="paragraph" w:customStyle="1" w:styleId="Pa16">
    <w:name w:val="Pa16"/>
    <w:basedOn w:val="Navaden"/>
    <w:next w:val="Navaden"/>
    <w:uiPriority w:val="99"/>
    <w:rsid w:val="00EE1B49"/>
    <w:pPr>
      <w:autoSpaceDE w:val="0"/>
      <w:autoSpaceDN w:val="0"/>
      <w:adjustRightInd w:val="0"/>
      <w:spacing w:line="111" w:lineRule="atLeast"/>
      <w:jc w:val="both"/>
    </w:pPr>
  </w:style>
  <w:style w:type="paragraph" w:customStyle="1" w:styleId="odstavek">
    <w:name w:val="odstavek"/>
    <w:basedOn w:val="Navaden"/>
    <w:rsid w:val="00EE1B49"/>
    <w:pPr>
      <w:spacing w:before="100" w:beforeAutospacing="1" w:after="100" w:afterAutospacing="1" w:line="240" w:lineRule="auto"/>
      <w:jc w:val="both"/>
    </w:pPr>
    <w:rPr>
      <w:rFonts w:eastAsia="Times New Roman" w:cs="Times New Roman"/>
      <w:lang w:eastAsia="sl-SI"/>
    </w:rPr>
  </w:style>
  <w:style w:type="paragraph" w:customStyle="1" w:styleId="podnaslovmalisiva">
    <w:name w:val="podnaslov mali siva"/>
    <w:basedOn w:val="Navaden"/>
    <w:uiPriority w:val="99"/>
    <w:rsid w:val="00EE1B49"/>
    <w:pPr>
      <w:tabs>
        <w:tab w:val="left" w:pos="283"/>
      </w:tabs>
      <w:autoSpaceDE w:val="0"/>
      <w:autoSpaceDN w:val="0"/>
      <w:adjustRightInd w:val="0"/>
      <w:spacing w:line="280" w:lineRule="atLeast"/>
      <w:jc w:val="both"/>
      <w:textAlignment w:val="center"/>
    </w:pPr>
    <w:rPr>
      <w:rFonts w:cs="Sinkin Sans 700 Bold"/>
      <w:b/>
      <w:bCs/>
      <w:color w:val="000000"/>
      <w:spacing w:val="1"/>
      <w:szCs w:val="14"/>
      <w:lang w:val="sk-SK"/>
    </w:rPr>
  </w:style>
  <w:style w:type="paragraph" w:customStyle="1" w:styleId="podnaslovmali">
    <w:name w:val="podnaslov mali"/>
    <w:basedOn w:val="Navaden"/>
    <w:uiPriority w:val="99"/>
    <w:rsid w:val="00EE1B49"/>
    <w:pPr>
      <w:tabs>
        <w:tab w:val="left" w:pos="283"/>
      </w:tabs>
      <w:autoSpaceDE w:val="0"/>
      <w:autoSpaceDN w:val="0"/>
      <w:adjustRightInd w:val="0"/>
      <w:spacing w:line="280" w:lineRule="atLeast"/>
      <w:jc w:val="both"/>
      <w:textAlignment w:val="center"/>
    </w:pPr>
    <w:rPr>
      <w:rFonts w:cs="Sinkin Sans 700 Bold"/>
      <w:b/>
      <w:bCs/>
      <w:color w:val="005600"/>
      <w:spacing w:val="1"/>
      <w:szCs w:val="14"/>
      <w:lang w:val="sk-SK"/>
    </w:rPr>
  </w:style>
  <w:style w:type="paragraph" w:customStyle="1" w:styleId="Pa5">
    <w:name w:val="Pa5"/>
    <w:basedOn w:val="Navaden"/>
    <w:next w:val="Navaden"/>
    <w:uiPriority w:val="99"/>
    <w:rsid w:val="00EE1B49"/>
    <w:pPr>
      <w:autoSpaceDE w:val="0"/>
      <w:autoSpaceDN w:val="0"/>
      <w:adjustRightInd w:val="0"/>
      <w:spacing w:line="141" w:lineRule="atLeast"/>
      <w:jc w:val="both"/>
    </w:pPr>
    <w:rPr>
      <w:rFonts w:ascii="Sinkin Sans 300 Light" w:hAnsi="Sinkin Sans 300 Light"/>
    </w:rPr>
  </w:style>
  <w:style w:type="paragraph" w:customStyle="1" w:styleId="Besedilooblaka1">
    <w:name w:val="Besedilo oblačka1"/>
    <w:basedOn w:val="Navaden"/>
    <w:next w:val="Besedilooblaka"/>
    <w:link w:val="BesedilooblakaZnak"/>
    <w:uiPriority w:val="99"/>
    <w:unhideWhenUsed/>
    <w:rsid w:val="00EE1B49"/>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1"/>
    <w:uiPriority w:val="99"/>
    <w:rsid w:val="00EE1B49"/>
    <w:rPr>
      <w:rFonts w:ascii="Segoe UI" w:hAnsi="Segoe UI" w:cs="Segoe UI"/>
      <w:sz w:val="18"/>
      <w:szCs w:val="18"/>
    </w:rPr>
  </w:style>
  <w:style w:type="table" w:customStyle="1" w:styleId="Tabelamrea1">
    <w:name w:val="Tabela – mreža1"/>
    <w:basedOn w:val="Navadnatabela"/>
    <w:next w:val="Tabelamrea"/>
    <w:uiPriority w:val="39"/>
    <w:rsid w:val="00EE1B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isliketabele">
    <w:name w:val="podpisi slike tabele"/>
    <w:basedOn w:val="Navaden"/>
    <w:uiPriority w:val="99"/>
    <w:rsid w:val="00EE1B49"/>
    <w:pPr>
      <w:tabs>
        <w:tab w:val="left" w:pos="283"/>
      </w:tabs>
      <w:autoSpaceDE w:val="0"/>
      <w:autoSpaceDN w:val="0"/>
      <w:adjustRightInd w:val="0"/>
      <w:spacing w:line="240" w:lineRule="atLeast"/>
      <w:jc w:val="both"/>
      <w:textAlignment w:val="center"/>
    </w:pPr>
    <w:rPr>
      <w:rFonts w:ascii="Sinkin Sans 500 Medium" w:hAnsi="Sinkin Sans 500 Medium" w:cs="Sinkin Sans 500 Medium"/>
      <w:color w:val="005600"/>
      <w:spacing w:val="1"/>
      <w:sz w:val="14"/>
      <w:szCs w:val="14"/>
      <w:lang w:val="sk-SK"/>
    </w:rPr>
  </w:style>
  <w:style w:type="paragraph" w:customStyle="1" w:styleId="Navadensplet1">
    <w:name w:val="Navaden (splet)1"/>
    <w:basedOn w:val="Navaden"/>
    <w:next w:val="Navadensplet"/>
    <w:uiPriority w:val="99"/>
    <w:unhideWhenUsed/>
    <w:rsid w:val="00EE1B49"/>
    <w:pPr>
      <w:spacing w:before="100" w:beforeAutospacing="1" w:after="100" w:afterAutospacing="1" w:line="240" w:lineRule="auto"/>
      <w:jc w:val="both"/>
    </w:pPr>
    <w:rPr>
      <w:rFonts w:eastAsia="Times New Roman" w:cs="Times New Roman"/>
      <w:lang w:eastAsia="sl-SI"/>
    </w:rPr>
  </w:style>
  <w:style w:type="paragraph" w:customStyle="1" w:styleId="Telobesedila31">
    <w:name w:val="Telo besedila 31"/>
    <w:basedOn w:val="Navaden"/>
    <w:next w:val="Telobesedila3"/>
    <w:link w:val="Telobesedila3Znak"/>
    <w:rsid w:val="00EE1B49"/>
    <w:pPr>
      <w:spacing w:after="120" w:line="240" w:lineRule="auto"/>
      <w:jc w:val="both"/>
    </w:pPr>
    <w:rPr>
      <w:rFonts w:eastAsia="Times New Roman" w:cs="Times New Roman"/>
      <w:sz w:val="16"/>
      <w:szCs w:val="16"/>
      <w:lang w:eastAsia="sl-SI"/>
    </w:rPr>
  </w:style>
  <w:style w:type="character" w:customStyle="1" w:styleId="Telobesedila3Znak">
    <w:name w:val="Telo besedila 3 Znak"/>
    <w:basedOn w:val="Privzetapisavaodstavka"/>
    <w:link w:val="Telobesedila31"/>
    <w:rsid w:val="00EE1B49"/>
    <w:rPr>
      <w:rFonts w:eastAsia="Times New Roman" w:cs="Times New Roman"/>
      <w:sz w:val="16"/>
      <w:szCs w:val="16"/>
      <w:lang w:eastAsia="sl-SI"/>
    </w:rPr>
  </w:style>
  <w:style w:type="character" w:customStyle="1" w:styleId="Char1">
    <w:name w:val="Char1"/>
    <w:basedOn w:val="Privzetapisavaodstavka"/>
    <w:uiPriority w:val="99"/>
    <w:qFormat/>
    <w:rsid w:val="00EE1B49"/>
    <w:rPr>
      <w:rFonts w:ascii="Calibri" w:hAnsi="Calibri"/>
      <w:w w:val="100"/>
      <w:vertAlign w:val="superscript"/>
    </w:rPr>
  </w:style>
  <w:style w:type="paragraph" w:customStyle="1" w:styleId="oddelek">
    <w:name w:val="oddelek"/>
    <w:basedOn w:val="Navaden"/>
    <w:rsid w:val="00EE1B49"/>
    <w:pPr>
      <w:spacing w:before="100" w:beforeAutospacing="1" w:after="100" w:afterAutospacing="1" w:line="240" w:lineRule="auto"/>
      <w:jc w:val="both"/>
    </w:pPr>
    <w:rPr>
      <w:rFonts w:eastAsia="Times New Roman" w:cs="Times New Roman"/>
      <w:lang w:eastAsia="sl-SI"/>
    </w:rPr>
  </w:style>
  <w:style w:type="character" w:styleId="Poudarek">
    <w:name w:val="Emphasis"/>
    <w:basedOn w:val="Privzetapisavaodstavka"/>
    <w:uiPriority w:val="20"/>
    <w:qFormat/>
    <w:rsid w:val="00EE1B49"/>
    <w:rPr>
      <w:i/>
      <w:iCs/>
    </w:rPr>
  </w:style>
  <w:style w:type="paragraph" w:customStyle="1" w:styleId="Telobesedila1">
    <w:name w:val="Telo besedila1"/>
    <w:basedOn w:val="Navaden"/>
    <w:next w:val="Telobesedila"/>
    <w:link w:val="TelobesedilaZnak"/>
    <w:uiPriority w:val="1"/>
    <w:unhideWhenUsed/>
    <w:qFormat/>
    <w:rsid w:val="00EE1B49"/>
    <w:pPr>
      <w:spacing w:after="120"/>
    </w:pPr>
  </w:style>
  <w:style w:type="character" w:customStyle="1" w:styleId="TelobesedilaZnak">
    <w:name w:val="Telo besedila Znak"/>
    <w:basedOn w:val="Privzetapisavaodstavka"/>
    <w:link w:val="Telobesedila1"/>
    <w:uiPriority w:val="1"/>
    <w:rsid w:val="00EE1B49"/>
  </w:style>
  <w:style w:type="character" w:customStyle="1" w:styleId="A12">
    <w:name w:val="A12"/>
    <w:uiPriority w:val="99"/>
    <w:rsid w:val="00EE1B49"/>
    <w:rPr>
      <w:rFonts w:ascii="XLBEFY+SinkinSans-200XLight" w:hAnsi="XLBEFY+SinkinSans-200XLight" w:cs="XLBEFY+SinkinSans-200XLight"/>
      <w:color w:val="3F3F41"/>
      <w:sz w:val="8"/>
      <w:szCs w:val="8"/>
    </w:rPr>
  </w:style>
  <w:style w:type="paragraph" w:customStyle="1" w:styleId="Kazalovsebine41">
    <w:name w:val="Kazalo vsebine 41"/>
    <w:basedOn w:val="Navaden"/>
    <w:next w:val="Navaden"/>
    <w:autoRedefine/>
    <w:uiPriority w:val="39"/>
    <w:unhideWhenUsed/>
    <w:rsid w:val="00EE1B49"/>
    <w:pPr>
      <w:spacing w:after="100"/>
      <w:ind w:left="660"/>
    </w:pPr>
  </w:style>
  <w:style w:type="paragraph" w:customStyle="1" w:styleId="Kazalovsebine51">
    <w:name w:val="Kazalo vsebine 51"/>
    <w:basedOn w:val="Navaden"/>
    <w:next w:val="Navaden"/>
    <w:autoRedefine/>
    <w:uiPriority w:val="39"/>
    <w:unhideWhenUsed/>
    <w:rsid w:val="00EE1B49"/>
    <w:pPr>
      <w:spacing w:after="100"/>
      <w:ind w:left="880"/>
    </w:pPr>
  </w:style>
  <w:style w:type="paragraph" w:customStyle="1" w:styleId="Kazalovsebine61">
    <w:name w:val="Kazalo vsebine 61"/>
    <w:basedOn w:val="Navaden"/>
    <w:next w:val="Navaden"/>
    <w:autoRedefine/>
    <w:uiPriority w:val="39"/>
    <w:unhideWhenUsed/>
    <w:rsid w:val="00EE1B49"/>
    <w:pPr>
      <w:spacing w:after="100"/>
      <w:ind w:left="1100"/>
    </w:pPr>
  </w:style>
  <w:style w:type="character" w:styleId="Krepko">
    <w:name w:val="Strong"/>
    <w:uiPriority w:val="22"/>
    <w:qFormat/>
    <w:rsid w:val="00EE1B49"/>
    <w:rPr>
      <w:b/>
      <w:bCs/>
    </w:rPr>
  </w:style>
  <w:style w:type="paragraph" w:styleId="Brezrazmikov">
    <w:name w:val="No Spacing"/>
    <w:aliases w:val="Brez razmikov DODV"/>
    <w:link w:val="BrezrazmikovZnak"/>
    <w:uiPriority w:val="1"/>
    <w:qFormat/>
    <w:rsid w:val="00EE1B49"/>
    <w:pPr>
      <w:spacing w:line="240" w:lineRule="auto"/>
      <w:ind w:left="130" w:firstLine="4"/>
      <w:jc w:val="both"/>
    </w:pPr>
    <w:rPr>
      <w:rFonts w:ascii="Times New Roman" w:eastAsia="Times New Roman" w:hAnsi="Times New Roman" w:cs="Times New Roman"/>
      <w:color w:val="000000"/>
      <w:lang w:eastAsia="sl-SI"/>
    </w:rPr>
  </w:style>
  <w:style w:type="paragraph" w:customStyle="1" w:styleId="fn1">
    <w:name w:val="fn1"/>
    <w:basedOn w:val="Navaden"/>
    <w:next w:val="Sprotnaopomba-besedilo"/>
    <w:link w:val="Sprotnaopomba-besediloZnak"/>
    <w:uiPriority w:val="99"/>
    <w:unhideWhenUsed/>
    <w:qFormat/>
    <w:rsid w:val="00EE1B49"/>
    <w:pPr>
      <w:spacing w:line="240" w:lineRule="auto"/>
      <w:jc w:val="both"/>
    </w:pPr>
    <w:rPr>
      <w:rFonts w:eastAsia="Times New Roman" w:cs="Times New Roman"/>
      <w:sz w:val="20"/>
      <w:szCs w:val="20"/>
      <w:lang w:eastAsia="sl-SI"/>
    </w:rPr>
  </w:style>
  <w:style w:type="character" w:customStyle="1" w:styleId="Sprotnaopomba-besediloZnak">
    <w:name w:val="Sprotna opomba - besedilo Znak"/>
    <w:aliases w:val="Sprotna opomba - besedilo Znak1 Char Znak,Sprotna opomba - besedilo Znak Znak Char Znak,Znak Znak Znak Char Znak,Znak Znak Znak Znak Znak Znak Znak Char Znak,Znak Znak1 Char Znak,Znak Znak Znak Znak Znak Znak1 Char Znak"/>
    <w:basedOn w:val="Privzetapisavaodstavka"/>
    <w:link w:val="fn1"/>
    <w:uiPriority w:val="99"/>
    <w:rsid w:val="00EE1B49"/>
    <w:rPr>
      <w:rFonts w:eastAsia="Times New Roman" w:cs="Times New Roman"/>
      <w:sz w:val="20"/>
      <w:szCs w:val="20"/>
      <w:lang w:eastAsia="sl-SI"/>
    </w:rPr>
  </w:style>
  <w:style w:type="paragraph" w:customStyle="1" w:styleId="Kazalovsebine71">
    <w:name w:val="Kazalo vsebine 71"/>
    <w:basedOn w:val="Navaden"/>
    <w:next w:val="Navaden"/>
    <w:autoRedefine/>
    <w:uiPriority w:val="39"/>
    <w:unhideWhenUsed/>
    <w:rsid w:val="00EE1B49"/>
    <w:pPr>
      <w:spacing w:after="100"/>
      <w:ind w:left="1320"/>
    </w:pPr>
  </w:style>
  <w:style w:type="paragraph" w:customStyle="1" w:styleId="Kazalovsebine81">
    <w:name w:val="Kazalo vsebine 81"/>
    <w:basedOn w:val="Navaden"/>
    <w:next w:val="Navaden"/>
    <w:autoRedefine/>
    <w:uiPriority w:val="39"/>
    <w:unhideWhenUsed/>
    <w:rsid w:val="00EE1B49"/>
    <w:pPr>
      <w:spacing w:after="100"/>
      <w:ind w:left="1540"/>
    </w:pPr>
    <w:rPr>
      <w:rFonts w:eastAsia="Times New Roman"/>
      <w:lang w:eastAsia="sl-SI"/>
    </w:rPr>
  </w:style>
  <w:style w:type="paragraph" w:customStyle="1" w:styleId="Kazalovsebine91">
    <w:name w:val="Kazalo vsebine 91"/>
    <w:basedOn w:val="Navaden"/>
    <w:next w:val="Navaden"/>
    <w:autoRedefine/>
    <w:uiPriority w:val="39"/>
    <w:unhideWhenUsed/>
    <w:rsid w:val="00EE1B49"/>
    <w:pPr>
      <w:spacing w:after="100"/>
      <w:ind w:left="1760"/>
    </w:pPr>
    <w:rPr>
      <w:rFonts w:eastAsia="Times New Roman"/>
      <w:lang w:eastAsia="sl-SI"/>
    </w:rPr>
  </w:style>
  <w:style w:type="character" w:styleId="Nerazreenaomemba">
    <w:name w:val="Unresolved Mention"/>
    <w:basedOn w:val="Privzetapisavaodstavka"/>
    <w:uiPriority w:val="99"/>
    <w:semiHidden/>
    <w:unhideWhenUsed/>
    <w:rsid w:val="00EE1B49"/>
    <w:rPr>
      <w:color w:val="605E5C"/>
      <w:shd w:val="clear" w:color="auto" w:fill="E1DFDD"/>
    </w:rPr>
  </w:style>
  <w:style w:type="paragraph" w:customStyle="1" w:styleId="article-paragraph">
    <w:name w:val="article-paragraph"/>
    <w:basedOn w:val="Navaden"/>
    <w:rsid w:val="00EE1B49"/>
    <w:pPr>
      <w:spacing w:after="75" w:line="312" w:lineRule="atLeast"/>
      <w:jc w:val="both"/>
    </w:pPr>
    <w:rPr>
      <w:rFonts w:ascii="Arial" w:eastAsia="Times New Roman" w:hAnsi="Arial" w:cs="Arial"/>
      <w:sz w:val="26"/>
      <w:szCs w:val="26"/>
      <w:lang w:eastAsia="sl-SI"/>
    </w:rPr>
  </w:style>
  <w:style w:type="paragraph" w:customStyle="1" w:styleId="lennaslov">
    <w:name w:val="lennaslov"/>
    <w:basedOn w:val="Navaden"/>
    <w:rsid w:val="00EE1B49"/>
    <w:pPr>
      <w:spacing w:before="100" w:beforeAutospacing="1" w:after="100" w:afterAutospacing="1" w:line="240" w:lineRule="auto"/>
    </w:pPr>
    <w:rPr>
      <w:rFonts w:eastAsia="Times New Roman" w:cs="Times New Roman"/>
      <w:lang w:eastAsia="sl-SI"/>
    </w:rPr>
  </w:style>
  <w:style w:type="paragraph" w:customStyle="1" w:styleId="tevilnatoka">
    <w:name w:val="Številčna točka"/>
    <w:basedOn w:val="Navaden"/>
    <w:link w:val="tevilnatokaZnak"/>
    <w:qFormat/>
    <w:rsid w:val="00EE1B49"/>
    <w:pPr>
      <w:numPr>
        <w:numId w:val="18"/>
      </w:numPr>
      <w:tabs>
        <w:tab w:val="clear" w:pos="397"/>
        <w:tab w:val="left" w:pos="540"/>
        <w:tab w:val="left" w:pos="900"/>
      </w:tabs>
      <w:spacing w:line="240" w:lineRule="auto"/>
      <w:ind w:left="0" w:firstLine="0"/>
      <w:jc w:val="both"/>
    </w:pPr>
    <w:rPr>
      <w:rFonts w:ascii="Arial" w:eastAsia="Times New Roman" w:hAnsi="Arial" w:cs="Arial"/>
      <w:lang w:val="x-none" w:eastAsia="sl-SI"/>
    </w:rPr>
  </w:style>
  <w:style w:type="character" w:customStyle="1" w:styleId="tevilnatokaZnak">
    <w:name w:val="Številčna točka Znak"/>
    <w:basedOn w:val="Privzetapisavaodstavka"/>
    <w:link w:val="tevilnatoka"/>
    <w:rsid w:val="00EE1B49"/>
    <w:rPr>
      <w:rFonts w:ascii="Arial" w:eastAsia="Times New Roman" w:hAnsi="Arial" w:cs="Arial"/>
      <w:lang w:val="x-none" w:eastAsia="sl-SI"/>
    </w:rPr>
  </w:style>
  <w:style w:type="paragraph" w:customStyle="1" w:styleId="Default">
    <w:name w:val="Default"/>
    <w:rsid w:val="00EE1B49"/>
    <w:pPr>
      <w:autoSpaceDE w:val="0"/>
      <w:autoSpaceDN w:val="0"/>
      <w:adjustRightInd w:val="0"/>
      <w:spacing w:line="240" w:lineRule="auto"/>
    </w:pPr>
    <w:rPr>
      <w:color w:val="000000"/>
    </w:rPr>
  </w:style>
  <w:style w:type="paragraph" w:customStyle="1" w:styleId="NoParagraphStyle">
    <w:name w:val="[No Paragraph Style]"/>
    <w:rsid w:val="00EE1B49"/>
    <w:pPr>
      <w:autoSpaceDE w:val="0"/>
      <w:autoSpaceDN w:val="0"/>
      <w:adjustRightInd w:val="0"/>
      <w:spacing w:line="288" w:lineRule="auto"/>
      <w:jc w:val="both"/>
      <w:textAlignment w:val="center"/>
    </w:pPr>
    <w:rPr>
      <w:rFonts w:ascii="Minion Pro" w:hAnsi="Minion Pro" w:cs="Minion Pro"/>
      <w:color w:val="000000"/>
      <w:lang w:val="en-US"/>
    </w:rPr>
  </w:style>
  <w:style w:type="paragraph" w:customStyle="1" w:styleId="Glavninaslov">
    <w:name w:val="Glavni naslov"/>
    <w:basedOn w:val="Naslov2"/>
    <w:uiPriority w:val="99"/>
    <w:rsid w:val="00EE1B49"/>
    <w:pPr>
      <w:keepNext w:val="0"/>
      <w:keepLines w:val="0"/>
      <w:tabs>
        <w:tab w:val="left" w:pos="780"/>
        <w:tab w:val="left" w:pos="1000"/>
        <w:tab w:val="left" w:pos="1140"/>
        <w:tab w:val="left" w:pos="1320"/>
      </w:tabs>
      <w:autoSpaceDE w:val="0"/>
      <w:autoSpaceDN w:val="0"/>
      <w:adjustRightInd w:val="0"/>
      <w:spacing w:line="500" w:lineRule="atLeast"/>
      <w:textAlignment w:val="center"/>
      <w:outlineLvl w:val="9"/>
    </w:pPr>
    <w:rPr>
      <w:rFonts w:eastAsia="Calibri" w:cs="Sinkin Sans 300 Light"/>
      <w:b w:val="0"/>
      <w:iCs w:val="0"/>
      <w:color w:val="00594D"/>
      <w:sz w:val="42"/>
      <w:szCs w:val="42"/>
      <w:lang w:val="sk-SK"/>
    </w:rPr>
  </w:style>
  <w:style w:type="character" w:customStyle="1" w:styleId="A13">
    <w:name w:val="A13"/>
    <w:uiPriority w:val="99"/>
    <w:rsid w:val="00EE1B49"/>
    <w:rPr>
      <w:rFonts w:ascii="Calibri" w:hAnsi="Calibri" w:cs="XLBEFY+SinkinSans-200XLight"/>
      <w:color w:val="639792"/>
      <w:sz w:val="6"/>
      <w:szCs w:val="6"/>
    </w:rPr>
  </w:style>
  <w:style w:type="paragraph" w:customStyle="1" w:styleId="Pa13">
    <w:name w:val="Pa13"/>
    <w:basedOn w:val="Default"/>
    <w:next w:val="Default"/>
    <w:uiPriority w:val="99"/>
    <w:rsid w:val="00EE1B49"/>
    <w:pPr>
      <w:spacing w:line="421" w:lineRule="atLeast"/>
      <w:jc w:val="both"/>
    </w:pPr>
    <w:rPr>
      <w:rFonts w:ascii="Sinkin Sans 300 Light" w:hAnsi="Sinkin Sans 300 Light" w:cs="Times New Roman"/>
      <w:color w:val="auto"/>
    </w:rPr>
  </w:style>
  <w:style w:type="paragraph" w:customStyle="1" w:styleId="Pa20">
    <w:name w:val="Pa20"/>
    <w:basedOn w:val="Default"/>
    <w:next w:val="Default"/>
    <w:uiPriority w:val="99"/>
    <w:rsid w:val="00EE1B49"/>
    <w:pPr>
      <w:spacing w:line="181" w:lineRule="atLeast"/>
      <w:jc w:val="both"/>
    </w:pPr>
    <w:rPr>
      <w:rFonts w:ascii="Sinkin Sans 300 Light" w:hAnsi="Sinkin Sans 300 Light" w:cs="Times New Roman"/>
      <w:color w:val="auto"/>
    </w:rPr>
  </w:style>
  <w:style w:type="paragraph" w:customStyle="1" w:styleId="Pa21">
    <w:name w:val="Pa21"/>
    <w:basedOn w:val="Default"/>
    <w:next w:val="Default"/>
    <w:uiPriority w:val="99"/>
    <w:rsid w:val="00EE1B49"/>
    <w:pPr>
      <w:spacing w:line="141" w:lineRule="atLeast"/>
      <w:jc w:val="both"/>
    </w:pPr>
    <w:rPr>
      <w:rFonts w:ascii="Sinkin Sans 300 Light" w:hAnsi="Sinkin Sans 300 Light" w:cs="Times New Roman"/>
      <w:color w:val="auto"/>
    </w:rPr>
  </w:style>
  <w:style w:type="paragraph" w:customStyle="1" w:styleId="Pa17">
    <w:name w:val="Pa17"/>
    <w:basedOn w:val="Default"/>
    <w:next w:val="Default"/>
    <w:uiPriority w:val="99"/>
    <w:rsid w:val="00EE1B49"/>
    <w:pPr>
      <w:spacing w:line="141" w:lineRule="atLeast"/>
      <w:jc w:val="both"/>
    </w:pPr>
    <w:rPr>
      <w:rFonts w:ascii="Sinkin Sans 300 Light" w:hAnsi="Sinkin Sans 300 Light" w:cs="Times New Roman"/>
      <w:color w:val="auto"/>
    </w:rPr>
  </w:style>
  <w:style w:type="character" w:customStyle="1" w:styleId="A14">
    <w:name w:val="A14"/>
    <w:uiPriority w:val="99"/>
    <w:rsid w:val="00EE1B49"/>
    <w:rPr>
      <w:rFonts w:cs="ANPWVS+SinkinSans-200XLight"/>
      <w:color w:val="3F3F41"/>
      <w:sz w:val="11"/>
      <w:szCs w:val="11"/>
    </w:rPr>
  </w:style>
  <w:style w:type="paragraph" w:customStyle="1" w:styleId="Pa2">
    <w:name w:val="Pa2"/>
    <w:basedOn w:val="Default"/>
    <w:next w:val="Default"/>
    <w:uiPriority w:val="99"/>
    <w:rsid w:val="00EE1B49"/>
    <w:pPr>
      <w:spacing w:line="141" w:lineRule="atLeast"/>
      <w:jc w:val="both"/>
    </w:pPr>
    <w:rPr>
      <w:rFonts w:ascii="XLBEFY+SinkinSans-200XLight" w:hAnsi="XLBEFY+SinkinSans-200XLight" w:cs="Times New Roman"/>
      <w:color w:val="auto"/>
    </w:rPr>
  </w:style>
  <w:style w:type="character" w:customStyle="1" w:styleId="A1">
    <w:name w:val="A1"/>
    <w:uiPriority w:val="99"/>
    <w:rsid w:val="00EE1B49"/>
    <w:rPr>
      <w:rFonts w:cs="XLBEFY+SinkinSans-200XLight"/>
      <w:color w:val="DBDCDE"/>
      <w:sz w:val="28"/>
      <w:szCs w:val="28"/>
    </w:rPr>
  </w:style>
  <w:style w:type="paragraph" w:customStyle="1" w:styleId="Pa6">
    <w:name w:val="Pa6"/>
    <w:basedOn w:val="Default"/>
    <w:next w:val="Default"/>
    <w:uiPriority w:val="99"/>
    <w:rsid w:val="00EE1B49"/>
    <w:pPr>
      <w:spacing w:line="141" w:lineRule="atLeast"/>
      <w:jc w:val="both"/>
    </w:pPr>
    <w:rPr>
      <w:rFonts w:ascii="XLBEFY+SinkinSans-200XLight" w:hAnsi="XLBEFY+SinkinSans-200XLight" w:cs="Times New Roman"/>
      <w:color w:val="auto"/>
    </w:rPr>
  </w:style>
  <w:style w:type="paragraph" w:customStyle="1" w:styleId="Pa10">
    <w:name w:val="Pa10"/>
    <w:basedOn w:val="Default"/>
    <w:next w:val="Default"/>
    <w:uiPriority w:val="99"/>
    <w:rsid w:val="00EE1B49"/>
    <w:pPr>
      <w:spacing w:line="141" w:lineRule="atLeast"/>
      <w:jc w:val="both"/>
    </w:pPr>
    <w:rPr>
      <w:rFonts w:ascii="XLBEFY+SinkinSans-200XLight" w:hAnsi="XLBEFY+SinkinSans-200XLight" w:cs="Times New Roman"/>
      <w:color w:val="auto"/>
    </w:rPr>
  </w:style>
  <w:style w:type="paragraph" w:customStyle="1" w:styleId="NoSpacing1">
    <w:name w:val="No Spacing1"/>
    <w:basedOn w:val="NoParagraphStyle"/>
    <w:uiPriority w:val="99"/>
    <w:rsid w:val="00EE1B49"/>
    <w:rPr>
      <w:rFonts w:ascii="Calibri" w:hAnsi="Calibri" w:cs="Calibri"/>
      <w:sz w:val="22"/>
      <w:szCs w:val="22"/>
      <w:lang w:val="sk-SK"/>
    </w:rPr>
  </w:style>
  <w:style w:type="table" w:customStyle="1" w:styleId="NormalTable0">
    <w:name w:val="Normal Table0"/>
    <w:uiPriority w:val="2"/>
    <w:semiHidden/>
    <w:unhideWhenUsed/>
    <w:qFormat/>
    <w:rsid w:val="00EE1B49"/>
    <w:pPr>
      <w:widowControl w:val="0"/>
      <w:spacing w:line="240" w:lineRule="auto"/>
      <w:jc w:val="both"/>
    </w:pPr>
    <w:rPr>
      <w:lang w:val="en-US"/>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EE1B49"/>
    <w:pPr>
      <w:widowControl w:val="0"/>
      <w:spacing w:line="240" w:lineRule="auto"/>
      <w:jc w:val="both"/>
    </w:pPr>
    <w:rPr>
      <w:lang w:val="en-US"/>
    </w:rPr>
  </w:style>
  <w:style w:type="character" w:customStyle="1" w:styleId="A6">
    <w:name w:val="A6"/>
    <w:uiPriority w:val="99"/>
    <w:rsid w:val="00EE1B49"/>
    <w:rPr>
      <w:rFonts w:cs="ANPWVS+SinkinSans-200XLight"/>
      <w:color w:val="FFFFFF"/>
      <w:sz w:val="14"/>
      <w:szCs w:val="14"/>
    </w:rPr>
  </w:style>
  <w:style w:type="paragraph" w:customStyle="1" w:styleId="Pa25">
    <w:name w:val="Pa25"/>
    <w:basedOn w:val="Default"/>
    <w:next w:val="Default"/>
    <w:uiPriority w:val="99"/>
    <w:rsid w:val="00EE1B49"/>
    <w:pPr>
      <w:spacing w:line="141" w:lineRule="atLeast"/>
      <w:jc w:val="both"/>
    </w:pPr>
    <w:rPr>
      <w:rFonts w:ascii="ANPWVS+SinkinSans-200XLight" w:hAnsi="ANPWVS+SinkinSans-200XLight" w:cs="Times New Roman"/>
      <w:color w:val="auto"/>
    </w:rPr>
  </w:style>
  <w:style w:type="character" w:customStyle="1" w:styleId="A18">
    <w:name w:val="A18"/>
    <w:uiPriority w:val="99"/>
    <w:rsid w:val="00EE1B49"/>
    <w:rPr>
      <w:rFonts w:cs="ANPWVS+SinkinSans-200XLight"/>
      <w:color w:val="FFFFFF"/>
      <w:sz w:val="17"/>
      <w:szCs w:val="17"/>
    </w:rPr>
  </w:style>
  <w:style w:type="paragraph" w:customStyle="1" w:styleId="Pa23">
    <w:name w:val="Pa23"/>
    <w:basedOn w:val="Default"/>
    <w:next w:val="Default"/>
    <w:uiPriority w:val="99"/>
    <w:rsid w:val="00EE1B49"/>
    <w:pPr>
      <w:spacing w:line="241" w:lineRule="atLeast"/>
      <w:jc w:val="both"/>
    </w:pPr>
    <w:rPr>
      <w:rFonts w:ascii="LULHGM+SinkinSans-500Medium" w:hAnsi="LULHGM+SinkinSans-500Medium" w:cs="Times New Roman"/>
      <w:color w:val="auto"/>
    </w:rPr>
  </w:style>
  <w:style w:type="character" w:customStyle="1" w:styleId="A0">
    <w:name w:val="A0"/>
    <w:uiPriority w:val="99"/>
    <w:rsid w:val="00EE1B49"/>
    <w:rPr>
      <w:rFonts w:cs="XLBEFY+SinkinSans-200XLight"/>
      <w:color w:val="FFFFFF"/>
      <w:sz w:val="16"/>
      <w:szCs w:val="16"/>
    </w:rPr>
  </w:style>
  <w:style w:type="character" w:customStyle="1" w:styleId="A15">
    <w:name w:val="A15"/>
    <w:uiPriority w:val="99"/>
    <w:rsid w:val="00EE1B49"/>
    <w:rPr>
      <w:rFonts w:ascii="XLBEFY+SinkinSans-200XLight" w:hAnsi="XLBEFY+SinkinSans-200XLight" w:cs="XLBEFY+SinkinSans-200XLight"/>
      <w:color w:val="639792"/>
      <w:sz w:val="18"/>
      <w:szCs w:val="18"/>
    </w:rPr>
  </w:style>
  <w:style w:type="paragraph" w:customStyle="1" w:styleId="imenapostopki">
    <w:name w:val="imena postopki"/>
    <w:basedOn w:val="Navaden"/>
    <w:uiPriority w:val="99"/>
    <w:rsid w:val="00EE1B49"/>
    <w:pPr>
      <w:tabs>
        <w:tab w:val="left" w:pos="283"/>
      </w:tabs>
      <w:autoSpaceDE w:val="0"/>
      <w:autoSpaceDN w:val="0"/>
      <w:adjustRightInd w:val="0"/>
      <w:spacing w:line="280" w:lineRule="atLeast"/>
      <w:jc w:val="both"/>
      <w:textAlignment w:val="center"/>
    </w:pPr>
    <w:rPr>
      <w:rFonts w:ascii="Sinkin Sans 700 Bold Italic" w:hAnsi="Sinkin Sans 700 Bold Italic" w:cs="Sinkin Sans 700 Bold Italic"/>
      <w:b/>
      <w:bCs/>
      <w:i/>
      <w:iCs/>
      <w:color w:val="000000"/>
      <w:spacing w:val="1"/>
      <w:sz w:val="14"/>
      <w:szCs w:val="14"/>
      <w:lang w:val="sk-SK"/>
    </w:rPr>
  </w:style>
  <w:style w:type="paragraph" w:customStyle="1" w:styleId="rimskatevilnatoka">
    <w:name w:val="rimskatevilnatoka"/>
    <w:basedOn w:val="Navaden"/>
    <w:rsid w:val="00EE1B49"/>
    <w:pPr>
      <w:spacing w:before="100" w:beforeAutospacing="1" w:after="100" w:afterAutospacing="1" w:line="240" w:lineRule="auto"/>
      <w:jc w:val="both"/>
    </w:pPr>
    <w:rPr>
      <w:rFonts w:eastAsia="Times New Roman" w:cs="Times New Roman"/>
      <w:lang w:eastAsia="sl-SI"/>
    </w:rPr>
  </w:style>
  <w:style w:type="paragraph" w:customStyle="1" w:styleId="len">
    <w:name w:val="len"/>
    <w:basedOn w:val="Navaden"/>
    <w:rsid w:val="00EE1B49"/>
    <w:pPr>
      <w:spacing w:before="100" w:beforeAutospacing="1" w:after="100" w:afterAutospacing="1" w:line="240" w:lineRule="auto"/>
      <w:jc w:val="both"/>
    </w:pPr>
    <w:rPr>
      <w:rFonts w:eastAsia="Times New Roman" w:cs="Times New Roman"/>
      <w:lang w:eastAsia="sl-SI"/>
    </w:rPr>
  </w:style>
  <w:style w:type="paragraph" w:customStyle="1" w:styleId="alineazaodstavkom">
    <w:name w:val="alineazaodstavkom"/>
    <w:basedOn w:val="Navaden"/>
    <w:rsid w:val="00EE1B49"/>
    <w:pPr>
      <w:spacing w:before="100" w:beforeAutospacing="1" w:after="100" w:afterAutospacing="1" w:line="240" w:lineRule="auto"/>
      <w:jc w:val="both"/>
    </w:pPr>
    <w:rPr>
      <w:rFonts w:eastAsia="Times New Roman" w:cs="Times New Roman"/>
      <w:lang w:eastAsia="sl-SI"/>
    </w:rPr>
  </w:style>
  <w:style w:type="paragraph" w:customStyle="1" w:styleId="vrstapredpisa">
    <w:name w:val="vrstapredpisa"/>
    <w:basedOn w:val="Navaden"/>
    <w:rsid w:val="00EE1B49"/>
    <w:pPr>
      <w:spacing w:before="100" w:beforeAutospacing="1" w:after="100" w:afterAutospacing="1" w:line="240" w:lineRule="auto"/>
      <w:jc w:val="both"/>
    </w:pPr>
    <w:rPr>
      <w:rFonts w:eastAsia="Times New Roman" w:cs="Times New Roman"/>
      <w:lang w:eastAsia="sl-SI"/>
    </w:rPr>
  </w:style>
  <w:style w:type="paragraph" w:customStyle="1" w:styleId="naslovpredpisa">
    <w:name w:val="naslovpredpisa"/>
    <w:basedOn w:val="Navaden"/>
    <w:rsid w:val="00EE1B49"/>
    <w:pPr>
      <w:spacing w:before="100" w:beforeAutospacing="1" w:after="100" w:afterAutospacing="1" w:line="240" w:lineRule="auto"/>
      <w:jc w:val="both"/>
    </w:pPr>
    <w:rPr>
      <w:rFonts w:eastAsia="Times New Roman" w:cs="Times New Roman"/>
      <w:lang w:eastAsia="sl-SI"/>
    </w:rPr>
  </w:style>
  <w:style w:type="character" w:customStyle="1" w:styleId="CharacterStyle1">
    <w:name w:val="Character Style 1"/>
    <w:rsid w:val="00EE1B49"/>
    <w:rPr>
      <w:sz w:val="24"/>
      <w:szCs w:val="24"/>
    </w:rPr>
  </w:style>
  <w:style w:type="paragraph" w:customStyle="1" w:styleId="JuPara">
    <w:name w:val="Ju_Para"/>
    <w:aliases w:val="Left,First line:  0 cm,ECHR_Para,Para,Normal + TimesNewRomanPSMT,10 pt,Left:  1,27 cm,Line spacing:  1.5 l...,N_Para"/>
    <w:basedOn w:val="Navaden"/>
    <w:link w:val="JuParaZnak"/>
    <w:qFormat/>
    <w:rsid w:val="00EE1B49"/>
    <w:pPr>
      <w:suppressAutoHyphens/>
      <w:spacing w:line="240" w:lineRule="auto"/>
      <w:ind w:firstLine="340"/>
      <w:jc w:val="both"/>
    </w:pPr>
    <w:rPr>
      <w:rFonts w:eastAsia="Times New Roman" w:cs="Times New Roman"/>
      <w:szCs w:val="20"/>
      <w:lang w:eastAsia="sl-SI"/>
    </w:rPr>
  </w:style>
  <w:style w:type="character" w:customStyle="1" w:styleId="JuParaZnak">
    <w:name w:val="Ju_Para Znak"/>
    <w:link w:val="JuPara"/>
    <w:rsid w:val="00EE1B49"/>
    <w:rPr>
      <w:rFonts w:eastAsia="Times New Roman" w:cs="Times New Roman"/>
      <w:szCs w:val="20"/>
      <w:lang w:eastAsia="sl-SI"/>
    </w:rPr>
  </w:style>
  <w:style w:type="character" w:styleId="tevilkastrani">
    <w:name w:val="page number"/>
    <w:basedOn w:val="Privzetapisavaodstavka"/>
    <w:rsid w:val="00EE1B49"/>
  </w:style>
  <w:style w:type="paragraph" w:customStyle="1" w:styleId="Style1">
    <w:name w:val="Style 1"/>
    <w:rsid w:val="00EE1B49"/>
    <w:pPr>
      <w:autoSpaceDE w:val="0"/>
      <w:autoSpaceDN w:val="0"/>
      <w:adjustRightInd w:val="0"/>
      <w:spacing w:line="240" w:lineRule="auto"/>
      <w:jc w:val="both"/>
    </w:pPr>
    <w:rPr>
      <w:rFonts w:ascii="Times New Roman" w:eastAsia="Times New Roman" w:hAnsi="Times New Roman" w:cs="Times New Roman"/>
      <w:sz w:val="20"/>
      <w:szCs w:val="20"/>
      <w:lang w:eastAsia="sl-SI"/>
    </w:rPr>
  </w:style>
  <w:style w:type="paragraph" w:customStyle="1" w:styleId="ECHRHeading1">
    <w:name w:val="ECHR_Heading_1"/>
    <w:aliases w:val="Ju_H_I_Roman"/>
    <w:basedOn w:val="Naslov1"/>
    <w:next w:val="JuPara"/>
    <w:rsid w:val="00EE1B49"/>
    <w:pPr>
      <w:tabs>
        <w:tab w:val="left" w:pos="357"/>
      </w:tabs>
      <w:spacing w:after="240"/>
    </w:pPr>
    <w:rPr>
      <w:rFonts w:eastAsia="MS Gothic" w:cs="Times New Roman"/>
      <w:bCs w:val="0"/>
      <w:snapToGrid w:val="0"/>
      <w:color w:val="auto"/>
      <w:sz w:val="24"/>
      <w:szCs w:val="28"/>
      <w:lang w:val="fr-FR" w:eastAsia="x-none"/>
    </w:rPr>
  </w:style>
  <w:style w:type="paragraph" w:customStyle="1" w:styleId="JuList">
    <w:name w:val="Ju_List"/>
    <w:basedOn w:val="Navaden"/>
    <w:rsid w:val="00EE1B49"/>
    <w:pPr>
      <w:spacing w:line="240" w:lineRule="auto"/>
      <w:ind w:left="340" w:hanging="340"/>
      <w:jc w:val="both"/>
    </w:pPr>
    <w:rPr>
      <w:rFonts w:eastAsia="MS Mincho" w:cs="Times New Roman"/>
      <w:snapToGrid w:val="0"/>
      <w:szCs w:val="20"/>
      <w:lang w:eastAsia="sl-SI"/>
    </w:rPr>
  </w:style>
  <w:style w:type="paragraph" w:customStyle="1" w:styleId="c08dispositif">
    <w:name w:val="c08dispositif"/>
    <w:basedOn w:val="Navaden"/>
    <w:rsid w:val="00EE1B49"/>
    <w:pPr>
      <w:spacing w:before="100" w:beforeAutospacing="1" w:after="240" w:line="240" w:lineRule="auto"/>
      <w:ind w:left="1134" w:hanging="567"/>
      <w:jc w:val="both"/>
    </w:pPr>
    <w:rPr>
      <w:rFonts w:eastAsia="Times New Roman" w:cs="Times New Roman"/>
      <w:b/>
      <w:bCs/>
      <w:lang w:eastAsia="sl-SI"/>
    </w:rPr>
  </w:style>
  <w:style w:type="character" w:customStyle="1" w:styleId="Caractresdenotedebasdepage">
    <w:name w:val="Caractères de note de bas de page"/>
    <w:rsid w:val="00EE1B49"/>
    <w:rPr>
      <w:vertAlign w:val="superscript"/>
    </w:rPr>
  </w:style>
  <w:style w:type="paragraph" w:customStyle="1" w:styleId="Style2">
    <w:name w:val="Style 2"/>
    <w:basedOn w:val="Navaden"/>
    <w:rsid w:val="00EE1B49"/>
    <w:pPr>
      <w:widowControl w:val="0"/>
      <w:autoSpaceDE w:val="0"/>
      <w:autoSpaceDN w:val="0"/>
      <w:spacing w:line="240" w:lineRule="auto"/>
      <w:ind w:left="36"/>
      <w:jc w:val="both"/>
    </w:pPr>
    <w:rPr>
      <w:rFonts w:eastAsia="Times New Roman" w:cs="Times New Roman"/>
      <w:lang w:eastAsia="sl-SI"/>
    </w:rPr>
  </w:style>
  <w:style w:type="character" w:customStyle="1" w:styleId="JuParaChar">
    <w:name w:val="Ju_Para Char"/>
    <w:aliases w:val="ECHR_Para Char"/>
    <w:rsid w:val="00EE1B49"/>
    <w:rPr>
      <w:sz w:val="24"/>
      <w:lang w:val="sl-SI" w:eastAsia="sl-SI" w:bidi="ar-SA"/>
    </w:rPr>
  </w:style>
  <w:style w:type="paragraph" w:customStyle="1" w:styleId="BodyText21">
    <w:name w:val="Body Text 21"/>
    <w:basedOn w:val="Navaden"/>
    <w:rsid w:val="00EE1B49"/>
    <w:pPr>
      <w:suppressAutoHyphens/>
      <w:spacing w:line="240" w:lineRule="auto"/>
      <w:jc w:val="both"/>
    </w:pPr>
    <w:rPr>
      <w:rFonts w:eastAsia="Times New Roman" w:cs="Times New Roman"/>
      <w:szCs w:val="20"/>
      <w:lang w:eastAsia="ar-SA"/>
    </w:rPr>
  </w:style>
  <w:style w:type="character" w:customStyle="1" w:styleId="JuParaCar">
    <w:name w:val="Ju_Para Car"/>
    <w:rsid w:val="00EE1B49"/>
    <w:rPr>
      <w:sz w:val="24"/>
      <w:lang w:val="sl-SI" w:eastAsia="sl-SI" w:bidi="ar-SA"/>
    </w:rPr>
  </w:style>
  <w:style w:type="character" w:customStyle="1" w:styleId="sb8d990e2">
    <w:name w:val="sb8d990e2"/>
    <w:basedOn w:val="Privzetapisavaodstavka"/>
    <w:rsid w:val="00EE1B49"/>
  </w:style>
  <w:style w:type="character" w:customStyle="1" w:styleId="sp-normal">
    <w:name w:val="sp-normal"/>
    <w:rsid w:val="00EE1B49"/>
  </w:style>
  <w:style w:type="paragraph" w:customStyle="1" w:styleId="c01pointnumerotealtn">
    <w:name w:val="c01pointnumerotealtn"/>
    <w:basedOn w:val="Navaden"/>
    <w:rsid w:val="00EE1B49"/>
    <w:pPr>
      <w:spacing w:before="100" w:beforeAutospacing="1" w:after="240" w:line="240" w:lineRule="auto"/>
      <w:ind w:left="567" w:hanging="539"/>
      <w:jc w:val="both"/>
    </w:pPr>
    <w:rPr>
      <w:rFonts w:eastAsia="Times New Roman" w:cs="Times New Roman"/>
      <w:lang w:eastAsia="sl-SI"/>
    </w:rPr>
  </w:style>
  <w:style w:type="paragraph" w:customStyle="1" w:styleId="Oznaenseznam1">
    <w:name w:val="Označen seznam1"/>
    <w:basedOn w:val="Navaden"/>
    <w:next w:val="Oznaenseznam"/>
    <w:rsid w:val="00EE1B49"/>
    <w:pPr>
      <w:numPr>
        <w:numId w:val="20"/>
      </w:numPr>
      <w:tabs>
        <w:tab w:val="clear" w:pos="360"/>
      </w:tabs>
      <w:spacing w:line="240" w:lineRule="auto"/>
      <w:ind w:left="0" w:firstLine="0"/>
      <w:jc w:val="both"/>
    </w:pPr>
    <w:rPr>
      <w:rFonts w:eastAsia="Times New Roman" w:cs="Times New Roman"/>
      <w:lang w:eastAsia="sl-SI"/>
    </w:rPr>
  </w:style>
  <w:style w:type="paragraph" w:customStyle="1" w:styleId="s30eec3f8">
    <w:name w:val="s30eec3f8"/>
    <w:basedOn w:val="Navaden"/>
    <w:rsid w:val="00EE1B49"/>
    <w:pPr>
      <w:spacing w:before="100" w:beforeAutospacing="1" w:after="100" w:afterAutospacing="1" w:line="240" w:lineRule="auto"/>
      <w:jc w:val="both"/>
    </w:pPr>
    <w:rPr>
      <w:rFonts w:eastAsia="Times New Roman" w:cs="Times New Roman"/>
      <w:lang w:eastAsia="sl-SI"/>
    </w:rPr>
  </w:style>
  <w:style w:type="paragraph" w:customStyle="1" w:styleId="s875368b7">
    <w:name w:val="s875368b7"/>
    <w:basedOn w:val="Navaden"/>
    <w:rsid w:val="00EE1B49"/>
    <w:pPr>
      <w:spacing w:before="100" w:beforeAutospacing="1" w:after="100" w:afterAutospacing="1" w:line="240" w:lineRule="auto"/>
      <w:jc w:val="both"/>
    </w:pPr>
    <w:rPr>
      <w:rFonts w:eastAsia="Times New Roman" w:cs="Times New Roman"/>
      <w:lang w:eastAsia="sl-SI"/>
    </w:rPr>
  </w:style>
  <w:style w:type="character" w:customStyle="1" w:styleId="sfaa3775b">
    <w:name w:val="sfaa3775b"/>
    <w:rsid w:val="00EE1B49"/>
  </w:style>
  <w:style w:type="paragraph" w:customStyle="1" w:styleId="s746c8714">
    <w:name w:val="s746c8714"/>
    <w:basedOn w:val="Navaden"/>
    <w:rsid w:val="00EE1B49"/>
    <w:pPr>
      <w:spacing w:before="100" w:beforeAutospacing="1" w:after="100" w:afterAutospacing="1" w:line="240" w:lineRule="auto"/>
      <w:jc w:val="both"/>
    </w:pPr>
    <w:rPr>
      <w:rFonts w:eastAsia="Times New Roman" w:cs="Times New Roman"/>
      <w:lang w:eastAsia="sl-SI"/>
    </w:rPr>
  </w:style>
  <w:style w:type="character" w:customStyle="1" w:styleId="s6b621b36">
    <w:name w:val="s6b621b36"/>
    <w:rsid w:val="00EE1B49"/>
  </w:style>
  <w:style w:type="paragraph" w:customStyle="1" w:styleId="08Question">
    <w:name w:val="08_Question"/>
    <w:basedOn w:val="Navaden"/>
    <w:rsid w:val="00EE1B49"/>
    <w:pPr>
      <w:numPr>
        <w:numId w:val="21"/>
      </w:numPr>
      <w:tabs>
        <w:tab w:val="clear" w:pos="567"/>
        <w:tab w:val="num" w:pos="360"/>
      </w:tabs>
      <w:spacing w:after="240" w:line="240" w:lineRule="auto"/>
      <w:ind w:left="0" w:firstLine="0"/>
      <w:jc w:val="both"/>
    </w:pPr>
    <w:rPr>
      <w:rFonts w:eastAsia="Times New Roman" w:cs="Times New Roman"/>
      <w:sz w:val="25"/>
      <w:lang w:val="fr-FR"/>
    </w:rPr>
  </w:style>
  <w:style w:type="numbering" w:customStyle="1" w:styleId="Brezseznama11">
    <w:name w:val="Brez seznama11"/>
    <w:next w:val="Brezseznama"/>
    <w:uiPriority w:val="99"/>
    <w:semiHidden/>
    <w:unhideWhenUsed/>
    <w:rsid w:val="00EE1B49"/>
  </w:style>
  <w:style w:type="paragraph" w:customStyle="1" w:styleId="Konnaopomba-besedilo1">
    <w:name w:val="Končna opomba - besedilo1"/>
    <w:basedOn w:val="Navaden"/>
    <w:next w:val="Konnaopomba-besedilo"/>
    <w:link w:val="Konnaopomba-besediloZnak"/>
    <w:uiPriority w:val="99"/>
    <w:semiHidden/>
    <w:unhideWhenUsed/>
    <w:rsid w:val="00EE1B49"/>
    <w:pPr>
      <w:spacing w:line="240" w:lineRule="auto"/>
      <w:jc w:val="both"/>
    </w:pPr>
    <w:rPr>
      <w:sz w:val="20"/>
      <w:szCs w:val="20"/>
    </w:rPr>
  </w:style>
  <w:style w:type="character" w:customStyle="1" w:styleId="Konnaopomba-besediloZnak">
    <w:name w:val="Končna opomba - besedilo Znak"/>
    <w:basedOn w:val="Privzetapisavaodstavka"/>
    <w:link w:val="Konnaopomba-besedilo1"/>
    <w:uiPriority w:val="99"/>
    <w:semiHidden/>
    <w:rsid w:val="00EE1B49"/>
    <w:rPr>
      <w:sz w:val="20"/>
      <w:szCs w:val="20"/>
    </w:rPr>
  </w:style>
  <w:style w:type="character" w:styleId="Konnaopomba-sklic">
    <w:name w:val="endnote reference"/>
    <w:basedOn w:val="Privzetapisavaodstavka"/>
    <w:uiPriority w:val="99"/>
    <w:semiHidden/>
    <w:unhideWhenUsed/>
    <w:rsid w:val="00EE1B49"/>
    <w:rPr>
      <w:vertAlign w:val="superscript"/>
    </w:rPr>
  </w:style>
  <w:style w:type="character" w:customStyle="1" w:styleId="summarytext">
    <w:name w:val="summarytext"/>
    <w:rsid w:val="00EE1B49"/>
  </w:style>
  <w:style w:type="character" w:customStyle="1" w:styleId="textcolumn">
    <w:name w:val="textcolumn"/>
    <w:rsid w:val="00EE1B49"/>
  </w:style>
  <w:style w:type="character" w:customStyle="1" w:styleId="affairetitle">
    <w:name w:val="affaire_title"/>
    <w:rsid w:val="00EE1B49"/>
  </w:style>
  <w:style w:type="paragraph" w:customStyle="1" w:styleId="Pripombabesedilo1">
    <w:name w:val="Pripomba – besedilo1"/>
    <w:basedOn w:val="Navaden"/>
    <w:next w:val="Pripombabesedilo"/>
    <w:link w:val="PripombabesediloZnak"/>
    <w:uiPriority w:val="99"/>
    <w:unhideWhenUsed/>
    <w:rsid w:val="00EE1B49"/>
    <w:pPr>
      <w:spacing w:line="240" w:lineRule="auto"/>
    </w:pPr>
    <w:rPr>
      <w:sz w:val="20"/>
      <w:szCs w:val="20"/>
    </w:rPr>
  </w:style>
  <w:style w:type="character" w:customStyle="1" w:styleId="PripombabesediloZnak">
    <w:name w:val="Pripomba – besedilo Znak"/>
    <w:basedOn w:val="Privzetapisavaodstavka"/>
    <w:link w:val="Pripombabesedilo1"/>
    <w:uiPriority w:val="99"/>
    <w:rsid w:val="00EE1B49"/>
    <w:rPr>
      <w:sz w:val="20"/>
      <w:szCs w:val="20"/>
    </w:rPr>
  </w:style>
  <w:style w:type="numbering" w:customStyle="1" w:styleId="Brezseznama2">
    <w:name w:val="Brez seznama2"/>
    <w:next w:val="Brezseznama"/>
    <w:uiPriority w:val="99"/>
    <w:semiHidden/>
    <w:unhideWhenUsed/>
    <w:rsid w:val="00EE1B49"/>
  </w:style>
  <w:style w:type="numbering" w:customStyle="1" w:styleId="Brezseznama3">
    <w:name w:val="Brez seznama3"/>
    <w:next w:val="Brezseznama"/>
    <w:uiPriority w:val="99"/>
    <w:semiHidden/>
    <w:unhideWhenUsed/>
    <w:rsid w:val="00EE1B49"/>
  </w:style>
  <w:style w:type="numbering" w:customStyle="1" w:styleId="Brezseznama111">
    <w:name w:val="Brez seznama111"/>
    <w:next w:val="Brezseznama"/>
    <w:uiPriority w:val="99"/>
    <w:semiHidden/>
    <w:unhideWhenUsed/>
    <w:rsid w:val="00EE1B49"/>
  </w:style>
  <w:style w:type="character" w:styleId="Pripombasklic">
    <w:name w:val="annotation reference"/>
    <w:basedOn w:val="Privzetapisavaodstavka"/>
    <w:uiPriority w:val="99"/>
    <w:semiHidden/>
    <w:unhideWhenUsed/>
    <w:rsid w:val="00EE1B49"/>
    <w:rPr>
      <w:sz w:val="16"/>
      <w:szCs w:val="16"/>
    </w:rPr>
  </w:style>
  <w:style w:type="paragraph" w:customStyle="1" w:styleId="Zadevapripombe1">
    <w:name w:val="Zadeva pripombe1"/>
    <w:basedOn w:val="Pripombabesedilo"/>
    <w:next w:val="Pripombabesedilo"/>
    <w:uiPriority w:val="99"/>
    <w:semiHidden/>
    <w:unhideWhenUsed/>
    <w:rsid w:val="00EE1B49"/>
    <w:rPr>
      <w:b/>
      <w:bCs/>
    </w:rPr>
  </w:style>
  <w:style w:type="character" w:customStyle="1" w:styleId="ZadevapripombeZnak">
    <w:name w:val="Zadeva pripombe Znak"/>
    <w:basedOn w:val="PripombabesediloZnak"/>
    <w:link w:val="Zadevapripombe"/>
    <w:uiPriority w:val="99"/>
    <w:semiHidden/>
    <w:rsid w:val="00EE1B49"/>
    <w:rPr>
      <w:b/>
      <w:bCs/>
      <w:sz w:val="20"/>
      <w:szCs w:val="20"/>
    </w:rPr>
  </w:style>
  <w:style w:type="character" w:customStyle="1" w:styleId="st">
    <w:name w:val="st"/>
    <w:basedOn w:val="Privzetapisavaodstavka"/>
    <w:rsid w:val="00EE1B49"/>
  </w:style>
  <w:style w:type="character" w:customStyle="1" w:styleId="row-header-quote-text1">
    <w:name w:val="row-header-quote-text1"/>
    <w:rsid w:val="00EE1B49"/>
  </w:style>
  <w:style w:type="table" w:customStyle="1" w:styleId="Tabelabarvniseznam6poudarek11">
    <w:name w:val="Tabela – barvni seznam 6 (poudarek 1)1"/>
    <w:basedOn w:val="Navadnatabela"/>
    <w:next w:val="Tabelabarvniseznam6poudarek1"/>
    <w:uiPriority w:val="51"/>
    <w:rsid w:val="00EE1B49"/>
    <w:pPr>
      <w:spacing w:line="240" w:lineRule="auto"/>
    </w:pPr>
    <w:rPr>
      <w:rFonts w:ascii="Times New Roman" w:eastAsia="Times New Roman" w:hAnsi="Times New Roman" w:cs="Times New Roman"/>
      <w:color w:val="2F5496"/>
      <w:sz w:val="20"/>
      <w:szCs w:val="20"/>
      <w:lang w:eastAsia="sl-SI"/>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yle4">
    <w:name w:val="Style4"/>
    <w:basedOn w:val="Navaden"/>
    <w:uiPriority w:val="99"/>
    <w:rsid w:val="00EE1B49"/>
    <w:pPr>
      <w:widowControl w:val="0"/>
      <w:autoSpaceDE w:val="0"/>
      <w:autoSpaceDN w:val="0"/>
      <w:adjustRightInd w:val="0"/>
      <w:spacing w:line="308" w:lineRule="exact"/>
      <w:ind w:hanging="547"/>
      <w:jc w:val="both"/>
    </w:pPr>
    <w:rPr>
      <w:rFonts w:eastAsia="Times New Roman"/>
      <w:lang w:eastAsia="sl-SI"/>
    </w:rPr>
  </w:style>
  <w:style w:type="paragraph" w:customStyle="1" w:styleId="Style5">
    <w:name w:val="Style5"/>
    <w:basedOn w:val="Navaden"/>
    <w:uiPriority w:val="99"/>
    <w:rsid w:val="00EE1B49"/>
    <w:pPr>
      <w:widowControl w:val="0"/>
      <w:autoSpaceDE w:val="0"/>
      <w:autoSpaceDN w:val="0"/>
      <w:adjustRightInd w:val="0"/>
      <w:spacing w:line="307" w:lineRule="exact"/>
      <w:ind w:hanging="576"/>
      <w:jc w:val="both"/>
    </w:pPr>
    <w:rPr>
      <w:rFonts w:eastAsia="Times New Roman"/>
      <w:lang w:eastAsia="sl-SI"/>
    </w:rPr>
  </w:style>
  <w:style w:type="character" w:customStyle="1" w:styleId="FontStyle19">
    <w:name w:val="Font Style19"/>
    <w:uiPriority w:val="99"/>
    <w:rsid w:val="00EE1B49"/>
    <w:rPr>
      <w:rFonts w:ascii="Calibri" w:hAnsi="Calibri" w:cs="Calibri"/>
      <w:sz w:val="20"/>
      <w:szCs w:val="20"/>
    </w:rPr>
  </w:style>
  <w:style w:type="character" w:customStyle="1" w:styleId="OdstavekseznamaZnak">
    <w:name w:val="Odstavek seznama Znak"/>
    <w:aliases w:val="za tekst Znak,Označevanje Znak,List Paragraph2 Znak,Bullet OFM Znak,List Paragraph (numbered (a)) Znak,Bullet List Znak,Primus H 3 Znak,lp1 Znak,Use Case List Paragraph Char Znak,Citation List Znak,Use Case List Paragraph Znak"/>
    <w:link w:val="Odstavekseznama"/>
    <w:uiPriority w:val="34"/>
    <w:qFormat/>
    <w:rsid w:val="00EE1B49"/>
  </w:style>
  <w:style w:type="paragraph" w:customStyle="1" w:styleId="Telobesedila-zamik1">
    <w:name w:val="Telo besedila - zamik1"/>
    <w:basedOn w:val="Navaden"/>
    <w:next w:val="Telobesedila-zamik"/>
    <w:link w:val="Telobesedila-zamikZnak"/>
    <w:rsid w:val="00EE1B49"/>
    <w:pPr>
      <w:spacing w:after="120" w:line="240" w:lineRule="auto"/>
      <w:ind w:left="283"/>
    </w:pPr>
    <w:rPr>
      <w:rFonts w:eastAsia="Times New Roman" w:cs="Times New Roman"/>
      <w:lang w:eastAsia="sl-SI"/>
    </w:rPr>
  </w:style>
  <w:style w:type="character" w:customStyle="1" w:styleId="Telobesedila-zamikZnak">
    <w:name w:val="Telo besedila - zamik Znak"/>
    <w:basedOn w:val="Privzetapisavaodstavka"/>
    <w:link w:val="Telobesedila-zamik1"/>
    <w:rsid w:val="00EE1B49"/>
    <w:rPr>
      <w:rFonts w:eastAsia="Times New Roman" w:cs="Times New Roman"/>
      <w:lang w:eastAsia="sl-SI"/>
    </w:rPr>
  </w:style>
  <w:style w:type="paragraph" w:customStyle="1" w:styleId="s1adbd37c">
    <w:name w:val="s1adbd37c"/>
    <w:basedOn w:val="Navaden"/>
    <w:rsid w:val="00EE1B49"/>
    <w:pPr>
      <w:spacing w:before="100" w:beforeAutospacing="1" w:after="100" w:afterAutospacing="1" w:line="240" w:lineRule="auto"/>
    </w:pPr>
    <w:rPr>
      <w:rFonts w:eastAsia="Times New Roman" w:cs="Times New Roman"/>
      <w:lang w:eastAsia="sl-SI"/>
    </w:rPr>
  </w:style>
  <w:style w:type="character" w:customStyle="1" w:styleId="s94c7f605">
    <w:name w:val="s94c7f605"/>
    <w:rsid w:val="00EE1B49"/>
  </w:style>
  <w:style w:type="character" w:customStyle="1" w:styleId="column">
    <w:name w:val="column"/>
    <w:rsid w:val="00EE1B49"/>
  </w:style>
  <w:style w:type="paragraph" w:customStyle="1" w:styleId="c30dispositifalinea">
    <w:name w:val="c30dispositifalinea"/>
    <w:basedOn w:val="Navaden"/>
    <w:rsid w:val="00EE1B49"/>
    <w:pPr>
      <w:spacing w:before="100" w:beforeAutospacing="1" w:after="100" w:afterAutospacing="1" w:line="240" w:lineRule="auto"/>
    </w:pPr>
    <w:rPr>
      <w:rFonts w:eastAsia="Times New Roman" w:cs="Times New Roman"/>
      <w:lang w:eastAsia="sl-SI"/>
    </w:rPr>
  </w:style>
  <w:style w:type="paragraph" w:customStyle="1" w:styleId="s52b9fb1c">
    <w:name w:val="s52b9fb1c"/>
    <w:basedOn w:val="Navaden"/>
    <w:rsid w:val="00EE1B49"/>
    <w:pPr>
      <w:spacing w:before="100" w:beforeAutospacing="1" w:after="100" w:afterAutospacing="1" w:line="240" w:lineRule="auto"/>
    </w:pPr>
    <w:rPr>
      <w:rFonts w:eastAsia="Times New Roman" w:cs="Times New Roman"/>
      <w:lang w:eastAsia="sl-SI"/>
    </w:rPr>
  </w:style>
  <w:style w:type="paragraph" w:customStyle="1" w:styleId="s6c21291f">
    <w:name w:val="s6c21291f"/>
    <w:basedOn w:val="Navaden"/>
    <w:rsid w:val="00EE1B49"/>
    <w:pPr>
      <w:spacing w:before="100" w:beforeAutospacing="1" w:after="100" w:afterAutospacing="1" w:line="240" w:lineRule="auto"/>
    </w:pPr>
    <w:rPr>
      <w:rFonts w:eastAsia="Times New Roman" w:cs="Times New Roman"/>
      <w:lang w:eastAsia="sl-SI"/>
    </w:rPr>
  </w:style>
  <w:style w:type="paragraph" w:customStyle="1" w:styleId="s21d618bf">
    <w:name w:val="s21d618bf"/>
    <w:basedOn w:val="Navaden"/>
    <w:rsid w:val="00EE1B49"/>
    <w:pPr>
      <w:spacing w:before="100" w:beforeAutospacing="1" w:after="100" w:afterAutospacing="1" w:line="240" w:lineRule="auto"/>
    </w:pPr>
    <w:rPr>
      <w:rFonts w:eastAsia="Times New Roman" w:cs="Times New Roman"/>
      <w:lang w:eastAsia="sl-SI"/>
    </w:rPr>
  </w:style>
  <w:style w:type="character" w:customStyle="1" w:styleId="sae070d1d">
    <w:name w:val="sae070d1d"/>
    <w:rsid w:val="00EE1B49"/>
  </w:style>
  <w:style w:type="paragraph" w:customStyle="1" w:styleId="c03tiretlong">
    <w:name w:val="c03tiretlong"/>
    <w:basedOn w:val="Navaden"/>
    <w:rsid w:val="00EE1B49"/>
    <w:pPr>
      <w:spacing w:before="100" w:beforeAutospacing="1" w:after="240" w:line="240" w:lineRule="auto"/>
      <w:ind w:left="1134" w:hanging="567"/>
      <w:jc w:val="both"/>
    </w:pPr>
    <w:rPr>
      <w:rFonts w:eastAsia="Times New Roman" w:cs="Times New Roman"/>
      <w:lang w:eastAsia="sl-SI"/>
    </w:rPr>
  </w:style>
  <w:style w:type="paragraph" w:customStyle="1" w:styleId="Stvarnokazalo11">
    <w:name w:val="Stvarno kazalo 11"/>
    <w:basedOn w:val="Navaden"/>
    <w:next w:val="Navaden"/>
    <w:autoRedefine/>
    <w:uiPriority w:val="99"/>
    <w:rsid w:val="00EE1B49"/>
    <w:pPr>
      <w:spacing w:line="240" w:lineRule="auto"/>
      <w:ind w:left="240" w:hanging="240"/>
    </w:pPr>
    <w:rPr>
      <w:rFonts w:eastAsia="Times New Roman" w:cs="Times New Roman"/>
      <w:lang w:eastAsia="sl-SI"/>
    </w:rPr>
  </w:style>
  <w:style w:type="character" w:customStyle="1" w:styleId="FontStyle39">
    <w:name w:val="Font Style39"/>
    <w:rsid w:val="00EE1B49"/>
    <w:rPr>
      <w:rFonts w:ascii="Times New Roman" w:hAnsi="Times New Roman" w:cs="Times New Roman"/>
      <w:sz w:val="20"/>
      <w:szCs w:val="20"/>
    </w:rPr>
  </w:style>
  <w:style w:type="paragraph" w:customStyle="1" w:styleId="Style17">
    <w:name w:val="Style17"/>
    <w:basedOn w:val="Navaden"/>
    <w:rsid w:val="00EE1B49"/>
    <w:pPr>
      <w:widowControl w:val="0"/>
      <w:autoSpaceDE w:val="0"/>
      <w:autoSpaceDN w:val="0"/>
      <w:adjustRightInd w:val="0"/>
      <w:spacing w:line="256" w:lineRule="exact"/>
      <w:ind w:hanging="115"/>
      <w:jc w:val="both"/>
    </w:pPr>
    <w:rPr>
      <w:rFonts w:ascii="Arial Narrow" w:eastAsia="Times New Roman" w:hAnsi="Arial Narrow" w:cs="Times New Roman"/>
      <w:lang w:eastAsia="sl-SI"/>
    </w:rPr>
  </w:style>
  <w:style w:type="paragraph" w:customStyle="1" w:styleId="Style6">
    <w:name w:val="Style6"/>
    <w:basedOn w:val="Navaden"/>
    <w:uiPriority w:val="99"/>
    <w:rsid w:val="00EE1B49"/>
    <w:pPr>
      <w:widowControl w:val="0"/>
      <w:autoSpaceDE w:val="0"/>
      <w:autoSpaceDN w:val="0"/>
      <w:adjustRightInd w:val="0"/>
      <w:spacing w:line="240" w:lineRule="auto"/>
    </w:pPr>
    <w:rPr>
      <w:rFonts w:eastAsia="Times New Roman"/>
      <w:lang w:eastAsia="sl-SI"/>
    </w:rPr>
  </w:style>
  <w:style w:type="paragraph" w:customStyle="1" w:styleId="Style10">
    <w:name w:val="Style10"/>
    <w:basedOn w:val="Navaden"/>
    <w:uiPriority w:val="99"/>
    <w:rsid w:val="00EE1B49"/>
    <w:pPr>
      <w:widowControl w:val="0"/>
      <w:autoSpaceDE w:val="0"/>
      <w:autoSpaceDN w:val="0"/>
      <w:adjustRightInd w:val="0"/>
      <w:spacing w:line="240" w:lineRule="auto"/>
    </w:pPr>
    <w:rPr>
      <w:rFonts w:eastAsia="Times New Roman"/>
      <w:lang w:eastAsia="sl-SI"/>
    </w:rPr>
  </w:style>
  <w:style w:type="paragraph" w:customStyle="1" w:styleId="Style11">
    <w:name w:val="Style11"/>
    <w:basedOn w:val="Navaden"/>
    <w:uiPriority w:val="99"/>
    <w:rsid w:val="00EE1B49"/>
    <w:pPr>
      <w:widowControl w:val="0"/>
      <w:autoSpaceDE w:val="0"/>
      <w:autoSpaceDN w:val="0"/>
      <w:adjustRightInd w:val="0"/>
      <w:spacing w:line="240" w:lineRule="auto"/>
    </w:pPr>
    <w:rPr>
      <w:rFonts w:eastAsia="Times New Roman"/>
      <w:lang w:eastAsia="sl-SI"/>
    </w:rPr>
  </w:style>
  <w:style w:type="paragraph" w:customStyle="1" w:styleId="Style12">
    <w:name w:val="Style12"/>
    <w:basedOn w:val="Navaden"/>
    <w:uiPriority w:val="99"/>
    <w:rsid w:val="00EE1B49"/>
    <w:pPr>
      <w:widowControl w:val="0"/>
      <w:autoSpaceDE w:val="0"/>
      <w:autoSpaceDN w:val="0"/>
      <w:adjustRightInd w:val="0"/>
      <w:spacing w:line="307" w:lineRule="exact"/>
      <w:ind w:hanging="845"/>
    </w:pPr>
    <w:rPr>
      <w:rFonts w:eastAsia="Times New Roman"/>
      <w:lang w:eastAsia="sl-SI"/>
    </w:rPr>
  </w:style>
  <w:style w:type="character" w:customStyle="1" w:styleId="FontStyle16">
    <w:name w:val="Font Style16"/>
    <w:uiPriority w:val="99"/>
    <w:rsid w:val="00EE1B49"/>
    <w:rPr>
      <w:rFonts w:ascii="Calibri" w:hAnsi="Calibri" w:cs="Calibri"/>
      <w:b/>
      <w:bCs/>
      <w:sz w:val="20"/>
      <w:szCs w:val="20"/>
    </w:rPr>
  </w:style>
  <w:style w:type="character" w:customStyle="1" w:styleId="FontStyle18">
    <w:name w:val="Font Style18"/>
    <w:uiPriority w:val="99"/>
    <w:rsid w:val="00EE1B49"/>
    <w:rPr>
      <w:rFonts w:ascii="Calibri" w:hAnsi="Calibri" w:cs="Calibri"/>
      <w:i/>
      <w:iCs/>
      <w:sz w:val="20"/>
      <w:szCs w:val="20"/>
    </w:rPr>
  </w:style>
  <w:style w:type="character" w:customStyle="1" w:styleId="FontStyle20">
    <w:name w:val="Font Style20"/>
    <w:uiPriority w:val="99"/>
    <w:rsid w:val="00EE1B49"/>
    <w:rPr>
      <w:rFonts w:ascii="Calibri" w:hAnsi="Calibri" w:cs="Calibri"/>
      <w:b/>
      <w:bCs/>
      <w:i/>
      <w:iCs/>
      <w:sz w:val="20"/>
      <w:szCs w:val="20"/>
    </w:rPr>
  </w:style>
  <w:style w:type="character" w:customStyle="1" w:styleId="FontStyle21">
    <w:name w:val="Font Style21"/>
    <w:uiPriority w:val="99"/>
    <w:rsid w:val="00EE1B49"/>
    <w:rPr>
      <w:rFonts w:ascii="Calibri" w:hAnsi="Calibri" w:cs="Calibri"/>
      <w:spacing w:val="80"/>
      <w:sz w:val="56"/>
      <w:szCs w:val="56"/>
    </w:rPr>
  </w:style>
  <w:style w:type="paragraph" w:customStyle="1" w:styleId="c31dispositiftiretlong">
    <w:name w:val="c31dispositiftiretlong"/>
    <w:basedOn w:val="Navaden"/>
    <w:rsid w:val="00EE1B49"/>
    <w:pPr>
      <w:spacing w:before="100" w:beforeAutospacing="1" w:after="100" w:afterAutospacing="1" w:line="240" w:lineRule="auto"/>
    </w:pPr>
    <w:rPr>
      <w:rFonts w:eastAsia="Times New Roman" w:cs="Times New Roman"/>
      <w:lang w:eastAsia="sl-SI"/>
    </w:rPr>
  </w:style>
  <w:style w:type="paragraph" w:customStyle="1" w:styleId="Brezrazmikov1">
    <w:name w:val="Brez razmikov1"/>
    <w:rsid w:val="00EE1B49"/>
    <w:pPr>
      <w:spacing w:line="240" w:lineRule="auto"/>
    </w:pPr>
    <w:rPr>
      <w:rFonts w:eastAsia="Times New Roman" w:cs="Times New Roman"/>
    </w:rPr>
  </w:style>
  <w:style w:type="character" w:customStyle="1" w:styleId="mrppsc">
    <w:name w:val="mrppsc"/>
    <w:rsid w:val="00EE1B49"/>
  </w:style>
  <w:style w:type="numbering" w:customStyle="1" w:styleId="Brezseznama4">
    <w:name w:val="Brez seznama4"/>
    <w:next w:val="Brezseznama"/>
    <w:uiPriority w:val="99"/>
    <w:semiHidden/>
    <w:unhideWhenUsed/>
    <w:rsid w:val="00EE1B49"/>
  </w:style>
  <w:style w:type="numbering" w:customStyle="1" w:styleId="Brezseznama12">
    <w:name w:val="Brez seznama12"/>
    <w:next w:val="Brezseznama"/>
    <w:uiPriority w:val="99"/>
    <w:semiHidden/>
    <w:unhideWhenUsed/>
    <w:rsid w:val="00EE1B49"/>
  </w:style>
  <w:style w:type="numbering" w:customStyle="1" w:styleId="Brezseznama21">
    <w:name w:val="Brez seznama21"/>
    <w:next w:val="Brezseznama"/>
    <w:uiPriority w:val="99"/>
    <w:semiHidden/>
    <w:unhideWhenUsed/>
    <w:rsid w:val="00EE1B49"/>
  </w:style>
  <w:style w:type="numbering" w:customStyle="1" w:styleId="Brezseznama31">
    <w:name w:val="Brez seznama31"/>
    <w:next w:val="Brezseznama"/>
    <w:uiPriority w:val="99"/>
    <w:semiHidden/>
    <w:unhideWhenUsed/>
    <w:rsid w:val="00EE1B49"/>
  </w:style>
  <w:style w:type="paragraph" w:customStyle="1" w:styleId="xmsonormal">
    <w:name w:val="x_msonormal"/>
    <w:basedOn w:val="Navaden"/>
    <w:uiPriority w:val="99"/>
    <w:rsid w:val="00EE1B49"/>
    <w:pPr>
      <w:spacing w:line="240" w:lineRule="auto"/>
    </w:pPr>
    <w:rPr>
      <w:lang w:eastAsia="sl-SI"/>
    </w:rPr>
  </w:style>
  <w:style w:type="character" w:customStyle="1" w:styleId="y2iqfc">
    <w:name w:val="y2iqfc"/>
    <w:rsid w:val="00EE1B49"/>
  </w:style>
  <w:style w:type="character" w:customStyle="1" w:styleId="Sidrosprotneopombe">
    <w:name w:val="Sidro sprotne opombe"/>
    <w:rsid w:val="00EE1B49"/>
    <w:rPr>
      <w:rFonts w:ascii="Calibri" w:hAnsi="Calibri"/>
      <w:w w:val="100"/>
      <w:vertAlign w:val="superscript"/>
    </w:rPr>
  </w:style>
  <w:style w:type="character" w:customStyle="1" w:styleId="Znakisprotnihopomb">
    <w:name w:val="Znaki sprotnih opomb"/>
    <w:rsid w:val="00EE1B49"/>
  </w:style>
  <w:style w:type="paragraph" w:customStyle="1" w:styleId="Pa8">
    <w:name w:val="Pa8"/>
    <w:basedOn w:val="Navaden"/>
    <w:next w:val="Navaden"/>
    <w:uiPriority w:val="99"/>
    <w:rsid w:val="00EE1B49"/>
    <w:pPr>
      <w:autoSpaceDE w:val="0"/>
      <w:autoSpaceDN w:val="0"/>
      <w:adjustRightInd w:val="0"/>
      <w:spacing w:line="171" w:lineRule="atLeast"/>
    </w:pPr>
    <w:rPr>
      <w:rFonts w:ascii="Arial" w:hAnsi="Arial" w:cs="Arial"/>
    </w:rPr>
  </w:style>
  <w:style w:type="paragraph" w:customStyle="1" w:styleId="doc">
    <w:name w:val="doc"/>
    <w:basedOn w:val="Navaden"/>
    <w:rsid w:val="00EE1B49"/>
    <w:pPr>
      <w:spacing w:after="75" w:line="300" w:lineRule="atLeast"/>
      <w:jc w:val="both"/>
    </w:pPr>
    <w:rPr>
      <w:rFonts w:ascii="Arial" w:eastAsia="Times New Roman" w:hAnsi="Arial" w:cs="Arial"/>
      <w:sz w:val="20"/>
      <w:szCs w:val="20"/>
      <w:lang w:eastAsia="sl-SI"/>
    </w:rPr>
  </w:style>
  <w:style w:type="paragraph" w:customStyle="1" w:styleId="tevilnatoka0">
    <w:name w:val="tevilnatoka"/>
    <w:basedOn w:val="Navaden"/>
    <w:rsid w:val="00EE1B49"/>
    <w:pPr>
      <w:spacing w:before="100" w:beforeAutospacing="1" w:after="100" w:afterAutospacing="1" w:line="240" w:lineRule="auto"/>
    </w:pPr>
    <w:rPr>
      <w:rFonts w:eastAsia="Times New Roman" w:cs="Times New Roman"/>
      <w:lang w:eastAsia="sl-SI"/>
    </w:rPr>
  </w:style>
  <w:style w:type="paragraph" w:customStyle="1" w:styleId="alineazatevilnotoko">
    <w:name w:val="alineazatevilnotoko"/>
    <w:basedOn w:val="Navaden"/>
    <w:rsid w:val="00EE1B49"/>
    <w:pPr>
      <w:spacing w:before="100" w:beforeAutospacing="1" w:after="100" w:afterAutospacing="1" w:line="240" w:lineRule="auto"/>
    </w:pPr>
    <w:rPr>
      <w:rFonts w:eastAsia="Times New Roman" w:cs="Times New Roman"/>
      <w:lang w:eastAsia="sl-SI"/>
    </w:rPr>
  </w:style>
  <w:style w:type="paragraph" w:customStyle="1" w:styleId="Telobesedila21">
    <w:name w:val="Telo besedila 21"/>
    <w:basedOn w:val="Navaden"/>
    <w:next w:val="Telobesedila2"/>
    <w:link w:val="Telobesedila2Znak"/>
    <w:uiPriority w:val="99"/>
    <w:unhideWhenUsed/>
    <w:rsid w:val="00EE1B49"/>
    <w:pPr>
      <w:spacing w:after="120" w:line="480" w:lineRule="auto"/>
      <w:jc w:val="both"/>
    </w:pPr>
  </w:style>
  <w:style w:type="character" w:customStyle="1" w:styleId="Telobesedila2Znak">
    <w:name w:val="Telo besedila 2 Znak"/>
    <w:basedOn w:val="Privzetapisavaodstavka"/>
    <w:link w:val="Telobesedila21"/>
    <w:uiPriority w:val="99"/>
    <w:rsid w:val="00EE1B49"/>
  </w:style>
  <w:style w:type="numbering" w:customStyle="1" w:styleId="Brezseznama5">
    <w:name w:val="Brez seznama5"/>
    <w:next w:val="Brezseznama"/>
    <w:uiPriority w:val="99"/>
    <w:semiHidden/>
    <w:unhideWhenUsed/>
    <w:rsid w:val="00EE1B49"/>
  </w:style>
  <w:style w:type="paragraph" w:customStyle="1" w:styleId="msonormal0">
    <w:name w:val="msonormal"/>
    <w:basedOn w:val="Navaden"/>
    <w:rsid w:val="00EE1B49"/>
    <w:pPr>
      <w:spacing w:before="100" w:beforeAutospacing="1" w:after="100" w:afterAutospacing="1" w:line="240" w:lineRule="auto"/>
    </w:pPr>
    <w:rPr>
      <w:rFonts w:eastAsia="Times New Roman" w:cs="Times New Roman"/>
      <w:lang w:eastAsia="sl-SI"/>
    </w:rPr>
  </w:style>
  <w:style w:type="character" w:customStyle="1" w:styleId="footnotedescriptionChar">
    <w:name w:val="footnote description Char"/>
    <w:link w:val="footnotedescription"/>
    <w:locked/>
    <w:rsid w:val="00EE1B49"/>
    <w:rPr>
      <w:rFonts w:eastAsia="Calibri"/>
      <w:color w:val="000000"/>
      <w:sz w:val="20"/>
      <w:lang w:eastAsia="sl-SI"/>
    </w:rPr>
  </w:style>
  <w:style w:type="paragraph" w:customStyle="1" w:styleId="footnotedescription">
    <w:name w:val="footnote description"/>
    <w:next w:val="Navaden"/>
    <w:link w:val="footnotedescriptionChar"/>
    <w:rsid w:val="00EE1B49"/>
    <w:pPr>
      <w:spacing w:line="256" w:lineRule="auto"/>
      <w:ind w:left="708"/>
    </w:pPr>
    <w:rPr>
      <w:rFonts w:eastAsia="Calibri"/>
      <w:color w:val="000000"/>
      <w:sz w:val="20"/>
      <w:lang w:eastAsia="sl-SI"/>
    </w:rPr>
  </w:style>
  <w:style w:type="character" w:customStyle="1" w:styleId="footnotemark">
    <w:name w:val="footnote mark"/>
    <w:rsid w:val="00EE1B49"/>
    <w:rPr>
      <w:rFonts w:ascii="Times New Roman" w:eastAsia="Times New Roman" w:hAnsi="Times New Roman" w:cs="Times New Roman" w:hint="default"/>
      <w:color w:val="000000"/>
      <w:sz w:val="20"/>
      <w:vertAlign w:val="superscript"/>
    </w:rPr>
  </w:style>
  <w:style w:type="paragraph" w:customStyle="1" w:styleId="CVSpacer">
    <w:name w:val="CV Spacer"/>
    <w:basedOn w:val="Navaden"/>
    <w:rsid w:val="00EE1B49"/>
    <w:pPr>
      <w:suppressAutoHyphens/>
      <w:spacing w:line="240" w:lineRule="auto"/>
      <w:ind w:left="113" w:right="113"/>
    </w:pPr>
    <w:rPr>
      <w:rFonts w:ascii="Arial Narrow" w:eastAsia="Times New Roman" w:hAnsi="Arial Narrow" w:cs="Times New Roman"/>
      <w:sz w:val="4"/>
      <w:szCs w:val="20"/>
      <w:lang w:eastAsia="ar-SA"/>
    </w:rPr>
  </w:style>
  <w:style w:type="character" w:customStyle="1" w:styleId="Sprotnaopomba-besediloZnak1">
    <w:name w:val="Sprotna opomba - besedilo Znak1"/>
    <w:basedOn w:val="Privzetapisavaodstavka"/>
    <w:semiHidden/>
    <w:rsid w:val="00EE1B49"/>
  </w:style>
  <w:style w:type="character" w:customStyle="1" w:styleId="row-header-quote-text">
    <w:name w:val="row-header-quote-text"/>
    <w:basedOn w:val="Privzetapisavaodstavka"/>
    <w:rsid w:val="00EE1B49"/>
  </w:style>
  <w:style w:type="character" w:customStyle="1" w:styleId="highlighted">
    <w:name w:val="highlighted"/>
    <w:basedOn w:val="Privzetapisavaodstavka"/>
    <w:rsid w:val="00EE1B49"/>
  </w:style>
  <w:style w:type="character" w:customStyle="1" w:styleId="razlaga">
    <w:name w:val="razlaga"/>
    <w:basedOn w:val="Privzetapisavaodstavka"/>
    <w:rsid w:val="00EE1B49"/>
  </w:style>
  <w:style w:type="character" w:customStyle="1" w:styleId="s8aff680a">
    <w:name w:val="s8aff680a"/>
    <w:basedOn w:val="Privzetapisavaodstavka"/>
    <w:rsid w:val="00EE1B49"/>
  </w:style>
  <w:style w:type="paragraph" w:customStyle="1" w:styleId="s899b3e47">
    <w:name w:val="s899b3e47"/>
    <w:basedOn w:val="Navaden"/>
    <w:rsid w:val="00EE1B49"/>
    <w:pPr>
      <w:spacing w:before="100" w:beforeAutospacing="1" w:after="100" w:afterAutospacing="1" w:line="240" w:lineRule="auto"/>
    </w:pPr>
    <w:rPr>
      <w:rFonts w:eastAsia="Times New Roman" w:cs="Times New Roman"/>
      <w:lang w:eastAsia="sl-SI"/>
    </w:rPr>
  </w:style>
  <w:style w:type="character" w:customStyle="1" w:styleId="s68f5eaef">
    <w:name w:val="s68f5eaef"/>
    <w:basedOn w:val="Privzetapisavaodstavka"/>
    <w:rsid w:val="00EE1B49"/>
  </w:style>
  <w:style w:type="character" w:customStyle="1" w:styleId="sbc73225d">
    <w:name w:val="sbc73225d"/>
    <w:basedOn w:val="Privzetapisavaodstavka"/>
    <w:rsid w:val="00EE1B49"/>
  </w:style>
  <w:style w:type="paragraph" w:customStyle="1" w:styleId="TableContents">
    <w:name w:val="Table Contents"/>
    <w:basedOn w:val="Telobesedila"/>
    <w:rsid w:val="00EE1B49"/>
    <w:pPr>
      <w:widowControl w:val="0"/>
      <w:suppressAutoHyphens/>
      <w:overflowPunct w:val="0"/>
      <w:autoSpaceDE w:val="0"/>
      <w:autoSpaceDN w:val="0"/>
      <w:adjustRightInd w:val="0"/>
      <w:spacing w:line="240" w:lineRule="auto"/>
    </w:pPr>
    <w:rPr>
      <w:rFonts w:eastAsia="Calibri" w:cs="Times New Roman"/>
      <w:spacing w:val="-10"/>
      <w:lang w:val="en-US"/>
    </w:rPr>
  </w:style>
  <w:style w:type="character" w:customStyle="1" w:styleId="cf01">
    <w:name w:val="cf01"/>
    <w:basedOn w:val="Privzetapisavaodstavka"/>
    <w:rsid w:val="00EE1B49"/>
    <w:rPr>
      <w:rFonts w:ascii="Segoe UI" w:hAnsi="Segoe UI" w:cs="Segoe UI" w:hint="default"/>
      <w:sz w:val="18"/>
      <w:szCs w:val="18"/>
    </w:rPr>
  </w:style>
  <w:style w:type="paragraph" w:customStyle="1" w:styleId="pf0">
    <w:name w:val="pf0"/>
    <w:basedOn w:val="Navaden"/>
    <w:rsid w:val="00EE1B49"/>
    <w:pPr>
      <w:spacing w:before="100" w:beforeAutospacing="1" w:after="100" w:afterAutospacing="1" w:line="240" w:lineRule="auto"/>
    </w:pPr>
    <w:rPr>
      <w:rFonts w:eastAsia="Times New Roman" w:cs="Times New Roman"/>
      <w:lang w:eastAsia="sl-SI"/>
    </w:rPr>
  </w:style>
  <w:style w:type="paragraph" w:customStyle="1" w:styleId="PERLA">
    <w:name w:val="PERLA"/>
    <w:basedOn w:val="Navaden"/>
    <w:qFormat/>
    <w:rsid w:val="00EE1B49"/>
    <w:pPr>
      <w:spacing w:line="240" w:lineRule="auto"/>
      <w:jc w:val="both"/>
    </w:pPr>
  </w:style>
  <w:style w:type="paragraph" w:customStyle="1" w:styleId="s10950c61">
    <w:name w:val="s10950c61"/>
    <w:basedOn w:val="Navaden"/>
    <w:rsid w:val="00EE1B49"/>
    <w:pPr>
      <w:spacing w:before="100" w:beforeAutospacing="1" w:after="100" w:afterAutospacing="1" w:line="240" w:lineRule="auto"/>
    </w:pPr>
    <w:rPr>
      <w:rFonts w:eastAsia="Times New Roman" w:cs="Times New Roman"/>
      <w:lang w:eastAsia="sl-SI"/>
    </w:rPr>
  </w:style>
  <w:style w:type="character" w:customStyle="1" w:styleId="sbb9ee52a">
    <w:name w:val="sbb9ee52a"/>
    <w:basedOn w:val="Privzetapisavaodstavka"/>
    <w:rsid w:val="00EE1B49"/>
  </w:style>
  <w:style w:type="character" w:customStyle="1" w:styleId="sa36b60a1">
    <w:name w:val="sa36b60a1"/>
    <w:basedOn w:val="Privzetapisavaodstavka"/>
    <w:rsid w:val="00EE1B49"/>
  </w:style>
  <w:style w:type="character" w:customStyle="1" w:styleId="apple-converted-space">
    <w:name w:val="apple-converted-space"/>
    <w:basedOn w:val="Privzetapisavaodstavka"/>
    <w:rsid w:val="00EE1B49"/>
  </w:style>
  <w:style w:type="character" w:customStyle="1" w:styleId="row-header-thisquote-content">
    <w:name w:val="row-header-thisquote-content"/>
    <w:basedOn w:val="Privzetapisavaodstavka"/>
    <w:rsid w:val="00EE1B49"/>
  </w:style>
  <w:style w:type="character" w:customStyle="1" w:styleId="komperzbrisano">
    <w:name w:val="komperzbrisano"/>
    <w:basedOn w:val="Privzetapisavaodstavka"/>
    <w:rsid w:val="00EE1B49"/>
  </w:style>
  <w:style w:type="character" w:customStyle="1" w:styleId="SledenaHiperpovezava1">
    <w:name w:val="SledenaHiperpovezava1"/>
    <w:basedOn w:val="Privzetapisavaodstavka"/>
    <w:uiPriority w:val="99"/>
    <w:semiHidden/>
    <w:unhideWhenUsed/>
    <w:rsid w:val="00EE1B49"/>
    <w:rPr>
      <w:color w:val="954F72"/>
      <w:u w:val="single"/>
    </w:rPr>
  </w:style>
  <w:style w:type="paragraph" w:customStyle="1" w:styleId="Revizija1">
    <w:name w:val="Revizija1"/>
    <w:next w:val="Revizija"/>
    <w:hidden/>
    <w:uiPriority w:val="99"/>
    <w:semiHidden/>
    <w:rsid w:val="00EE1B49"/>
    <w:pPr>
      <w:spacing w:line="240" w:lineRule="auto"/>
    </w:pPr>
    <w:rPr>
      <w:rFonts w:ascii="Times New Roman" w:hAnsi="Times New Roman"/>
    </w:rPr>
  </w:style>
  <w:style w:type="character" w:customStyle="1" w:styleId="colordark">
    <w:name w:val="color_dark"/>
    <w:basedOn w:val="Privzetapisavaodstavka"/>
    <w:rsid w:val="00EE1B49"/>
  </w:style>
  <w:style w:type="paragraph" w:customStyle="1" w:styleId="pododdelek">
    <w:name w:val="pododdelek"/>
    <w:basedOn w:val="Navaden"/>
    <w:rsid w:val="00EE1B49"/>
    <w:pPr>
      <w:spacing w:before="100" w:beforeAutospacing="1" w:after="100" w:afterAutospacing="1" w:line="240" w:lineRule="auto"/>
    </w:pPr>
    <w:rPr>
      <w:rFonts w:eastAsia="Times New Roman" w:cs="Times New Roman"/>
      <w:lang w:eastAsia="sl-SI"/>
    </w:rPr>
  </w:style>
  <w:style w:type="numbering" w:customStyle="1" w:styleId="Brezseznama6">
    <w:name w:val="Brez seznama6"/>
    <w:next w:val="Brezseznama"/>
    <w:uiPriority w:val="99"/>
    <w:semiHidden/>
    <w:unhideWhenUsed/>
    <w:rsid w:val="00EE1B49"/>
  </w:style>
  <w:style w:type="table" w:customStyle="1" w:styleId="TableNormal">
    <w:name w:val="Table Normal"/>
    <w:uiPriority w:val="2"/>
    <w:semiHidden/>
    <w:unhideWhenUsed/>
    <w:qFormat/>
    <w:rsid w:val="00EE1B49"/>
    <w:pPr>
      <w:widowControl w:val="0"/>
      <w:spacing w:line="240" w:lineRule="auto"/>
    </w:pPr>
    <w:rPr>
      <w:lang w:val="en-US"/>
    </w:rPr>
    <w:tblPr>
      <w:tblInd w:w="0" w:type="dxa"/>
      <w:tblCellMar>
        <w:top w:w="0" w:type="dxa"/>
        <w:left w:w="0" w:type="dxa"/>
        <w:bottom w:w="0" w:type="dxa"/>
        <w:right w:w="0" w:type="dxa"/>
      </w:tblCellMar>
    </w:tblPr>
  </w:style>
  <w:style w:type="numbering" w:customStyle="1" w:styleId="Trenutniseznam1">
    <w:name w:val="Trenutni seznam1"/>
    <w:uiPriority w:val="99"/>
    <w:rsid w:val="00EE1B49"/>
    <w:pPr>
      <w:numPr>
        <w:numId w:val="25"/>
      </w:numPr>
    </w:pPr>
  </w:style>
  <w:style w:type="character" w:customStyle="1" w:styleId="Nerazreenaomemba1">
    <w:name w:val="Nerazrešena omemba1"/>
    <w:basedOn w:val="Privzetapisavaodstavka"/>
    <w:uiPriority w:val="99"/>
    <w:semiHidden/>
    <w:unhideWhenUsed/>
    <w:rsid w:val="00EE1B49"/>
    <w:rPr>
      <w:color w:val="605E5C"/>
      <w:shd w:val="clear" w:color="auto" w:fill="E1DFDD"/>
    </w:rPr>
  </w:style>
  <w:style w:type="paragraph" w:customStyle="1" w:styleId="Jasna">
    <w:name w:val="Jasna"/>
    <w:basedOn w:val="Navaden"/>
    <w:link w:val="JasnaZnak"/>
    <w:qFormat/>
    <w:rsid w:val="00EE1B49"/>
    <w:pPr>
      <w:spacing w:line="240" w:lineRule="auto"/>
      <w:jc w:val="both"/>
    </w:pPr>
    <w:rPr>
      <w:rFonts w:eastAsia="Calibri"/>
    </w:rPr>
  </w:style>
  <w:style w:type="character" w:customStyle="1" w:styleId="JasnaZnak">
    <w:name w:val="Jasna Znak"/>
    <w:basedOn w:val="Privzetapisavaodstavka"/>
    <w:link w:val="Jasna"/>
    <w:rsid w:val="00EE1B49"/>
    <w:rPr>
      <w:rFonts w:eastAsia="Calibri"/>
    </w:rPr>
  </w:style>
  <w:style w:type="character" w:customStyle="1" w:styleId="Bodytext1">
    <w:name w:val="Body text|1_"/>
    <w:basedOn w:val="Privzetapisavaodstavka"/>
    <w:link w:val="Bodytext10"/>
    <w:uiPriority w:val="99"/>
    <w:locked/>
    <w:rsid w:val="00EE1B49"/>
    <w:rPr>
      <w:color w:val="000000"/>
    </w:rPr>
  </w:style>
  <w:style w:type="paragraph" w:customStyle="1" w:styleId="Bodytext10">
    <w:name w:val="Body text|1"/>
    <w:basedOn w:val="Navaden"/>
    <w:link w:val="Bodytext1"/>
    <w:uiPriority w:val="99"/>
    <w:rsid w:val="00EE1B49"/>
    <w:pPr>
      <w:widowControl w:val="0"/>
      <w:spacing w:after="280" w:line="285" w:lineRule="auto"/>
    </w:pPr>
    <w:rPr>
      <w:color w:val="000000"/>
    </w:rPr>
  </w:style>
  <w:style w:type="character" w:customStyle="1" w:styleId="mrppfcsl">
    <w:name w:val="mrppfcsl"/>
    <w:basedOn w:val="Privzetapisavaodstavka"/>
    <w:rsid w:val="00EE1B49"/>
  </w:style>
  <w:style w:type="numbering" w:customStyle="1" w:styleId="ECHRA1StyleList">
    <w:name w:val="ECHR_A1_Style_List"/>
    <w:uiPriority w:val="99"/>
    <w:rsid w:val="00EE1B49"/>
    <w:pPr>
      <w:numPr>
        <w:numId w:val="44"/>
      </w:numPr>
    </w:pPr>
  </w:style>
  <w:style w:type="character" w:customStyle="1" w:styleId="BrezrazmikovZnak">
    <w:name w:val="Brez razmikov Znak"/>
    <w:aliases w:val="Brez razmikov DODV Znak"/>
    <w:basedOn w:val="Privzetapisavaodstavka"/>
    <w:link w:val="Brezrazmikov"/>
    <w:uiPriority w:val="1"/>
    <w:locked/>
    <w:rsid w:val="00EE1B49"/>
    <w:rPr>
      <w:rFonts w:ascii="Times New Roman" w:eastAsia="Times New Roman" w:hAnsi="Times New Roman" w:cs="Times New Roman"/>
      <w:color w:val="000000"/>
      <w:lang w:eastAsia="sl-SI"/>
    </w:rPr>
  </w:style>
  <w:style w:type="character" w:customStyle="1" w:styleId="Footnote1">
    <w:name w:val="Footnote|1_"/>
    <w:basedOn w:val="Privzetapisavaodstavka"/>
    <w:link w:val="Footnote10"/>
    <w:uiPriority w:val="99"/>
    <w:rsid w:val="00EE1B49"/>
    <w:rPr>
      <w:rFonts w:ascii="Arial" w:hAnsi="Arial" w:cs="Arial"/>
      <w:color w:val="000000"/>
      <w:sz w:val="17"/>
      <w:szCs w:val="17"/>
    </w:rPr>
  </w:style>
  <w:style w:type="paragraph" w:customStyle="1" w:styleId="Footnote10">
    <w:name w:val="Footnote|1"/>
    <w:basedOn w:val="Navaden"/>
    <w:link w:val="Footnote1"/>
    <w:uiPriority w:val="99"/>
    <w:rsid w:val="00EE1B49"/>
    <w:pPr>
      <w:widowControl w:val="0"/>
      <w:spacing w:line="298" w:lineRule="auto"/>
    </w:pPr>
    <w:rPr>
      <w:rFonts w:ascii="Arial" w:hAnsi="Arial" w:cs="Arial"/>
      <w:color w:val="000000"/>
      <w:sz w:val="17"/>
      <w:szCs w:val="17"/>
    </w:rPr>
  </w:style>
  <w:style w:type="paragraph" w:styleId="Golobesedilo">
    <w:name w:val="Plain Text"/>
    <w:basedOn w:val="Navaden"/>
    <w:link w:val="GolobesediloZnak"/>
    <w:uiPriority w:val="99"/>
    <w:unhideWhenUsed/>
    <w:rsid w:val="00EE1B49"/>
    <w:pPr>
      <w:spacing w:line="240" w:lineRule="auto"/>
    </w:pPr>
    <w:rPr>
      <w:rFonts w:eastAsia="Calibri" w:cs="Times New Roman"/>
      <w:szCs w:val="21"/>
    </w:rPr>
  </w:style>
  <w:style w:type="character" w:customStyle="1" w:styleId="GolobesediloZnak">
    <w:name w:val="Golo besedilo Znak"/>
    <w:basedOn w:val="Privzetapisavaodstavka"/>
    <w:link w:val="Golobesedilo"/>
    <w:uiPriority w:val="99"/>
    <w:rsid w:val="00EE1B49"/>
    <w:rPr>
      <w:rFonts w:eastAsia="Calibri" w:cs="Times New Roman"/>
      <w:szCs w:val="21"/>
    </w:rPr>
  </w:style>
  <w:style w:type="paragraph" w:styleId="Glava">
    <w:name w:val="header"/>
    <w:basedOn w:val="Navaden"/>
    <w:link w:val="GlavaZnak1"/>
    <w:uiPriority w:val="99"/>
    <w:unhideWhenUsed/>
    <w:rsid w:val="00EE1B49"/>
    <w:pPr>
      <w:tabs>
        <w:tab w:val="center" w:pos="4536"/>
        <w:tab w:val="right" w:pos="9072"/>
      </w:tabs>
      <w:spacing w:line="240" w:lineRule="auto"/>
    </w:pPr>
  </w:style>
  <w:style w:type="character" w:customStyle="1" w:styleId="GlavaZnak1">
    <w:name w:val="Glava Znak1"/>
    <w:basedOn w:val="Privzetapisavaodstavka"/>
    <w:link w:val="Glava"/>
    <w:uiPriority w:val="99"/>
    <w:rsid w:val="00EE1B49"/>
  </w:style>
  <w:style w:type="paragraph" w:styleId="Noga">
    <w:name w:val="footer"/>
    <w:basedOn w:val="Navaden"/>
    <w:link w:val="NogaZnak1"/>
    <w:uiPriority w:val="99"/>
    <w:unhideWhenUsed/>
    <w:rsid w:val="00EE1B49"/>
    <w:pPr>
      <w:tabs>
        <w:tab w:val="center" w:pos="4536"/>
        <w:tab w:val="right" w:pos="9072"/>
      </w:tabs>
      <w:spacing w:line="240" w:lineRule="auto"/>
    </w:pPr>
  </w:style>
  <w:style w:type="character" w:customStyle="1" w:styleId="NogaZnak1">
    <w:name w:val="Noga Znak1"/>
    <w:basedOn w:val="Privzetapisavaodstavka"/>
    <w:link w:val="Noga"/>
    <w:uiPriority w:val="99"/>
    <w:rsid w:val="00EE1B49"/>
  </w:style>
  <w:style w:type="character" w:styleId="Hiperpovezava">
    <w:name w:val="Hyperlink"/>
    <w:basedOn w:val="Privzetapisavaodstavka"/>
    <w:uiPriority w:val="99"/>
    <w:unhideWhenUsed/>
    <w:rsid w:val="00EE1B49"/>
    <w:rPr>
      <w:color w:val="467886" w:themeColor="hyperlink"/>
      <w:u w:val="single"/>
    </w:rPr>
  </w:style>
  <w:style w:type="paragraph" w:styleId="Besedilooblaka">
    <w:name w:val="Balloon Text"/>
    <w:basedOn w:val="Navaden"/>
    <w:link w:val="BesedilooblakaZnak1"/>
    <w:uiPriority w:val="99"/>
    <w:unhideWhenUsed/>
    <w:rsid w:val="00EE1B49"/>
    <w:pPr>
      <w:spacing w:line="240" w:lineRule="auto"/>
    </w:pPr>
    <w:rPr>
      <w:rFonts w:ascii="Segoe UI" w:hAnsi="Segoe UI" w:cs="Segoe UI"/>
      <w:sz w:val="18"/>
      <w:szCs w:val="18"/>
    </w:rPr>
  </w:style>
  <w:style w:type="character" w:customStyle="1" w:styleId="BesedilooblakaZnak1">
    <w:name w:val="Besedilo oblačka Znak1"/>
    <w:basedOn w:val="Privzetapisavaodstavka"/>
    <w:link w:val="Besedilooblaka"/>
    <w:uiPriority w:val="99"/>
    <w:rsid w:val="00EE1B49"/>
    <w:rPr>
      <w:rFonts w:ascii="Segoe UI" w:hAnsi="Segoe UI" w:cs="Segoe UI"/>
      <w:sz w:val="18"/>
      <w:szCs w:val="18"/>
    </w:rPr>
  </w:style>
  <w:style w:type="table" w:styleId="Tabelamrea">
    <w:name w:val="Table Grid"/>
    <w:basedOn w:val="Navadnatabela"/>
    <w:uiPriority w:val="39"/>
    <w:rsid w:val="00EE1B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EE1B49"/>
    <w:rPr>
      <w:rFonts w:ascii="Times New Roman" w:hAnsi="Times New Roman" w:cs="Times New Roman"/>
    </w:rPr>
  </w:style>
  <w:style w:type="paragraph" w:styleId="Telobesedila3">
    <w:name w:val="Body Text 3"/>
    <w:basedOn w:val="Navaden"/>
    <w:link w:val="Telobesedila3Znak1"/>
    <w:unhideWhenUsed/>
    <w:rsid w:val="00EE1B49"/>
    <w:pPr>
      <w:spacing w:after="120"/>
    </w:pPr>
    <w:rPr>
      <w:sz w:val="16"/>
      <w:szCs w:val="16"/>
    </w:rPr>
  </w:style>
  <w:style w:type="character" w:customStyle="1" w:styleId="Telobesedila3Znak1">
    <w:name w:val="Telo besedila 3 Znak1"/>
    <w:basedOn w:val="Privzetapisavaodstavka"/>
    <w:link w:val="Telobesedila3"/>
    <w:rsid w:val="00EE1B49"/>
    <w:rPr>
      <w:sz w:val="16"/>
      <w:szCs w:val="16"/>
    </w:rPr>
  </w:style>
  <w:style w:type="character" w:styleId="Sprotnaopomba-sklic">
    <w:name w:val="footnote reference"/>
    <w:aliases w:val="Fussnota,Footnote symbol,Footnote,Footnotes refss,callout,BVI fnr,16 Point,Superscript 6 Point,nota pié di pagina,de nota al pie,Ref,fr,Style 13,-E Fußnotenzeichen,(Diplomarbeit FZ),(Diplomarbeit FZ)1,(Diplomarbeit FZ)2,Char"/>
    <w:basedOn w:val="Privzetapisavaodstavka"/>
    <w:uiPriority w:val="99"/>
    <w:unhideWhenUsed/>
    <w:qFormat/>
    <w:rsid w:val="00EE1B49"/>
    <w:rPr>
      <w:vertAlign w:val="superscript"/>
    </w:rPr>
  </w:style>
  <w:style w:type="paragraph" w:styleId="Telobesedila">
    <w:name w:val="Body Text"/>
    <w:basedOn w:val="Navaden"/>
    <w:link w:val="TelobesedilaZnak1"/>
    <w:uiPriority w:val="1"/>
    <w:unhideWhenUsed/>
    <w:qFormat/>
    <w:rsid w:val="00EE1B49"/>
    <w:pPr>
      <w:spacing w:after="120"/>
    </w:pPr>
  </w:style>
  <w:style w:type="character" w:customStyle="1" w:styleId="TelobesedilaZnak1">
    <w:name w:val="Telo besedila Znak1"/>
    <w:basedOn w:val="Privzetapisavaodstavka"/>
    <w:link w:val="Telobesedila"/>
    <w:uiPriority w:val="1"/>
    <w:rsid w:val="00EE1B49"/>
  </w:style>
  <w:style w:type="paragraph" w:styleId="Sprotnaopomba-besedilo">
    <w:name w:val="footnote text"/>
    <w:aliases w:val="Sprotna opomba - besedilo Znak1 Char,Sprotna opomba - besedilo Znak Znak Char,Znak Znak Znak Char,Znak Znak Znak Znak Znak Znak Znak Char,Znak Znak1 Char,Znak Znak Znak Znak Znak Znak1 Char,????? ?????? ????,Char Char Char,fn"/>
    <w:basedOn w:val="Navaden"/>
    <w:link w:val="Sprotnaopomba-besediloZnak2"/>
    <w:uiPriority w:val="99"/>
    <w:unhideWhenUsed/>
    <w:qFormat/>
    <w:rsid w:val="00EE1B49"/>
    <w:pPr>
      <w:spacing w:line="240" w:lineRule="auto"/>
    </w:pPr>
    <w:rPr>
      <w:sz w:val="20"/>
      <w:szCs w:val="20"/>
    </w:rPr>
  </w:style>
  <w:style w:type="character" w:customStyle="1" w:styleId="Sprotnaopomba-besediloZnak2">
    <w:name w:val="Sprotna opomba - besedilo Znak2"/>
    <w:aliases w:val="Sprotna opomba - besedilo Znak1 Char Znak1,Sprotna opomba - besedilo Znak Znak Char Znak1,Znak Znak Znak Char Znak1,Znak Znak Znak Znak Znak Znak Znak Char Znak1,Znak Znak1 Char Znak1,????? ?????? ???? Znak,fn Znak"/>
    <w:basedOn w:val="Privzetapisavaodstavka"/>
    <w:link w:val="Sprotnaopomba-besedilo"/>
    <w:uiPriority w:val="99"/>
    <w:rsid w:val="00EE1B49"/>
    <w:rPr>
      <w:sz w:val="20"/>
      <w:szCs w:val="20"/>
    </w:rPr>
  </w:style>
  <w:style w:type="paragraph" w:styleId="Oznaenseznam">
    <w:name w:val="List Bullet"/>
    <w:basedOn w:val="Navaden"/>
    <w:unhideWhenUsed/>
    <w:rsid w:val="00EE1B49"/>
    <w:pPr>
      <w:numPr>
        <w:numId w:val="1"/>
      </w:numPr>
      <w:ind w:left="0" w:firstLine="0"/>
      <w:contextualSpacing/>
    </w:pPr>
  </w:style>
  <w:style w:type="paragraph" w:styleId="Konnaopomba-besedilo">
    <w:name w:val="endnote text"/>
    <w:basedOn w:val="Navaden"/>
    <w:link w:val="Konnaopomba-besediloZnak1"/>
    <w:uiPriority w:val="99"/>
    <w:semiHidden/>
    <w:unhideWhenUsed/>
    <w:rsid w:val="00EE1B49"/>
    <w:pPr>
      <w:spacing w:line="240" w:lineRule="auto"/>
    </w:pPr>
    <w:rPr>
      <w:sz w:val="20"/>
      <w:szCs w:val="20"/>
    </w:rPr>
  </w:style>
  <w:style w:type="character" w:customStyle="1" w:styleId="Konnaopomba-besediloZnak1">
    <w:name w:val="Končna opomba - besedilo Znak1"/>
    <w:basedOn w:val="Privzetapisavaodstavka"/>
    <w:link w:val="Konnaopomba-besedilo"/>
    <w:uiPriority w:val="99"/>
    <w:semiHidden/>
    <w:rsid w:val="00EE1B49"/>
    <w:rPr>
      <w:sz w:val="20"/>
      <w:szCs w:val="20"/>
    </w:rPr>
  </w:style>
  <w:style w:type="paragraph" w:styleId="Pripombabesedilo">
    <w:name w:val="annotation text"/>
    <w:basedOn w:val="Navaden"/>
    <w:link w:val="PripombabesediloZnak1"/>
    <w:uiPriority w:val="99"/>
    <w:unhideWhenUsed/>
    <w:rsid w:val="00EE1B49"/>
    <w:pPr>
      <w:spacing w:line="240" w:lineRule="auto"/>
    </w:pPr>
    <w:rPr>
      <w:sz w:val="20"/>
      <w:szCs w:val="20"/>
    </w:rPr>
  </w:style>
  <w:style w:type="character" w:customStyle="1" w:styleId="PripombabesediloZnak1">
    <w:name w:val="Pripomba – besedilo Znak1"/>
    <w:basedOn w:val="Privzetapisavaodstavka"/>
    <w:link w:val="Pripombabesedilo"/>
    <w:uiPriority w:val="99"/>
    <w:rsid w:val="00EE1B49"/>
    <w:rPr>
      <w:sz w:val="20"/>
      <w:szCs w:val="20"/>
    </w:rPr>
  </w:style>
  <w:style w:type="paragraph" w:styleId="Zadevapripombe">
    <w:name w:val="annotation subject"/>
    <w:basedOn w:val="Pripombabesedilo"/>
    <w:next w:val="Pripombabesedilo"/>
    <w:link w:val="ZadevapripombeZnak"/>
    <w:uiPriority w:val="99"/>
    <w:semiHidden/>
    <w:unhideWhenUsed/>
    <w:rsid w:val="00EE1B49"/>
    <w:rPr>
      <w:b/>
      <w:bCs/>
    </w:rPr>
  </w:style>
  <w:style w:type="character" w:customStyle="1" w:styleId="ZadevapripombeZnak1">
    <w:name w:val="Zadeva pripombe Znak1"/>
    <w:basedOn w:val="PripombabesediloZnak1"/>
    <w:uiPriority w:val="99"/>
    <w:semiHidden/>
    <w:rsid w:val="00EE1B49"/>
    <w:rPr>
      <w:b/>
      <w:bCs/>
      <w:sz w:val="20"/>
      <w:szCs w:val="20"/>
    </w:rPr>
  </w:style>
  <w:style w:type="table" w:styleId="Tabelabarvniseznam6poudarek1">
    <w:name w:val="List Table 6 Colorful Accent 1"/>
    <w:basedOn w:val="Navadnatabela"/>
    <w:uiPriority w:val="51"/>
    <w:rsid w:val="00EE1B49"/>
    <w:pPr>
      <w:spacing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Telobesedila-zamik">
    <w:name w:val="Body Text Indent"/>
    <w:basedOn w:val="Navaden"/>
    <w:link w:val="Telobesedila-zamikZnak1"/>
    <w:unhideWhenUsed/>
    <w:rsid w:val="00EE1B49"/>
    <w:pPr>
      <w:spacing w:after="120"/>
      <w:ind w:left="283"/>
    </w:pPr>
  </w:style>
  <w:style w:type="character" w:customStyle="1" w:styleId="Telobesedila-zamikZnak1">
    <w:name w:val="Telo besedila - zamik Znak1"/>
    <w:basedOn w:val="Privzetapisavaodstavka"/>
    <w:link w:val="Telobesedila-zamik"/>
    <w:rsid w:val="00EE1B49"/>
  </w:style>
  <w:style w:type="paragraph" w:styleId="Telobesedila2">
    <w:name w:val="Body Text 2"/>
    <w:basedOn w:val="Navaden"/>
    <w:link w:val="Telobesedila2Znak1"/>
    <w:uiPriority w:val="99"/>
    <w:unhideWhenUsed/>
    <w:rsid w:val="00EE1B49"/>
    <w:pPr>
      <w:spacing w:after="120" w:line="480" w:lineRule="auto"/>
    </w:pPr>
  </w:style>
  <w:style w:type="character" w:customStyle="1" w:styleId="Telobesedila2Znak1">
    <w:name w:val="Telo besedila 2 Znak1"/>
    <w:basedOn w:val="Privzetapisavaodstavka"/>
    <w:link w:val="Telobesedila2"/>
    <w:uiPriority w:val="99"/>
    <w:rsid w:val="00EE1B49"/>
  </w:style>
  <w:style w:type="character" w:styleId="SledenaHiperpovezava">
    <w:name w:val="FollowedHyperlink"/>
    <w:basedOn w:val="Privzetapisavaodstavka"/>
    <w:uiPriority w:val="99"/>
    <w:semiHidden/>
    <w:unhideWhenUsed/>
    <w:rsid w:val="00EE1B49"/>
    <w:rPr>
      <w:color w:val="96607D" w:themeColor="followedHyperlink"/>
      <w:u w:val="single"/>
    </w:rPr>
  </w:style>
  <w:style w:type="paragraph" w:styleId="Revizija">
    <w:name w:val="Revision"/>
    <w:hidden/>
    <w:uiPriority w:val="99"/>
    <w:semiHidden/>
    <w:rsid w:val="00EE1B49"/>
    <w:pPr>
      <w:spacing w:line="240" w:lineRule="auto"/>
    </w:pPr>
  </w:style>
  <w:style w:type="paragraph" w:customStyle="1" w:styleId="Brezrazmikov2">
    <w:name w:val="Brez razmikov2"/>
    <w:rsid w:val="00EE1B49"/>
    <w:pPr>
      <w:spacing w:line="240" w:lineRule="auto"/>
    </w:pPr>
    <w:rPr>
      <w:rFonts w:eastAsia="Times New Roman" w:cs="Times New Roman"/>
      <w:sz w:val="22"/>
      <w:szCs w:val="22"/>
    </w:rPr>
  </w:style>
  <w:style w:type="numbering" w:customStyle="1" w:styleId="Brezseznama7">
    <w:name w:val="Brez seznama7"/>
    <w:next w:val="Brezseznama"/>
    <w:uiPriority w:val="99"/>
    <w:semiHidden/>
    <w:unhideWhenUsed/>
    <w:rsid w:val="00EE1B49"/>
  </w:style>
  <w:style w:type="paragraph" w:customStyle="1" w:styleId="NaslovTOC2">
    <w:name w:val="Naslov TOC2"/>
    <w:basedOn w:val="Naslov1"/>
    <w:next w:val="Navaden"/>
    <w:uiPriority w:val="39"/>
    <w:unhideWhenUsed/>
    <w:qFormat/>
    <w:rsid w:val="00EE1B49"/>
    <w:pPr>
      <w:outlineLvl w:val="9"/>
    </w:pPr>
    <w:rPr>
      <w:caps/>
      <w:sz w:val="32"/>
      <w:szCs w:val="32"/>
      <w:lang w:eastAsia="sl-SI"/>
    </w:rPr>
  </w:style>
  <w:style w:type="paragraph" w:customStyle="1" w:styleId="Kazalovsebine12">
    <w:name w:val="Kazalo vsebine 12"/>
    <w:basedOn w:val="Navaden"/>
    <w:next w:val="Navaden"/>
    <w:autoRedefine/>
    <w:uiPriority w:val="39"/>
    <w:unhideWhenUsed/>
    <w:rsid w:val="00EE1B49"/>
    <w:pPr>
      <w:tabs>
        <w:tab w:val="right" w:leader="dot" w:pos="9062"/>
      </w:tabs>
      <w:spacing w:after="100" w:line="259" w:lineRule="auto"/>
    </w:pPr>
    <w:rPr>
      <w:noProof/>
      <w:sz w:val="20"/>
      <w:szCs w:val="20"/>
    </w:rPr>
  </w:style>
  <w:style w:type="paragraph" w:styleId="Kazalovsebine2">
    <w:name w:val="toc 2"/>
    <w:basedOn w:val="Navaden"/>
    <w:next w:val="Navaden"/>
    <w:autoRedefine/>
    <w:uiPriority w:val="39"/>
    <w:unhideWhenUsed/>
    <w:rsid w:val="00E20DB6"/>
    <w:pPr>
      <w:tabs>
        <w:tab w:val="right" w:leader="dot" w:pos="9072"/>
      </w:tabs>
      <w:spacing w:after="100" w:line="259" w:lineRule="auto"/>
      <w:ind w:left="788" w:hanging="567"/>
    </w:pPr>
    <w:rPr>
      <w:rFonts w:cs="Times New Roman"/>
      <w:sz w:val="20"/>
      <w:szCs w:val="22"/>
    </w:rPr>
  </w:style>
  <w:style w:type="paragraph" w:styleId="Kazalovsebine3">
    <w:name w:val="toc 3"/>
    <w:basedOn w:val="Navaden"/>
    <w:next w:val="Navaden"/>
    <w:autoRedefine/>
    <w:uiPriority w:val="39"/>
    <w:unhideWhenUsed/>
    <w:rsid w:val="00E20DB6"/>
    <w:pPr>
      <w:tabs>
        <w:tab w:val="right" w:leader="dot" w:pos="9072"/>
      </w:tabs>
      <w:spacing w:after="100" w:line="259" w:lineRule="auto"/>
      <w:ind w:left="1134" w:hanging="567"/>
    </w:pPr>
    <w:rPr>
      <w:rFonts w:cs="Times New Roman"/>
      <w:noProof/>
      <w:sz w:val="20"/>
      <w:szCs w:val="16"/>
    </w:rPr>
  </w:style>
  <w:style w:type="table" w:customStyle="1" w:styleId="Tabelamrea2">
    <w:name w:val="Tabela – mreža2"/>
    <w:basedOn w:val="Navadnatabela"/>
    <w:next w:val="Tabelamrea"/>
    <w:uiPriority w:val="39"/>
    <w:rsid w:val="00EE1B49"/>
    <w:pPr>
      <w:spacing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62064F"/>
    <w:pPr>
      <w:tabs>
        <w:tab w:val="left" w:pos="1680"/>
        <w:tab w:val="right" w:leader="dot" w:pos="9072"/>
      </w:tabs>
      <w:spacing w:after="100" w:line="259" w:lineRule="auto"/>
      <w:ind w:left="1225" w:hanging="567"/>
    </w:pPr>
    <w:rPr>
      <w:rFonts w:cs="Times New Roman"/>
      <w:caps/>
      <w:noProof/>
      <w:sz w:val="20"/>
      <w:szCs w:val="22"/>
    </w:rPr>
  </w:style>
  <w:style w:type="paragraph" w:styleId="Kazalovsebine5">
    <w:name w:val="toc 5"/>
    <w:basedOn w:val="Navaden"/>
    <w:next w:val="Navaden"/>
    <w:autoRedefine/>
    <w:uiPriority w:val="39"/>
    <w:unhideWhenUsed/>
    <w:rsid w:val="00E20DB6"/>
    <w:pPr>
      <w:tabs>
        <w:tab w:val="right" w:leader="dot" w:pos="9072"/>
      </w:tabs>
      <w:spacing w:after="100" w:line="259" w:lineRule="auto"/>
      <w:ind w:left="1446" w:hanging="567"/>
      <w:jc w:val="both"/>
    </w:pPr>
    <w:rPr>
      <w:rFonts w:eastAsia="Calibri"/>
      <w:noProof/>
      <w:sz w:val="20"/>
      <w:szCs w:val="20"/>
    </w:rPr>
  </w:style>
  <w:style w:type="paragraph" w:styleId="Kazalovsebine6">
    <w:name w:val="toc 6"/>
    <w:basedOn w:val="Navaden"/>
    <w:next w:val="Navaden"/>
    <w:autoRedefine/>
    <w:uiPriority w:val="39"/>
    <w:unhideWhenUsed/>
    <w:rsid w:val="00EE1B49"/>
    <w:pPr>
      <w:spacing w:after="100" w:line="259" w:lineRule="auto"/>
      <w:ind w:left="1100"/>
    </w:pPr>
    <w:rPr>
      <w:rFonts w:cs="Times New Roman"/>
      <w:szCs w:val="22"/>
    </w:rPr>
  </w:style>
  <w:style w:type="paragraph" w:styleId="Kazalovsebine7">
    <w:name w:val="toc 7"/>
    <w:basedOn w:val="Navaden"/>
    <w:next w:val="Navaden"/>
    <w:autoRedefine/>
    <w:uiPriority w:val="39"/>
    <w:unhideWhenUsed/>
    <w:rsid w:val="00EE1B49"/>
    <w:pPr>
      <w:spacing w:after="100" w:line="259" w:lineRule="auto"/>
      <w:ind w:left="1320"/>
    </w:pPr>
    <w:rPr>
      <w:rFonts w:cs="Times New Roman"/>
      <w:szCs w:val="22"/>
    </w:rPr>
  </w:style>
  <w:style w:type="paragraph" w:customStyle="1" w:styleId="Kazalovsebine82">
    <w:name w:val="Kazalo vsebine 82"/>
    <w:basedOn w:val="Navaden"/>
    <w:next w:val="Navaden"/>
    <w:autoRedefine/>
    <w:uiPriority w:val="39"/>
    <w:unhideWhenUsed/>
    <w:rsid w:val="00EE1B49"/>
    <w:pPr>
      <w:spacing w:after="100" w:line="259" w:lineRule="auto"/>
      <w:ind w:left="1540"/>
    </w:pPr>
    <w:rPr>
      <w:rFonts w:eastAsia="Times New Roman" w:cs="Times New Roman"/>
      <w:szCs w:val="22"/>
      <w:lang w:eastAsia="sl-SI"/>
    </w:rPr>
  </w:style>
  <w:style w:type="paragraph" w:customStyle="1" w:styleId="Kazalovsebine92">
    <w:name w:val="Kazalo vsebine 92"/>
    <w:basedOn w:val="Navaden"/>
    <w:next w:val="Navaden"/>
    <w:autoRedefine/>
    <w:uiPriority w:val="39"/>
    <w:unhideWhenUsed/>
    <w:rsid w:val="00EE1B49"/>
    <w:pPr>
      <w:spacing w:after="100" w:line="259" w:lineRule="auto"/>
      <w:ind w:left="1760"/>
    </w:pPr>
    <w:rPr>
      <w:rFonts w:eastAsia="Times New Roman" w:cs="Times New Roman"/>
      <w:szCs w:val="22"/>
      <w:lang w:eastAsia="sl-SI"/>
    </w:rPr>
  </w:style>
  <w:style w:type="table" w:customStyle="1" w:styleId="NormalTable01">
    <w:name w:val="Normal Table01"/>
    <w:uiPriority w:val="2"/>
    <w:semiHidden/>
    <w:unhideWhenUsed/>
    <w:qFormat/>
    <w:rsid w:val="00EE1B49"/>
    <w:pPr>
      <w:widowControl w:val="0"/>
      <w:spacing w:line="240" w:lineRule="auto"/>
      <w:jc w:val="both"/>
    </w:pPr>
    <w:rPr>
      <w:rFonts w:cs="Times New Roman"/>
      <w:sz w:val="22"/>
      <w:szCs w:val="22"/>
      <w:lang w:val="en-US"/>
    </w:rPr>
    <w:tblPr>
      <w:tblInd w:w="0" w:type="dxa"/>
      <w:tblCellMar>
        <w:top w:w="0" w:type="dxa"/>
        <w:left w:w="0" w:type="dxa"/>
        <w:bottom w:w="0" w:type="dxa"/>
        <w:right w:w="0" w:type="dxa"/>
      </w:tblCellMar>
    </w:tblPr>
  </w:style>
  <w:style w:type="numbering" w:customStyle="1" w:styleId="Brezseznama13">
    <w:name w:val="Brez seznama13"/>
    <w:next w:val="Brezseznama"/>
    <w:uiPriority w:val="99"/>
    <w:semiHidden/>
    <w:unhideWhenUsed/>
    <w:rsid w:val="00EE1B49"/>
  </w:style>
  <w:style w:type="numbering" w:customStyle="1" w:styleId="Brezseznama22">
    <w:name w:val="Brez seznama22"/>
    <w:next w:val="Brezseznama"/>
    <w:uiPriority w:val="99"/>
    <w:semiHidden/>
    <w:unhideWhenUsed/>
    <w:rsid w:val="00EE1B49"/>
  </w:style>
  <w:style w:type="numbering" w:customStyle="1" w:styleId="Brezseznama32">
    <w:name w:val="Brez seznama32"/>
    <w:next w:val="Brezseznama"/>
    <w:uiPriority w:val="99"/>
    <w:semiHidden/>
    <w:unhideWhenUsed/>
    <w:rsid w:val="00EE1B49"/>
  </w:style>
  <w:style w:type="numbering" w:customStyle="1" w:styleId="Brezseznama112">
    <w:name w:val="Brez seznama112"/>
    <w:next w:val="Brezseznama"/>
    <w:uiPriority w:val="99"/>
    <w:semiHidden/>
    <w:unhideWhenUsed/>
    <w:rsid w:val="00EE1B49"/>
  </w:style>
  <w:style w:type="table" w:customStyle="1" w:styleId="Tabelabarvniseznam6poudarek12">
    <w:name w:val="Tabela – barvni seznam 6 (poudarek 1)2"/>
    <w:basedOn w:val="Navadnatabela"/>
    <w:next w:val="Tabelabarvniseznam6poudarek1"/>
    <w:uiPriority w:val="51"/>
    <w:rsid w:val="00EE1B49"/>
    <w:pPr>
      <w:spacing w:line="240" w:lineRule="auto"/>
    </w:pPr>
    <w:rPr>
      <w:rFonts w:ascii="Times New Roman" w:eastAsia="Times New Roman" w:hAnsi="Times New Roman" w:cs="Times New Roman"/>
      <w:color w:val="2F5496"/>
      <w:sz w:val="20"/>
      <w:szCs w:val="20"/>
      <w:lang w:eastAsia="sl-SI"/>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Stvarnokazalo1">
    <w:name w:val="index 1"/>
    <w:basedOn w:val="Navaden"/>
    <w:next w:val="Navaden"/>
    <w:autoRedefine/>
    <w:uiPriority w:val="99"/>
    <w:rsid w:val="00EE1B49"/>
    <w:pPr>
      <w:spacing w:line="240" w:lineRule="auto"/>
      <w:ind w:left="240" w:hanging="240"/>
    </w:pPr>
    <w:rPr>
      <w:rFonts w:eastAsia="Times New Roman" w:cs="Times New Roman"/>
      <w:lang w:eastAsia="sl-SI"/>
    </w:rPr>
  </w:style>
  <w:style w:type="numbering" w:customStyle="1" w:styleId="Brezseznama41">
    <w:name w:val="Brez seznama41"/>
    <w:next w:val="Brezseznama"/>
    <w:uiPriority w:val="99"/>
    <w:semiHidden/>
    <w:unhideWhenUsed/>
    <w:rsid w:val="00EE1B49"/>
  </w:style>
  <w:style w:type="numbering" w:customStyle="1" w:styleId="Brezseznama121">
    <w:name w:val="Brez seznama121"/>
    <w:next w:val="Brezseznama"/>
    <w:uiPriority w:val="99"/>
    <w:semiHidden/>
    <w:unhideWhenUsed/>
    <w:rsid w:val="00EE1B49"/>
  </w:style>
  <w:style w:type="numbering" w:customStyle="1" w:styleId="Brezseznama211">
    <w:name w:val="Brez seznama211"/>
    <w:next w:val="Brezseznama"/>
    <w:uiPriority w:val="99"/>
    <w:semiHidden/>
    <w:unhideWhenUsed/>
    <w:rsid w:val="00EE1B49"/>
  </w:style>
  <w:style w:type="numbering" w:customStyle="1" w:styleId="Brezseznama311">
    <w:name w:val="Brez seznama311"/>
    <w:next w:val="Brezseznama"/>
    <w:uiPriority w:val="99"/>
    <w:semiHidden/>
    <w:unhideWhenUsed/>
    <w:rsid w:val="00EE1B49"/>
  </w:style>
  <w:style w:type="numbering" w:customStyle="1" w:styleId="Brezseznama51">
    <w:name w:val="Brez seznama51"/>
    <w:next w:val="Brezseznama"/>
    <w:uiPriority w:val="99"/>
    <w:semiHidden/>
    <w:unhideWhenUsed/>
    <w:rsid w:val="00EE1B49"/>
  </w:style>
  <w:style w:type="numbering" w:customStyle="1" w:styleId="Brezseznama61">
    <w:name w:val="Brez seznama61"/>
    <w:next w:val="Brezseznama"/>
    <w:uiPriority w:val="99"/>
    <w:semiHidden/>
    <w:unhideWhenUsed/>
    <w:rsid w:val="00EE1B49"/>
  </w:style>
  <w:style w:type="table" w:customStyle="1" w:styleId="TableNormal1">
    <w:name w:val="Table Normal1"/>
    <w:uiPriority w:val="2"/>
    <w:semiHidden/>
    <w:unhideWhenUsed/>
    <w:qFormat/>
    <w:rsid w:val="00EE1B49"/>
    <w:pPr>
      <w:widowControl w:val="0"/>
      <w:spacing w:line="240" w:lineRule="auto"/>
    </w:pPr>
    <w:rPr>
      <w:rFonts w:cs="Times New Roman"/>
      <w:sz w:val="22"/>
      <w:szCs w:val="22"/>
      <w:lang w:val="en-US"/>
    </w:rPr>
    <w:tblPr>
      <w:tblInd w:w="0" w:type="dxa"/>
      <w:tblCellMar>
        <w:top w:w="0" w:type="dxa"/>
        <w:left w:w="0" w:type="dxa"/>
        <w:bottom w:w="0" w:type="dxa"/>
        <w:right w:w="0" w:type="dxa"/>
      </w:tblCellMar>
    </w:tblPr>
  </w:style>
  <w:style w:type="numbering" w:customStyle="1" w:styleId="Trenutniseznam11">
    <w:name w:val="Trenutni seznam11"/>
    <w:uiPriority w:val="99"/>
    <w:rsid w:val="00EE1B49"/>
  </w:style>
  <w:style w:type="numbering" w:customStyle="1" w:styleId="ECHRA1StyleList1">
    <w:name w:val="ECHR_A1_Style_List1"/>
    <w:uiPriority w:val="99"/>
    <w:rsid w:val="00EE1B49"/>
  </w:style>
  <w:style w:type="numbering" w:customStyle="1" w:styleId="Brezseznama8">
    <w:name w:val="Brez seznama8"/>
    <w:next w:val="Brezseznama"/>
    <w:uiPriority w:val="99"/>
    <w:semiHidden/>
    <w:unhideWhenUsed/>
    <w:rsid w:val="00EE1B49"/>
  </w:style>
  <w:style w:type="paragraph" w:customStyle="1" w:styleId="NaslovTOC3">
    <w:name w:val="Naslov TOC3"/>
    <w:basedOn w:val="Naslov1"/>
    <w:next w:val="Navaden"/>
    <w:uiPriority w:val="39"/>
    <w:unhideWhenUsed/>
    <w:qFormat/>
    <w:rsid w:val="00EE1B49"/>
    <w:pPr>
      <w:outlineLvl w:val="9"/>
    </w:pPr>
    <w:rPr>
      <w:caps/>
      <w:sz w:val="32"/>
      <w:szCs w:val="32"/>
      <w:lang w:eastAsia="sl-SI"/>
    </w:rPr>
  </w:style>
  <w:style w:type="paragraph" w:customStyle="1" w:styleId="Kazalovsebine13">
    <w:name w:val="Kazalo vsebine 13"/>
    <w:basedOn w:val="Navaden"/>
    <w:next w:val="Navaden"/>
    <w:autoRedefine/>
    <w:uiPriority w:val="39"/>
    <w:unhideWhenUsed/>
    <w:rsid w:val="00EE1B49"/>
    <w:pPr>
      <w:tabs>
        <w:tab w:val="right" w:leader="dot" w:pos="9062"/>
      </w:tabs>
      <w:spacing w:after="100" w:line="259" w:lineRule="auto"/>
    </w:pPr>
    <w:rPr>
      <w:noProof/>
      <w:sz w:val="20"/>
      <w:szCs w:val="20"/>
    </w:rPr>
  </w:style>
  <w:style w:type="table" w:customStyle="1" w:styleId="Tabelamrea3">
    <w:name w:val="Tabela – mreža3"/>
    <w:basedOn w:val="Navadnatabela"/>
    <w:next w:val="Tabelamrea"/>
    <w:uiPriority w:val="39"/>
    <w:rsid w:val="00EE1B49"/>
    <w:pPr>
      <w:spacing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zalovsebine83">
    <w:name w:val="Kazalo vsebine 83"/>
    <w:basedOn w:val="Navaden"/>
    <w:next w:val="Navaden"/>
    <w:autoRedefine/>
    <w:uiPriority w:val="39"/>
    <w:unhideWhenUsed/>
    <w:rsid w:val="00EE1B49"/>
    <w:pPr>
      <w:spacing w:after="100" w:line="259" w:lineRule="auto"/>
      <w:ind w:left="1540"/>
    </w:pPr>
    <w:rPr>
      <w:rFonts w:eastAsia="Times New Roman" w:cs="Times New Roman"/>
      <w:szCs w:val="22"/>
      <w:lang w:eastAsia="sl-SI"/>
    </w:rPr>
  </w:style>
  <w:style w:type="paragraph" w:customStyle="1" w:styleId="Kazalovsebine93">
    <w:name w:val="Kazalo vsebine 93"/>
    <w:basedOn w:val="Navaden"/>
    <w:next w:val="Navaden"/>
    <w:autoRedefine/>
    <w:uiPriority w:val="39"/>
    <w:unhideWhenUsed/>
    <w:rsid w:val="00EE1B49"/>
    <w:pPr>
      <w:spacing w:after="100" w:line="259" w:lineRule="auto"/>
      <w:ind w:left="1760"/>
    </w:pPr>
    <w:rPr>
      <w:rFonts w:eastAsia="Times New Roman" w:cs="Times New Roman"/>
      <w:szCs w:val="22"/>
      <w:lang w:eastAsia="sl-SI"/>
    </w:rPr>
  </w:style>
  <w:style w:type="table" w:customStyle="1" w:styleId="NormalTable02">
    <w:name w:val="Normal Table02"/>
    <w:uiPriority w:val="2"/>
    <w:semiHidden/>
    <w:unhideWhenUsed/>
    <w:qFormat/>
    <w:rsid w:val="00EE1B49"/>
    <w:pPr>
      <w:widowControl w:val="0"/>
      <w:spacing w:line="240" w:lineRule="auto"/>
      <w:jc w:val="both"/>
    </w:pPr>
    <w:rPr>
      <w:rFonts w:cs="Times New Roman"/>
      <w:sz w:val="22"/>
      <w:szCs w:val="22"/>
      <w:lang w:val="en-US"/>
    </w:rPr>
    <w:tblPr>
      <w:tblInd w:w="0" w:type="dxa"/>
      <w:tblCellMar>
        <w:top w:w="0" w:type="dxa"/>
        <w:left w:w="0" w:type="dxa"/>
        <w:bottom w:w="0" w:type="dxa"/>
        <w:right w:w="0" w:type="dxa"/>
      </w:tblCellMar>
    </w:tblPr>
  </w:style>
  <w:style w:type="numbering" w:customStyle="1" w:styleId="Brezseznama14">
    <w:name w:val="Brez seznama14"/>
    <w:next w:val="Brezseznama"/>
    <w:uiPriority w:val="99"/>
    <w:semiHidden/>
    <w:unhideWhenUsed/>
    <w:rsid w:val="00EE1B49"/>
  </w:style>
  <w:style w:type="numbering" w:customStyle="1" w:styleId="Brezseznama23">
    <w:name w:val="Brez seznama23"/>
    <w:next w:val="Brezseznama"/>
    <w:uiPriority w:val="99"/>
    <w:semiHidden/>
    <w:unhideWhenUsed/>
    <w:rsid w:val="00EE1B49"/>
  </w:style>
  <w:style w:type="numbering" w:customStyle="1" w:styleId="Brezseznama33">
    <w:name w:val="Brez seznama33"/>
    <w:next w:val="Brezseznama"/>
    <w:uiPriority w:val="99"/>
    <w:semiHidden/>
    <w:unhideWhenUsed/>
    <w:rsid w:val="00EE1B49"/>
  </w:style>
  <w:style w:type="numbering" w:customStyle="1" w:styleId="Brezseznama113">
    <w:name w:val="Brez seznama113"/>
    <w:next w:val="Brezseznama"/>
    <w:uiPriority w:val="99"/>
    <w:semiHidden/>
    <w:unhideWhenUsed/>
    <w:rsid w:val="00EE1B49"/>
  </w:style>
  <w:style w:type="table" w:customStyle="1" w:styleId="Tabelabarvniseznam6poudarek13">
    <w:name w:val="Tabela – barvni seznam 6 (poudarek 1)3"/>
    <w:basedOn w:val="Navadnatabela"/>
    <w:next w:val="Tabelabarvniseznam6poudarek1"/>
    <w:uiPriority w:val="51"/>
    <w:rsid w:val="00EE1B49"/>
    <w:pPr>
      <w:spacing w:line="240" w:lineRule="auto"/>
    </w:pPr>
    <w:rPr>
      <w:rFonts w:ascii="Times New Roman" w:eastAsia="Times New Roman" w:hAnsi="Times New Roman" w:cs="Times New Roman"/>
      <w:color w:val="2F5496"/>
      <w:sz w:val="20"/>
      <w:szCs w:val="20"/>
      <w:lang w:eastAsia="sl-SI"/>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rezseznama42">
    <w:name w:val="Brez seznama42"/>
    <w:next w:val="Brezseznama"/>
    <w:uiPriority w:val="99"/>
    <w:semiHidden/>
    <w:unhideWhenUsed/>
    <w:rsid w:val="00EE1B49"/>
  </w:style>
  <w:style w:type="numbering" w:customStyle="1" w:styleId="Brezseznama122">
    <w:name w:val="Brez seznama122"/>
    <w:next w:val="Brezseznama"/>
    <w:uiPriority w:val="99"/>
    <w:semiHidden/>
    <w:unhideWhenUsed/>
    <w:rsid w:val="00EE1B49"/>
  </w:style>
  <w:style w:type="numbering" w:customStyle="1" w:styleId="Brezseznama212">
    <w:name w:val="Brez seznama212"/>
    <w:next w:val="Brezseznama"/>
    <w:uiPriority w:val="99"/>
    <w:semiHidden/>
    <w:unhideWhenUsed/>
    <w:rsid w:val="00EE1B49"/>
  </w:style>
  <w:style w:type="numbering" w:customStyle="1" w:styleId="Brezseznama312">
    <w:name w:val="Brez seznama312"/>
    <w:next w:val="Brezseznama"/>
    <w:uiPriority w:val="99"/>
    <w:semiHidden/>
    <w:unhideWhenUsed/>
    <w:rsid w:val="00EE1B49"/>
  </w:style>
  <w:style w:type="numbering" w:customStyle="1" w:styleId="Brezseznama52">
    <w:name w:val="Brez seznama52"/>
    <w:next w:val="Brezseznama"/>
    <w:uiPriority w:val="99"/>
    <w:semiHidden/>
    <w:unhideWhenUsed/>
    <w:rsid w:val="00EE1B49"/>
  </w:style>
  <w:style w:type="numbering" w:customStyle="1" w:styleId="Brezseznama62">
    <w:name w:val="Brez seznama62"/>
    <w:next w:val="Brezseznama"/>
    <w:uiPriority w:val="99"/>
    <w:semiHidden/>
    <w:unhideWhenUsed/>
    <w:rsid w:val="00EE1B49"/>
  </w:style>
  <w:style w:type="table" w:customStyle="1" w:styleId="TableNormal2">
    <w:name w:val="Table Normal2"/>
    <w:uiPriority w:val="2"/>
    <w:semiHidden/>
    <w:unhideWhenUsed/>
    <w:qFormat/>
    <w:rsid w:val="00EE1B49"/>
    <w:pPr>
      <w:widowControl w:val="0"/>
      <w:spacing w:line="240" w:lineRule="auto"/>
    </w:pPr>
    <w:rPr>
      <w:rFonts w:cs="Times New Roman"/>
      <w:sz w:val="22"/>
      <w:szCs w:val="22"/>
      <w:lang w:val="en-US"/>
    </w:rPr>
    <w:tblPr>
      <w:tblInd w:w="0" w:type="dxa"/>
      <w:tblCellMar>
        <w:top w:w="0" w:type="dxa"/>
        <w:left w:w="0" w:type="dxa"/>
        <w:bottom w:w="0" w:type="dxa"/>
        <w:right w:w="0" w:type="dxa"/>
      </w:tblCellMar>
    </w:tblPr>
  </w:style>
  <w:style w:type="numbering" w:customStyle="1" w:styleId="Trenutniseznam12">
    <w:name w:val="Trenutni seznam12"/>
    <w:uiPriority w:val="99"/>
    <w:rsid w:val="00EE1B49"/>
    <w:pPr>
      <w:numPr>
        <w:numId w:val="26"/>
      </w:numPr>
    </w:pPr>
  </w:style>
  <w:style w:type="numbering" w:customStyle="1" w:styleId="ECHRA1StyleList2">
    <w:name w:val="ECHR_A1_Style_List2"/>
    <w:uiPriority w:val="99"/>
    <w:rsid w:val="00EE1B49"/>
    <w:pPr>
      <w:numPr>
        <w:numId w:val="96"/>
      </w:numPr>
    </w:pPr>
  </w:style>
  <w:style w:type="numbering" w:customStyle="1" w:styleId="Brezseznama9">
    <w:name w:val="Brez seznama9"/>
    <w:next w:val="Brezseznama"/>
    <w:uiPriority w:val="99"/>
    <w:semiHidden/>
    <w:unhideWhenUsed/>
    <w:rsid w:val="00EE1B49"/>
  </w:style>
  <w:style w:type="paragraph" w:customStyle="1" w:styleId="NaslovTOC4">
    <w:name w:val="Naslov TOC4"/>
    <w:basedOn w:val="Naslov1"/>
    <w:next w:val="Navaden"/>
    <w:uiPriority w:val="39"/>
    <w:unhideWhenUsed/>
    <w:qFormat/>
    <w:rsid w:val="00EE1B49"/>
    <w:pPr>
      <w:outlineLvl w:val="9"/>
    </w:pPr>
    <w:rPr>
      <w:caps/>
      <w:sz w:val="32"/>
      <w:szCs w:val="32"/>
      <w:lang w:eastAsia="sl-SI"/>
    </w:rPr>
  </w:style>
  <w:style w:type="paragraph" w:customStyle="1" w:styleId="Kazalovsebine14">
    <w:name w:val="Kazalo vsebine 14"/>
    <w:basedOn w:val="Navaden"/>
    <w:next w:val="Navaden"/>
    <w:autoRedefine/>
    <w:uiPriority w:val="39"/>
    <w:unhideWhenUsed/>
    <w:rsid w:val="00EE1B49"/>
    <w:pPr>
      <w:tabs>
        <w:tab w:val="right" w:leader="dot" w:pos="9062"/>
      </w:tabs>
      <w:spacing w:after="100" w:line="259" w:lineRule="auto"/>
    </w:pPr>
    <w:rPr>
      <w:noProof/>
      <w:sz w:val="20"/>
      <w:szCs w:val="20"/>
    </w:rPr>
  </w:style>
  <w:style w:type="table" w:customStyle="1" w:styleId="Tabelamrea4">
    <w:name w:val="Tabela – mreža4"/>
    <w:basedOn w:val="Navadnatabela"/>
    <w:next w:val="Tabelamrea"/>
    <w:uiPriority w:val="39"/>
    <w:rsid w:val="00EE1B49"/>
    <w:pPr>
      <w:spacing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zalovsebine84">
    <w:name w:val="Kazalo vsebine 84"/>
    <w:basedOn w:val="Navaden"/>
    <w:next w:val="Navaden"/>
    <w:autoRedefine/>
    <w:uiPriority w:val="39"/>
    <w:unhideWhenUsed/>
    <w:rsid w:val="00EE1B49"/>
    <w:pPr>
      <w:spacing w:after="100" w:line="259" w:lineRule="auto"/>
      <w:ind w:left="1540"/>
    </w:pPr>
    <w:rPr>
      <w:rFonts w:eastAsia="Times New Roman" w:cs="Times New Roman"/>
      <w:szCs w:val="22"/>
      <w:lang w:eastAsia="sl-SI"/>
    </w:rPr>
  </w:style>
  <w:style w:type="paragraph" w:customStyle="1" w:styleId="Kazalovsebine94">
    <w:name w:val="Kazalo vsebine 94"/>
    <w:basedOn w:val="Navaden"/>
    <w:next w:val="Navaden"/>
    <w:autoRedefine/>
    <w:uiPriority w:val="39"/>
    <w:unhideWhenUsed/>
    <w:rsid w:val="00EE1B49"/>
    <w:pPr>
      <w:spacing w:after="100" w:line="259" w:lineRule="auto"/>
      <w:ind w:left="1760"/>
    </w:pPr>
    <w:rPr>
      <w:rFonts w:eastAsia="Times New Roman" w:cs="Times New Roman"/>
      <w:szCs w:val="22"/>
      <w:lang w:eastAsia="sl-SI"/>
    </w:rPr>
  </w:style>
  <w:style w:type="table" w:customStyle="1" w:styleId="NormalTable03">
    <w:name w:val="Normal Table03"/>
    <w:uiPriority w:val="2"/>
    <w:semiHidden/>
    <w:unhideWhenUsed/>
    <w:qFormat/>
    <w:rsid w:val="00EE1B49"/>
    <w:pPr>
      <w:widowControl w:val="0"/>
      <w:spacing w:line="240" w:lineRule="auto"/>
      <w:jc w:val="both"/>
    </w:pPr>
    <w:rPr>
      <w:rFonts w:cs="Times New Roman"/>
      <w:sz w:val="22"/>
      <w:szCs w:val="22"/>
      <w:lang w:val="en-US"/>
    </w:rPr>
    <w:tblPr>
      <w:tblInd w:w="0" w:type="dxa"/>
      <w:tblCellMar>
        <w:top w:w="0" w:type="dxa"/>
        <w:left w:w="0" w:type="dxa"/>
        <w:bottom w:w="0" w:type="dxa"/>
        <w:right w:w="0" w:type="dxa"/>
      </w:tblCellMar>
    </w:tblPr>
  </w:style>
  <w:style w:type="numbering" w:customStyle="1" w:styleId="Brezseznama15">
    <w:name w:val="Brez seznama15"/>
    <w:next w:val="Brezseznama"/>
    <w:uiPriority w:val="99"/>
    <w:semiHidden/>
    <w:unhideWhenUsed/>
    <w:rsid w:val="00EE1B49"/>
  </w:style>
  <w:style w:type="numbering" w:customStyle="1" w:styleId="Brezseznama24">
    <w:name w:val="Brez seznama24"/>
    <w:next w:val="Brezseznama"/>
    <w:uiPriority w:val="99"/>
    <w:semiHidden/>
    <w:unhideWhenUsed/>
    <w:rsid w:val="00EE1B49"/>
  </w:style>
  <w:style w:type="numbering" w:customStyle="1" w:styleId="Brezseznama34">
    <w:name w:val="Brez seznama34"/>
    <w:next w:val="Brezseznama"/>
    <w:uiPriority w:val="99"/>
    <w:semiHidden/>
    <w:unhideWhenUsed/>
    <w:rsid w:val="00EE1B49"/>
  </w:style>
  <w:style w:type="numbering" w:customStyle="1" w:styleId="Brezseznama114">
    <w:name w:val="Brez seznama114"/>
    <w:next w:val="Brezseznama"/>
    <w:uiPriority w:val="99"/>
    <w:semiHidden/>
    <w:unhideWhenUsed/>
    <w:rsid w:val="00EE1B49"/>
  </w:style>
  <w:style w:type="table" w:customStyle="1" w:styleId="Tabelabarvniseznam6poudarek14">
    <w:name w:val="Tabela – barvni seznam 6 (poudarek 1)4"/>
    <w:basedOn w:val="Navadnatabela"/>
    <w:next w:val="Tabelabarvniseznam6poudarek1"/>
    <w:uiPriority w:val="51"/>
    <w:rsid w:val="00EE1B49"/>
    <w:pPr>
      <w:spacing w:line="240" w:lineRule="auto"/>
    </w:pPr>
    <w:rPr>
      <w:rFonts w:ascii="Times New Roman" w:eastAsia="Times New Roman" w:hAnsi="Times New Roman" w:cs="Times New Roman"/>
      <w:color w:val="2F5496"/>
      <w:sz w:val="20"/>
      <w:szCs w:val="20"/>
      <w:lang w:eastAsia="sl-SI"/>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rezseznama43">
    <w:name w:val="Brez seznama43"/>
    <w:next w:val="Brezseznama"/>
    <w:uiPriority w:val="99"/>
    <w:semiHidden/>
    <w:unhideWhenUsed/>
    <w:rsid w:val="00EE1B49"/>
  </w:style>
  <w:style w:type="numbering" w:customStyle="1" w:styleId="Brezseznama123">
    <w:name w:val="Brez seznama123"/>
    <w:next w:val="Brezseznama"/>
    <w:uiPriority w:val="99"/>
    <w:semiHidden/>
    <w:unhideWhenUsed/>
    <w:rsid w:val="00EE1B49"/>
  </w:style>
  <w:style w:type="numbering" w:customStyle="1" w:styleId="Brezseznama213">
    <w:name w:val="Brez seznama213"/>
    <w:next w:val="Brezseznama"/>
    <w:uiPriority w:val="99"/>
    <w:semiHidden/>
    <w:unhideWhenUsed/>
    <w:rsid w:val="00EE1B49"/>
  </w:style>
  <w:style w:type="numbering" w:customStyle="1" w:styleId="Brezseznama313">
    <w:name w:val="Brez seznama313"/>
    <w:next w:val="Brezseznama"/>
    <w:uiPriority w:val="99"/>
    <w:semiHidden/>
    <w:unhideWhenUsed/>
    <w:rsid w:val="00EE1B49"/>
  </w:style>
  <w:style w:type="numbering" w:customStyle="1" w:styleId="Brezseznama53">
    <w:name w:val="Brez seznama53"/>
    <w:next w:val="Brezseznama"/>
    <w:uiPriority w:val="99"/>
    <w:semiHidden/>
    <w:unhideWhenUsed/>
    <w:rsid w:val="00EE1B49"/>
  </w:style>
  <w:style w:type="numbering" w:customStyle="1" w:styleId="Brezseznama63">
    <w:name w:val="Brez seznama63"/>
    <w:next w:val="Brezseznama"/>
    <w:uiPriority w:val="99"/>
    <w:semiHidden/>
    <w:unhideWhenUsed/>
    <w:rsid w:val="00EE1B49"/>
  </w:style>
  <w:style w:type="table" w:customStyle="1" w:styleId="TableNormal3">
    <w:name w:val="Table Normal3"/>
    <w:uiPriority w:val="2"/>
    <w:semiHidden/>
    <w:unhideWhenUsed/>
    <w:qFormat/>
    <w:rsid w:val="00EE1B49"/>
    <w:pPr>
      <w:widowControl w:val="0"/>
      <w:spacing w:line="240" w:lineRule="auto"/>
    </w:pPr>
    <w:rPr>
      <w:rFonts w:cs="Times New Roman"/>
      <w:sz w:val="22"/>
      <w:szCs w:val="22"/>
      <w:lang w:val="en-US"/>
    </w:rPr>
    <w:tblPr>
      <w:tblInd w:w="0" w:type="dxa"/>
      <w:tblCellMar>
        <w:top w:w="0" w:type="dxa"/>
        <w:left w:w="0" w:type="dxa"/>
        <w:bottom w:w="0" w:type="dxa"/>
        <w:right w:w="0" w:type="dxa"/>
      </w:tblCellMar>
    </w:tblPr>
  </w:style>
  <w:style w:type="numbering" w:customStyle="1" w:styleId="Trenutniseznam13">
    <w:name w:val="Trenutni seznam13"/>
    <w:uiPriority w:val="99"/>
    <w:rsid w:val="00EE1B49"/>
    <w:pPr>
      <w:numPr>
        <w:numId w:val="5"/>
      </w:numPr>
    </w:pPr>
  </w:style>
  <w:style w:type="numbering" w:customStyle="1" w:styleId="ECHRA1StyleList3">
    <w:name w:val="ECHR_A1_Style_List3"/>
    <w:uiPriority w:val="99"/>
    <w:rsid w:val="00EE1B49"/>
    <w:pPr>
      <w:numPr>
        <w:numId w:val="28"/>
      </w:numPr>
    </w:pPr>
  </w:style>
  <w:style w:type="character" w:customStyle="1" w:styleId="Heading21">
    <w:name w:val="Heading #2|1_"/>
    <w:basedOn w:val="Privzetapisavaodstavka"/>
    <w:link w:val="Heading210"/>
    <w:uiPriority w:val="99"/>
    <w:rsid w:val="00EE1B49"/>
    <w:rPr>
      <w:rFonts w:ascii="Arial" w:hAnsi="Arial" w:cs="Arial"/>
      <w:b/>
      <w:bCs/>
      <w:color w:val="000000"/>
      <w:sz w:val="20"/>
      <w:szCs w:val="20"/>
    </w:rPr>
  </w:style>
  <w:style w:type="paragraph" w:customStyle="1" w:styleId="Heading210">
    <w:name w:val="Heading #2|1"/>
    <w:basedOn w:val="Navaden"/>
    <w:link w:val="Heading21"/>
    <w:uiPriority w:val="99"/>
    <w:rsid w:val="00EE1B49"/>
    <w:pPr>
      <w:widowControl w:val="0"/>
      <w:spacing w:after="320" w:line="350" w:lineRule="auto"/>
      <w:ind w:left="360"/>
      <w:outlineLvl w:val="1"/>
    </w:pPr>
    <w:rPr>
      <w:rFonts w:ascii="Arial" w:hAnsi="Arial" w:cs="Arial"/>
      <w:b/>
      <w:bCs/>
      <w:color w:val="000000"/>
      <w:sz w:val="20"/>
      <w:szCs w:val="20"/>
    </w:rPr>
  </w:style>
  <w:style w:type="paragraph" w:customStyle="1" w:styleId="Podnaslov1">
    <w:name w:val="Podnaslov1"/>
    <w:basedOn w:val="Navaden"/>
    <w:next w:val="Navaden"/>
    <w:uiPriority w:val="11"/>
    <w:qFormat/>
    <w:rsid w:val="00EE1B49"/>
    <w:pPr>
      <w:numPr>
        <w:ilvl w:val="1"/>
      </w:numPr>
      <w:spacing w:after="160" w:line="259" w:lineRule="auto"/>
    </w:pPr>
    <w:rPr>
      <w:rFonts w:eastAsia="Times New Roman" w:cs="Times New Roman"/>
      <w:color w:val="595959"/>
      <w:spacing w:val="15"/>
      <w:sz w:val="28"/>
      <w:szCs w:val="28"/>
    </w:rPr>
  </w:style>
  <w:style w:type="paragraph" w:customStyle="1" w:styleId="Citat1">
    <w:name w:val="Citat1"/>
    <w:basedOn w:val="Navaden"/>
    <w:next w:val="Navaden"/>
    <w:uiPriority w:val="29"/>
    <w:qFormat/>
    <w:rsid w:val="00EE1B49"/>
    <w:pPr>
      <w:spacing w:before="160" w:after="160" w:line="259" w:lineRule="auto"/>
      <w:jc w:val="center"/>
    </w:pPr>
    <w:rPr>
      <w:rFonts w:cs="Times New Roman"/>
      <w:i/>
      <w:iCs/>
      <w:color w:val="404040"/>
      <w:szCs w:val="22"/>
    </w:rPr>
  </w:style>
  <w:style w:type="character" w:customStyle="1" w:styleId="Intenzivenpoudarek1">
    <w:name w:val="Intenziven poudarek1"/>
    <w:basedOn w:val="Privzetapisavaodstavka"/>
    <w:uiPriority w:val="21"/>
    <w:qFormat/>
    <w:rsid w:val="00EE1B49"/>
    <w:rPr>
      <w:i/>
      <w:iCs/>
      <w:color w:val="0F4761"/>
    </w:rPr>
  </w:style>
  <w:style w:type="paragraph" w:customStyle="1" w:styleId="Intenzivencitat1">
    <w:name w:val="Intenziven citat1"/>
    <w:basedOn w:val="Navaden"/>
    <w:next w:val="Navaden"/>
    <w:uiPriority w:val="30"/>
    <w:qFormat/>
    <w:rsid w:val="00EE1B49"/>
    <w:pPr>
      <w:pBdr>
        <w:top w:val="single" w:sz="4" w:space="10" w:color="0F4761"/>
        <w:bottom w:val="single" w:sz="4" w:space="10" w:color="0F4761"/>
      </w:pBdr>
      <w:spacing w:before="360" w:after="360" w:line="259" w:lineRule="auto"/>
      <w:ind w:left="864" w:right="864"/>
      <w:jc w:val="center"/>
    </w:pPr>
    <w:rPr>
      <w:rFonts w:cs="Times New Roman"/>
      <w:i/>
      <w:iCs/>
      <w:color w:val="0F4761"/>
      <w:szCs w:val="22"/>
    </w:rPr>
  </w:style>
  <w:style w:type="character" w:customStyle="1" w:styleId="Intenzivensklic1">
    <w:name w:val="Intenziven sklic1"/>
    <w:basedOn w:val="Privzetapisavaodstavka"/>
    <w:uiPriority w:val="32"/>
    <w:qFormat/>
    <w:rsid w:val="00EE1B49"/>
    <w:rPr>
      <w:b/>
      <w:bCs/>
      <w:smallCaps/>
      <w:color w:val="0F4761"/>
      <w:spacing w:val="5"/>
    </w:rPr>
  </w:style>
  <w:style w:type="numbering" w:customStyle="1" w:styleId="ECHRA1StyleList11">
    <w:name w:val="ECHR_A1_Style_List11"/>
    <w:uiPriority w:val="99"/>
    <w:rsid w:val="00EE1B49"/>
    <w:pPr>
      <w:numPr>
        <w:numId w:val="34"/>
      </w:numPr>
    </w:pPr>
  </w:style>
  <w:style w:type="character" w:customStyle="1" w:styleId="PodnaslovZnak1">
    <w:name w:val="Podnaslov Znak1"/>
    <w:basedOn w:val="Privzetapisavaodstavka"/>
    <w:uiPriority w:val="11"/>
    <w:rsid w:val="00EE1B49"/>
    <w:rPr>
      <w:rFonts w:eastAsia="Times New Roman"/>
      <w:color w:val="5A5A5A"/>
      <w:spacing w:val="15"/>
      <w:kern w:val="0"/>
      <w14:ligatures w14:val="none"/>
    </w:rPr>
  </w:style>
  <w:style w:type="character" w:customStyle="1" w:styleId="CitatZnak1">
    <w:name w:val="Citat Znak1"/>
    <w:basedOn w:val="Privzetapisavaodstavka"/>
    <w:uiPriority w:val="29"/>
    <w:rsid w:val="00EE1B49"/>
    <w:rPr>
      <w:i/>
      <w:iCs/>
      <w:color w:val="404040"/>
      <w:kern w:val="0"/>
      <w:sz w:val="24"/>
      <w14:ligatures w14:val="none"/>
    </w:rPr>
  </w:style>
  <w:style w:type="character" w:customStyle="1" w:styleId="IntenzivencitatZnak1">
    <w:name w:val="Intenziven citat Znak1"/>
    <w:basedOn w:val="Privzetapisavaodstavka"/>
    <w:uiPriority w:val="30"/>
    <w:rsid w:val="00EE1B49"/>
    <w:rPr>
      <w:i/>
      <w:iCs/>
      <w:color w:val="4472C4"/>
      <w:kern w:val="0"/>
      <w:sz w:val="24"/>
      <w14:ligatures w14:val="none"/>
    </w:rPr>
  </w:style>
  <w:style w:type="paragraph" w:styleId="NaslovTOC">
    <w:name w:val="TOC Heading"/>
    <w:basedOn w:val="Naslov1"/>
    <w:next w:val="Navaden"/>
    <w:uiPriority w:val="39"/>
    <w:unhideWhenUsed/>
    <w:qFormat/>
    <w:rsid w:val="00D51C89"/>
    <w:pPr>
      <w:numPr>
        <w:numId w:val="0"/>
      </w:numPr>
      <w:spacing w:before="240" w:line="259" w:lineRule="auto"/>
      <w:jc w:val="left"/>
      <w:outlineLvl w:val="9"/>
    </w:pPr>
    <w:rPr>
      <w:rFonts w:asciiTheme="majorHAnsi" w:hAnsiTheme="majorHAnsi" w:cstheme="majorBidi"/>
      <w:b w:val="0"/>
      <w:bCs w:val="0"/>
      <w:color w:val="0F4761" w:themeColor="accent1" w:themeShade="BF"/>
      <w:sz w:val="32"/>
      <w:szCs w:val="32"/>
      <w:lang w:eastAsia="sl-SI"/>
    </w:rPr>
  </w:style>
  <w:style w:type="paragraph" w:styleId="Kazalovsebine1">
    <w:name w:val="toc 1"/>
    <w:basedOn w:val="Navaden"/>
    <w:next w:val="Navaden"/>
    <w:autoRedefine/>
    <w:uiPriority w:val="39"/>
    <w:unhideWhenUsed/>
    <w:rsid w:val="00E20DB6"/>
    <w:pPr>
      <w:tabs>
        <w:tab w:val="right" w:leader="dot" w:pos="9072"/>
      </w:tabs>
      <w:spacing w:after="100" w:line="259" w:lineRule="auto"/>
    </w:pPr>
    <w:rPr>
      <w:rFonts w:eastAsiaTheme="minorEastAsia" w:cs="Times New Roman"/>
      <w:sz w:val="20"/>
      <w:szCs w:val="22"/>
      <w:lang w:eastAsia="sl-SI"/>
    </w:rPr>
  </w:style>
  <w:style w:type="paragraph" w:styleId="Kazalovsebine8">
    <w:name w:val="toc 8"/>
    <w:basedOn w:val="Navaden"/>
    <w:next w:val="Navaden"/>
    <w:autoRedefine/>
    <w:uiPriority w:val="39"/>
    <w:unhideWhenUsed/>
    <w:rsid w:val="005B51BC"/>
    <w:pPr>
      <w:spacing w:after="100" w:line="278" w:lineRule="auto"/>
      <w:ind w:left="1680"/>
    </w:pPr>
    <w:rPr>
      <w:rFonts w:asciiTheme="minorHAnsi" w:eastAsiaTheme="minorEastAsia" w:hAnsiTheme="minorHAnsi" w:cstheme="minorBidi"/>
      <w:kern w:val="2"/>
      <w:lang w:eastAsia="sl-SI"/>
      <w14:ligatures w14:val="standardContextual"/>
    </w:rPr>
  </w:style>
  <w:style w:type="paragraph" w:styleId="Kazalovsebine9">
    <w:name w:val="toc 9"/>
    <w:basedOn w:val="Navaden"/>
    <w:next w:val="Navaden"/>
    <w:autoRedefine/>
    <w:uiPriority w:val="39"/>
    <w:unhideWhenUsed/>
    <w:rsid w:val="005B51BC"/>
    <w:pPr>
      <w:spacing w:after="100" w:line="278" w:lineRule="auto"/>
      <w:ind w:left="1920"/>
    </w:pPr>
    <w:rPr>
      <w:rFonts w:asciiTheme="minorHAnsi" w:eastAsiaTheme="minorEastAsia" w:hAnsiTheme="minorHAnsi" w:cstheme="minorBidi"/>
      <w:kern w:val="2"/>
      <w:lang w:eastAsia="sl-S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0-01-2762" TargetMode="External"/><Relationship Id="rId18" Type="http://schemas.openxmlformats.org/officeDocument/2006/relationships/hyperlink" Target="http://www.uradni-list.si/1/objava.jsp?sop=2014-01-2548" TargetMode="External"/><Relationship Id="rId26" Type="http://schemas.openxmlformats.org/officeDocument/2006/relationships/hyperlink" Target="http://www.uradni-list.si/1/objava.jsp?sop=2022-01-2603" TargetMode="External"/><Relationship Id="rId39" Type="http://schemas.openxmlformats.org/officeDocument/2006/relationships/image" Target="media/image7.jpeg"/><Relationship Id="rId21" Type="http://schemas.openxmlformats.org/officeDocument/2006/relationships/hyperlink" Target="http://www.uradni-list.si/1/objava.jsp?sop=2018-01-0458" TargetMode="External"/><Relationship Id="rId34" Type="http://schemas.openxmlformats.org/officeDocument/2006/relationships/chart" Target="charts/chart4.xml"/><Relationship Id="rId42" Type="http://schemas.openxmlformats.org/officeDocument/2006/relationships/image" Target="media/image10.png"/><Relationship Id="rId47" Type="http://schemas.openxmlformats.org/officeDocument/2006/relationships/hyperlink" Target="http://www.pisrs.si/Pis.web/pregledPredpisa?id=URED6941"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6.png"/><Relationship Id="rId84" Type="http://schemas.openxmlformats.org/officeDocument/2006/relationships/image" Target="media/image42.png"/><Relationship Id="rId89" Type="http://schemas.openxmlformats.org/officeDocument/2006/relationships/hyperlink" Target="https://hudoc.echr.coe.int/eng%23%7B%22appno%22:%5b%22463/03%22%5d%7D"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radni-list.si/1/objava.jsp?sop=2014-01-1839" TargetMode="External"/><Relationship Id="rId29" Type="http://schemas.openxmlformats.org/officeDocument/2006/relationships/image" Target="media/image3.png"/><Relationship Id="rId11" Type="http://schemas.openxmlformats.org/officeDocument/2006/relationships/hyperlink" Target="http://www.uradni-list.si/1/objava.jsp?sop=2008-01-1979" TargetMode="External"/><Relationship Id="rId24" Type="http://schemas.openxmlformats.org/officeDocument/2006/relationships/hyperlink" Target="http://www.uradni-list.si/1/objava.jsp?sop=2020-01-0553" TargetMode="External"/><Relationship Id="rId32" Type="http://schemas.openxmlformats.org/officeDocument/2006/relationships/chart" Target="charts/chart2.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cid:image004.png@01DC8258.91BEDD50"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hyperlink" Target="https://www.iusinfo.si/zakonodaja/Z0790DAC?HighlightQuery=zfppipp&amp;utm_source=IUS-INFO&amp;utm_medium=Home_Logiran&amp;utm_campaign=HomeSearch" TargetMode="External"/><Relationship Id="rId79" Type="http://schemas.openxmlformats.org/officeDocument/2006/relationships/image" Target="cid:image003.jpg@01DC91F5.719E3140" TargetMode="External"/><Relationship Id="rId87" Type="http://schemas.openxmlformats.org/officeDocument/2006/relationships/hyperlink" Target="https://hudoc.echr.coe.int/eng%23%7B%22appno%22:%5b%223461/08%22%5d%7D" TargetMode="Externa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0.png"/><Relationship Id="rId90" Type="http://schemas.openxmlformats.org/officeDocument/2006/relationships/footer" Target="footer2.xml"/><Relationship Id="rId19" Type="http://schemas.openxmlformats.org/officeDocument/2006/relationships/hyperlink" Target="http://www.uradni-list.si/1/objava.jsp?sop=2015-01-2226" TargetMode="External"/><Relationship Id="rId14" Type="http://schemas.openxmlformats.org/officeDocument/2006/relationships/hyperlink" Target="http://www.uradni-list.si/1/objava.jsp?sop=2011-01-1157" TargetMode="External"/><Relationship Id="rId22" Type="http://schemas.openxmlformats.org/officeDocument/2006/relationships/hyperlink" Target="http://www.uradni-list.si/1/objava.jsp?sop=2019-01-2439" TargetMode="External"/><Relationship Id="rId27" Type="http://schemas.openxmlformats.org/officeDocument/2006/relationships/hyperlink" Target="http://www.uradni-list.si/1/objava.jsp?sop=2023-01-4095" TargetMode="External"/><Relationship Id="rId30" Type="http://schemas.openxmlformats.org/officeDocument/2006/relationships/hyperlink" Target="https://intranet.dodvrs.sigov.si/index.php?eID=dumpFile&amp;t=f&amp;f=14176&amp;token=f9e5894bcecb450a47d98c533a116c1fc3c9c5f3" TargetMode="External"/><Relationship Id="rId35" Type="http://schemas.openxmlformats.org/officeDocument/2006/relationships/chart" Target="charts/chart5.xml"/><Relationship Id="rId43" Type="http://schemas.openxmlformats.org/officeDocument/2006/relationships/image" Target="cid:image003.png@01DC8258.91BEDD50" TargetMode="External"/><Relationship Id="rId48" Type="http://schemas.openxmlformats.org/officeDocument/2006/relationships/footer" Target="footer1.xml"/><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s://www.iusinfo.si/zakonodaja/Z19265BT" TargetMode="External"/><Relationship Id="rId80" Type="http://schemas.openxmlformats.org/officeDocument/2006/relationships/image" Target="media/image39.jpeg"/><Relationship Id="rId85" Type="http://schemas.openxmlformats.org/officeDocument/2006/relationships/hyperlink" Target="https://hudoc.echr.coe.int/eng" TargetMode="External"/><Relationship Id="rId3" Type="http://schemas.openxmlformats.org/officeDocument/2006/relationships/styles" Target="styles.xml"/><Relationship Id="rId12" Type="http://schemas.openxmlformats.org/officeDocument/2006/relationships/hyperlink" Target="http://www.uradni-list.si/1/objava.jsp?sop=2009-01-1187" TargetMode="External"/><Relationship Id="rId17" Type="http://schemas.openxmlformats.org/officeDocument/2006/relationships/hyperlink" Target="http://www.uradni-list.si/1/objava.jsp?sop=2014-01-2342" TargetMode="External"/><Relationship Id="rId25" Type="http://schemas.openxmlformats.org/officeDocument/2006/relationships/hyperlink" Target="http://www.uradni-list.si/1/objava.jsp?sop=2021-01-0718" TargetMode="External"/><Relationship Id="rId33" Type="http://schemas.openxmlformats.org/officeDocument/2006/relationships/chart" Target="charts/chart3.xml"/><Relationship Id="rId38" Type="http://schemas.openxmlformats.org/officeDocument/2006/relationships/image" Target="media/image6.jpeg"/><Relationship Id="rId46" Type="http://schemas.openxmlformats.org/officeDocument/2006/relationships/hyperlink" Target="http://www.pisrs.si/Pis.web/pregledPredpisa?id=ZAKO3336"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www.uradni-list.si/1/objava.jsp?sop=2015-01-2981" TargetMode="External"/><Relationship Id="rId41" Type="http://schemas.openxmlformats.org/officeDocument/2006/relationships/image" Target="media/image9.jpe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yperlink" Target="https://www.iusinfo.si/zakonodaja/rs-16-613-2019" TargetMode="External"/><Relationship Id="rId83" Type="http://schemas.openxmlformats.org/officeDocument/2006/relationships/image" Target="media/image41.png"/><Relationship Id="rId88" Type="http://schemas.openxmlformats.org/officeDocument/2006/relationships/hyperlink" Target="https://hudoc.echr.coe.int/eng%23%7B%22appno%22:%5b%2265020/13%22%5d%7D"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3-01-0574" TargetMode="External"/><Relationship Id="rId23" Type="http://schemas.openxmlformats.org/officeDocument/2006/relationships/hyperlink" Target="http://www.uradni-list.si/1/objava.jsp?sop=2019-01-2928" TargetMode="External"/><Relationship Id="rId28" Type="http://schemas.openxmlformats.org/officeDocument/2006/relationships/image" Target="media/image2.png"/><Relationship Id="rId36" Type="http://schemas.openxmlformats.org/officeDocument/2006/relationships/image" Target="media/image4.jpeg"/><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hyperlink" Target="http://www.uradni-list.si/1/objava.jsp?sop=2008-01-1524" TargetMode="External"/><Relationship Id="rId31" Type="http://schemas.openxmlformats.org/officeDocument/2006/relationships/chart" Target="charts/chart1.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5.png"/><Relationship Id="rId78" Type="http://schemas.openxmlformats.org/officeDocument/2006/relationships/image" Target="media/image38.jpeg"/><Relationship Id="rId81" Type="http://schemas.openxmlformats.org/officeDocument/2006/relationships/image" Target="cid:image001.jpg@01DC91F7.1DD35110" TargetMode="External"/><Relationship Id="rId86" Type="http://schemas.openxmlformats.org/officeDocument/2006/relationships/hyperlink" Target="https://hudoc.echr.coe.int/eng" TargetMode="External"/><Relationship Id="rId4" Type="http://schemas.openxmlformats.org/officeDocument/2006/relationships/settings" Target="settings.xml"/><Relationship Id="rId9" Type="http://schemas.openxmlformats.org/officeDocument/2006/relationships/hyperlink" Target="http://www.uradni-list.si/1/objava.jsp?sop=2007-01-459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c5nOubuK7M8" TargetMode="External"/><Relationship Id="rId2" Type="http://schemas.openxmlformats.org/officeDocument/2006/relationships/hyperlink" Target="https://www.youtube.com/watch?v=MB06T3JdCFI" TargetMode="External"/><Relationship Id="rId1" Type="http://schemas.openxmlformats.org/officeDocument/2006/relationships/hyperlink" Target="https://ds-rs.si/sl/novice/posvet-kaksnega-odvetnika-potrebuje-drzav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Struktura zaposlenih </a:t>
            </a:r>
            <a:r>
              <a:rPr lang="sl-SI" b="1"/>
              <a:t>na dan 31. 12. 2025</a:t>
            </a:r>
            <a:endParaRPr lang="en-US" b="1"/>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009664"/>
            </a:solidFill>
            <a:ln w="25400">
              <a:noFill/>
            </a:ln>
          </c:spPr>
          <c:invertIfNegative val="0"/>
          <c:cat>
            <c:strRef>
              <c:f>'Zaposleni po starosti-20'!$B$340:$B$345</c:f>
              <c:strCache>
                <c:ptCount val="6"/>
                <c:pt idx="0">
                  <c:v>VDO</c:v>
                </c:pt>
                <c:pt idx="1">
                  <c:v>DO</c:v>
                </c:pt>
                <c:pt idx="2">
                  <c:v>KDO</c:v>
                </c:pt>
                <c:pt idx="3">
                  <c:v>pravniki</c:v>
                </c:pt>
                <c:pt idx="4">
                  <c:v>skupaj pravniki (VDO, DO, KDO, pravniki)</c:v>
                </c:pt>
                <c:pt idx="5">
                  <c:v>ostali javni uslužbenci</c:v>
                </c:pt>
              </c:strCache>
            </c:strRef>
          </c:cat>
          <c:val>
            <c:numRef>
              <c:f>'Zaposleni po starosti-20'!$C$340:$C$345</c:f>
              <c:numCache>
                <c:formatCode>General</c:formatCode>
                <c:ptCount val="6"/>
                <c:pt idx="0">
                  <c:v>56</c:v>
                </c:pt>
                <c:pt idx="1">
                  <c:v>27</c:v>
                </c:pt>
                <c:pt idx="2">
                  <c:v>20</c:v>
                </c:pt>
                <c:pt idx="3">
                  <c:v>8</c:v>
                </c:pt>
                <c:pt idx="4">
                  <c:v>111</c:v>
                </c:pt>
                <c:pt idx="5">
                  <c:v>105</c:v>
                </c:pt>
              </c:numCache>
            </c:numRef>
          </c:val>
          <c:extLst>
            <c:ext xmlns:c16="http://schemas.microsoft.com/office/drawing/2014/chart" uri="{C3380CC4-5D6E-409C-BE32-E72D297353CC}">
              <c16:uniqueId val="{00000000-02C1-4709-A4B8-F59F8EEACF27}"/>
            </c:ext>
          </c:extLst>
        </c:ser>
        <c:dLbls>
          <c:showLegendKey val="0"/>
          <c:showVal val="0"/>
          <c:showCatName val="0"/>
          <c:showSerName val="0"/>
          <c:showPercent val="0"/>
          <c:showBubbleSize val="0"/>
        </c:dLbls>
        <c:gapWidth val="150"/>
        <c:shape val="box"/>
        <c:axId val="1506811488"/>
        <c:axId val="1"/>
        <c:axId val="0"/>
      </c:bar3DChart>
      <c:catAx>
        <c:axId val="150681148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68114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l-SI" b="1"/>
              <a:t>Struktura</a:t>
            </a:r>
            <a:r>
              <a:rPr lang="sl-SI" b="1" baseline="0"/>
              <a:t> zaposlenih po spolu na dan 31. 12. 2025</a:t>
            </a:r>
            <a:endParaRPr lang="sl-SI"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List3!$A$4</c:f>
              <c:strCache>
                <c:ptCount val="1"/>
                <c:pt idx="0">
                  <c:v>moški</c:v>
                </c:pt>
              </c:strCache>
            </c:strRef>
          </c:tx>
          <c:spPr>
            <a:solidFill>
              <a:srgbClr val="ABFFAD"/>
            </a:solidFill>
            <a:ln>
              <a:noFill/>
            </a:ln>
            <a:effectLst/>
            <a:sp3d/>
          </c:spPr>
          <c:invertIfNegative val="0"/>
          <c:cat>
            <c:strRef>
              <c:f>List3!$B$3:$D$3</c:f>
              <c:strCache>
                <c:ptCount val="3"/>
                <c:pt idx="0">
                  <c:v>pravniki</c:v>
                </c:pt>
                <c:pt idx="1">
                  <c:v>ostali JU</c:v>
                </c:pt>
                <c:pt idx="2">
                  <c:v>skupaj</c:v>
                </c:pt>
              </c:strCache>
            </c:strRef>
          </c:cat>
          <c:val>
            <c:numRef>
              <c:f>List3!$B$4:$D$4</c:f>
              <c:numCache>
                <c:formatCode>General</c:formatCode>
                <c:ptCount val="3"/>
                <c:pt idx="0">
                  <c:v>14</c:v>
                </c:pt>
                <c:pt idx="1">
                  <c:v>9</c:v>
                </c:pt>
                <c:pt idx="2">
                  <c:v>23</c:v>
                </c:pt>
              </c:numCache>
            </c:numRef>
          </c:val>
          <c:extLst>
            <c:ext xmlns:c16="http://schemas.microsoft.com/office/drawing/2014/chart" uri="{C3380CC4-5D6E-409C-BE32-E72D297353CC}">
              <c16:uniqueId val="{00000000-0486-4B49-914D-3B75FE2C9422}"/>
            </c:ext>
          </c:extLst>
        </c:ser>
        <c:ser>
          <c:idx val="1"/>
          <c:order val="1"/>
          <c:tx>
            <c:strRef>
              <c:f>List3!$A$5</c:f>
              <c:strCache>
                <c:ptCount val="1"/>
                <c:pt idx="0">
                  <c:v>ženske</c:v>
                </c:pt>
              </c:strCache>
            </c:strRef>
          </c:tx>
          <c:spPr>
            <a:solidFill>
              <a:srgbClr val="009664"/>
            </a:solidFill>
            <a:ln>
              <a:solidFill>
                <a:srgbClr val="009664"/>
              </a:solidFill>
            </a:ln>
            <a:effectLst/>
            <a:sp3d>
              <a:contourClr>
                <a:srgbClr val="009664"/>
              </a:contourClr>
            </a:sp3d>
          </c:spPr>
          <c:invertIfNegative val="0"/>
          <c:cat>
            <c:strRef>
              <c:f>List3!$B$3:$D$3</c:f>
              <c:strCache>
                <c:ptCount val="3"/>
                <c:pt idx="0">
                  <c:v>pravniki</c:v>
                </c:pt>
                <c:pt idx="1">
                  <c:v>ostali JU</c:v>
                </c:pt>
                <c:pt idx="2">
                  <c:v>skupaj</c:v>
                </c:pt>
              </c:strCache>
            </c:strRef>
          </c:cat>
          <c:val>
            <c:numRef>
              <c:f>List3!$B$5:$D$5</c:f>
              <c:numCache>
                <c:formatCode>General</c:formatCode>
                <c:ptCount val="3"/>
                <c:pt idx="0">
                  <c:v>95</c:v>
                </c:pt>
                <c:pt idx="1">
                  <c:v>98</c:v>
                </c:pt>
                <c:pt idx="2">
                  <c:v>193</c:v>
                </c:pt>
              </c:numCache>
            </c:numRef>
          </c:val>
          <c:extLst>
            <c:ext xmlns:c16="http://schemas.microsoft.com/office/drawing/2014/chart" uri="{C3380CC4-5D6E-409C-BE32-E72D297353CC}">
              <c16:uniqueId val="{00000001-0486-4B49-914D-3B75FE2C9422}"/>
            </c:ext>
          </c:extLst>
        </c:ser>
        <c:ser>
          <c:idx val="2"/>
          <c:order val="2"/>
          <c:tx>
            <c:strRef>
              <c:f>List3!$A$6</c:f>
              <c:strCache>
                <c:ptCount val="1"/>
                <c:pt idx="0">
                  <c:v>skupaj</c:v>
                </c:pt>
              </c:strCache>
            </c:strRef>
          </c:tx>
          <c:spPr>
            <a:solidFill>
              <a:srgbClr val="007466"/>
            </a:solidFill>
            <a:ln>
              <a:solidFill>
                <a:srgbClr val="007466"/>
              </a:solidFill>
            </a:ln>
            <a:effectLst/>
            <a:sp3d>
              <a:contourClr>
                <a:srgbClr val="007466"/>
              </a:contourClr>
            </a:sp3d>
          </c:spPr>
          <c:invertIfNegative val="0"/>
          <c:cat>
            <c:strRef>
              <c:f>List3!$B$3:$D$3</c:f>
              <c:strCache>
                <c:ptCount val="3"/>
                <c:pt idx="0">
                  <c:v>pravniki</c:v>
                </c:pt>
                <c:pt idx="1">
                  <c:v>ostali JU</c:v>
                </c:pt>
                <c:pt idx="2">
                  <c:v>skupaj</c:v>
                </c:pt>
              </c:strCache>
            </c:strRef>
          </c:cat>
          <c:val>
            <c:numRef>
              <c:f>List3!$B$6:$D$6</c:f>
              <c:numCache>
                <c:formatCode>General</c:formatCode>
                <c:ptCount val="3"/>
                <c:pt idx="0">
                  <c:v>109</c:v>
                </c:pt>
                <c:pt idx="1">
                  <c:v>107</c:v>
                </c:pt>
                <c:pt idx="2">
                  <c:v>216</c:v>
                </c:pt>
              </c:numCache>
            </c:numRef>
          </c:val>
          <c:extLst>
            <c:ext xmlns:c16="http://schemas.microsoft.com/office/drawing/2014/chart" uri="{C3380CC4-5D6E-409C-BE32-E72D297353CC}">
              <c16:uniqueId val="{00000002-0486-4B49-914D-3B75FE2C9422}"/>
            </c:ext>
          </c:extLst>
        </c:ser>
        <c:dLbls>
          <c:showLegendKey val="0"/>
          <c:showVal val="0"/>
          <c:showCatName val="0"/>
          <c:showSerName val="0"/>
          <c:showPercent val="0"/>
          <c:showBubbleSize val="0"/>
        </c:dLbls>
        <c:gapWidth val="150"/>
        <c:shape val="box"/>
        <c:axId val="909806335"/>
        <c:axId val="909802975"/>
        <c:axId val="692812895"/>
      </c:bar3DChart>
      <c:catAx>
        <c:axId val="9098063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09802975"/>
        <c:crosses val="autoZero"/>
        <c:auto val="1"/>
        <c:lblAlgn val="ctr"/>
        <c:lblOffset val="100"/>
        <c:noMultiLvlLbl val="0"/>
      </c:catAx>
      <c:valAx>
        <c:axId val="909802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09806335"/>
        <c:crosses val="autoZero"/>
        <c:crossBetween val="between"/>
      </c:valAx>
      <c:serAx>
        <c:axId val="69281289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09802975"/>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l-SI" b="1"/>
              <a:t>Povprečna</a:t>
            </a:r>
            <a:r>
              <a:rPr lang="sl-SI" b="1" baseline="0"/>
              <a:t> starost zaposlenih na Dodv RS na dan 31.12.2025</a:t>
            </a:r>
            <a:endParaRPr lang="sl-SI" b="1"/>
          </a:p>
        </c:rich>
      </c:tx>
      <c:overlay val="0"/>
      <c:spPr>
        <a:noFill/>
        <a:ln w="25400">
          <a:noFill/>
        </a:ln>
      </c:spPr>
    </c:title>
    <c:autoTitleDeleted val="0"/>
    <c:plotArea>
      <c:layout/>
      <c:barChart>
        <c:barDir val="bar"/>
        <c:grouping val="clustered"/>
        <c:varyColors val="0"/>
        <c:ser>
          <c:idx val="0"/>
          <c:order val="0"/>
          <c:spPr>
            <a:solidFill>
              <a:srgbClr val="009664"/>
            </a:solidFill>
            <a:ln>
              <a:noFill/>
            </a:ln>
            <a:effectLst/>
          </c:spPr>
          <c:invertIfNegative val="0"/>
          <c:cat>
            <c:strRef>
              <c:f>'Zaposleni po starosti-20'!$B$237:$B$239</c:f>
              <c:strCache>
                <c:ptCount val="3"/>
                <c:pt idx="0">
                  <c:v>moški</c:v>
                </c:pt>
                <c:pt idx="1">
                  <c:v>ženske</c:v>
                </c:pt>
                <c:pt idx="2">
                  <c:v>povprečna starost vseh zaposlenih</c:v>
                </c:pt>
              </c:strCache>
            </c:strRef>
          </c:cat>
          <c:val>
            <c:numRef>
              <c:f>'Zaposleni po starosti-20'!$C$237:$C$239</c:f>
              <c:numCache>
                <c:formatCode>General</c:formatCode>
                <c:ptCount val="3"/>
                <c:pt idx="0">
                  <c:v>45.43</c:v>
                </c:pt>
                <c:pt idx="1">
                  <c:v>45.68</c:v>
                </c:pt>
                <c:pt idx="2">
                  <c:v>45.66</c:v>
                </c:pt>
              </c:numCache>
            </c:numRef>
          </c:val>
          <c:extLst>
            <c:ext xmlns:c16="http://schemas.microsoft.com/office/drawing/2014/chart" uri="{C3380CC4-5D6E-409C-BE32-E72D297353CC}">
              <c16:uniqueId val="{00000000-03CD-4D25-9E6B-5D80F6433766}"/>
            </c:ext>
          </c:extLst>
        </c:ser>
        <c:dLbls>
          <c:showLegendKey val="0"/>
          <c:showVal val="0"/>
          <c:showCatName val="0"/>
          <c:showSerName val="0"/>
          <c:showPercent val="0"/>
          <c:showBubbleSize val="0"/>
        </c:dLbls>
        <c:gapWidth val="182"/>
        <c:axId val="571169839"/>
        <c:axId val="1"/>
      </c:barChart>
      <c:catAx>
        <c:axId val="571169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71169839"/>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b="1"/>
              <a:t>Povprečna</a:t>
            </a:r>
            <a:r>
              <a:rPr lang="sl-SI" b="1" baseline="0"/>
              <a:t> starost glede na profil zaposlenih na dan 31. 12. 2025</a:t>
            </a:r>
            <a:endParaRPr lang="sl-SI" b="1"/>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'Zaposleni po starosti-20'!$D$310</c:f>
              <c:strCache>
                <c:ptCount val="1"/>
                <c:pt idx="0">
                  <c:v>moški</c:v>
                </c:pt>
              </c:strCache>
            </c:strRef>
          </c:tx>
          <c:spPr>
            <a:solidFill>
              <a:srgbClr val="ABFFAD"/>
            </a:solidFill>
            <a:ln w="25400">
              <a:noFill/>
            </a:ln>
          </c:spPr>
          <c:invertIfNegative val="0"/>
          <c:cat>
            <c:strRef>
              <c:f>'Zaposleni po starosti-20'!$E$309:$F$309</c:f>
              <c:strCache>
                <c:ptCount val="2"/>
                <c:pt idx="0">
                  <c:v>ostali JU</c:v>
                </c:pt>
                <c:pt idx="1">
                  <c:v>pravniki</c:v>
                </c:pt>
              </c:strCache>
            </c:strRef>
          </c:cat>
          <c:val>
            <c:numRef>
              <c:f>'Zaposleni po starosti-20'!$E$310:$F$310</c:f>
              <c:numCache>
                <c:formatCode>General</c:formatCode>
                <c:ptCount val="2"/>
                <c:pt idx="0">
                  <c:v>42.67</c:v>
                </c:pt>
                <c:pt idx="1">
                  <c:v>47.21</c:v>
                </c:pt>
              </c:numCache>
            </c:numRef>
          </c:val>
          <c:extLst>
            <c:ext xmlns:c16="http://schemas.microsoft.com/office/drawing/2014/chart" uri="{C3380CC4-5D6E-409C-BE32-E72D297353CC}">
              <c16:uniqueId val="{00000000-B279-435D-9D45-0A862BF6CA76}"/>
            </c:ext>
          </c:extLst>
        </c:ser>
        <c:ser>
          <c:idx val="1"/>
          <c:order val="1"/>
          <c:tx>
            <c:strRef>
              <c:f>'Zaposleni po starosti-20'!$D$311</c:f>
              <c:strCache>
                <c:ptCount val="1"/>
                <c:pt idx="0">
                  <c:v>ženske</c:v>
                </c:pt>
              </c:strCache>
            </c:strRef>
          </c:tx>
          <c:spPr>
            <a:solidFill>
              <a:srgbClr val="007466"/>
            </a:solidFill>
            <a:ln w="25400">
              <a:noFill/>
            </a:ln>
          </c:spPr>
          <c:invertIfNegative val="0"/>
          <c:cat>
            <c:strRef>
              <c:f>'Zaposleni po starosti-20'!$E$309:$F$309</c:f>
              <c:strCache>
                <c:ptCount val="2"/>
                <c:pt idx="0">
                  <c:v>ostali JU</c:v>
                </c:pt>
                <c:pt idx="1">
                  <c:v>pravniki</c:v>
                </c:pt>
              </c:strCache>
            </c:strRef>
          </c:cat>
          <c:val>
            <c:numRef>
              <c:f>'Zaposleni po starosti-20'!$E$311:$F$311</c:f>
              <c:numCache>
                <c:formatCode>General</c:formatCode>
                <c:ptCount val="2"/>
                <c:pt idx="0">
                  <c:v>45.01</c:v>
                </c:pt>
                <c:pt idx="1">
                  <c:v>46.36</c:v>
                </c:pt>
              </c:numCache>
            </c:numRef>
          </c:val>
          <c:extLst>
            <c:ext xmlns:c16="http://schemas.microsoft.com/office/drawing/2014/chart" uri="{C3380CC4-5D6E-409C-BE32-E72D297353CC}">
              <c16:uniqueId val="{00000001-B279-435D-9D45-0A862BF6CA76}"/>
            </c:ext>
          </c:extLst>
        </c:ser>
        <c:dLbls>
          <c:showLegendKey val="0"/>
          <c:showVal val="0"/>
          <c:showCatName val="0"/>
          <c:showSerName val="0"/>
          <c:showPercent val="0"/>
          <c:showBubbleSize val="0"/>
        </c:dLbls>
        <c:gapWidth val="150"/>
        <c:shape val="box"/>
        <c:axId val="1491740880"/>
        <c:axId val="1"/>
        <c:axId val="0"/>
      </c:bar3DChart>
      <c:catAx>
        <c:axId val="1491740880"/>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174088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Struktura</a:t>
            </a:r>
            <a:r>
              <a:rPr lang="sl-SI" baseline="0"/>
              <a:t> zaposlenih v letih 2018 - 2025</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List1!$E$5</c:f>
              <c:strCache>
                <c:ptCount val="1"/>
                <c:pt idx="0">
                  <c:v>višji državni odvetniki</c:v>
                </c:pt>
              </c:strCache>
            </c:strRef>
          </c:tx>
          <c:spPr>
            <a:solidFill>
              <a:srgbClr val="C5E0B4"/>
            </a:solidFill>
            <a:ln>
              <a:noFill/>
            </a:ln>
            <a:effectLst/>
            <a:sp3d/>
          </c:spPr>
          <c:invertIfNegative val="0"/>
          <c:cat>
            <c:numRef>
              <c:f>List1!$D$6:$D$13</c:f>
              <c:numCache>
                <c:formatCode>General</c:formatCode>
                <c:ptCount val="8"/>
                <c:pt idx="0">
                  <c:v>2018</c:v>
                </c:pt>
                <c:pt idx="1">
                  <c:v>2019</c:v>
                </c:pt>
                <c:pt idx="2">
                  <c:v>2020</c:v>
                </c:pt>
                <c:pt idx="3">
                  <c:v>2021</c:v>
                </c:pt>
                <c:pt idx="4">
                  <c:v>2022</c:v>
                </c:pt>
                <c:pt idx="5">
                  <c:v>2023</c:v>
                </c:pt>
                <c:pt idx="6">
                  <c:v>2024</c:v>
                </c:pt>
                <c:pt idx="7">
                  <c:v>2025</c:v>
                </c:pt>
              </c:numCache>
            </c:numRef>
          </c:cat>
          <c:val>
            <c:numRef>
              <c:f>List1!$E$6:$E$13</c:f>
              <c:numCache>
                <c:formatCode>General</c:formatCode>
                <c:ptCount val="8"/>
                <c:pt idx="0">
                  <c:v>53</c:v>
                </c:pt>
                <c:pt idx="1">
                  <c:v>55</c:v>
                </c:pt>
                <c:pt idx="2">
                  <c:v>53</c:v>
                </c:pt>
                <c:pt idx="3">
                  <c:v>54</c:v>
                </c:pt>
                <c:pt idx="4">
                  <c:v>55</c:v>
                </c:pt>
                <c:pt idx="5">
                  <c:v>55</c:v>
                </c:pt>
                <c:pt idx="6">
                  <c:v>54</c:v>
                </c:pt>
                <c:pt idx="7">
                  <c:v>56</c:v>
                </c:pt>
              </c:numCache>
            </c:numRef>
          </c:val>
          <c:extLst>
            <c:ext xmlns:c16="http://schemas.microsoft.com/office/drawing/2014/chart" uri="{C3380CC4-5D6E-409C-BE32-E72D297353CC}">
              <c16:uniqueId val="{00000000-D187-4C13-8748-C7FCF252DB49}"/>
            </c:ext>
          </c:extLst>
        </c:ser>
        <c:ser>
          <c:idx val="1"/>
          <c:order val="1"/>
          <c:tx>
            <c:strRef>
              <c:f>List1!$F$5</c:f>
              <c:strCache>
                <c:ptCount val="1"/>
                <c:pt idx="0">
                  <c:v>državni odvetniki</c:v>
                </c:pt>
              </c:strCache>
            </c:strRef>
          </c:tx>
          <c:spPr>
            <a:solidFill>
              <a:srgbClr val="009664"/>
            </a:solidFill>
            <a:ln>
              <a:noFill/>
            </a:ln>
            <a:effectLst/>
            <a:sp3d/>
          </c:spPr>
          <c:invertIfNegative val="0"/>
          <c:cat>
            <c:numRef>
              <c:f>List1!$D$6:$D$13</c:f>
              <c:numCache>
                <c:formatCode>General</c:formatCode>
                <c:ptCount val="8"/>
                <c:pt idx="0">
                  <c:v>2018</c:v>
                </c:pt>
                <c:pt idx="1">
                  <c:v>2019</c:v>
                </c:pt>
                <c:pt idx="2">
                  <c:v>2020</c:v>
                </c:pt>
                <c:pt idx="3">
                  <c:v>2021</c:v>
                </c:pt>
                <c:pt idx="4">
                  <c:v>2022</c:v>
                </c:pt>
                <c:pt idx="5">
                  <c:v>2023</c:v>
                </c:pt>
                <c:pt idx="6">
                  <c:v>2024</c:v>
                </c:pt>
                <c:pt idx="7">
                  <c:v>2025</c:v>
                </c:pt>
              </c:numCache>
            </c:numRef>
          </c:cat>
          <c:val>
            <c:numRef>
              <c:f>List1!$F$6:$F$13</c:f>
              <c:numCache>
                <c:formatCode>General</c:formatCode>
                <c:ptCount val="8"/>
                <c:pt idx="0">
                  <c:v>10</c:v>
                </c:pt>
                <c:pt idx="1">
                  <c:v>12</c:v>
                </c:pt>
                <c:pt idx="2">
                  <c:v>14</c:v>
                </c:pt>
                <c:pt idx="3">
                  <c:v>16</c:v>
                </c:pt>
                <c:pt idx="4">
                  <c:v>15</c:v>
                </c:pt>
                <c:pt idx="5">
                  <c:v>16</c:v>
                </c:pt>
                <c:pt idx="6">
                  <c:v>25</c:v>
                </c:pt>
                <c:pt idx="7">
                  <c:v>27</c:v>
                </c:pt>
              </c:numCache>
            </c:numRef>
          </c:val>
          <c:extLst>
            <c:ext xmlns:c16="http://schemas.microsoft.com/office/drawing/2014/chart" uri="{C3380CC4-5D6E-409C-BE32-E72D297353CC}">
              <c16:uniqueId val="{00000001-D187-4C13-8748-C7FCF252DB49}"/>
            </c:ext>
          </c:extLst>
        </c:ser>
        <c:ser>
          <c:idx val="2"/>
          <c:order val="2"/>
          <c:tx>
            <c:strRef>
              <c:f>List1!$G$5</c:f>
              <c:strCache>
                <c:ptCount val="1"/>
                <c:pt idx="0">
                  <c:v>kandidati za državnega odvetnika</c:v>
                </c:pt>
              </c:strCache>
            </c:strRef>
          </c:tx>
          <c:spPr>
            <a:solidFill>
              <a:srgbClr val="007466"/>
            </a:solidFill>
            <a:ln>
              <a:noFill/>
            </a:ln>
            <a:effectLst/>
            <a:sp3d/>
          </c:spPr>
          <c:invertIfNegative val="0"/>
          <c:cat>
            <c:numRef>
              <c:f>List1!$D$6:$D$13</c:f>
              <c:numCache>
                <c:formatCode>General</c:formatCode>
                <c:ptCount val="8"/>
                <c:pt idx="0">
                  <c:v>2018</c:v>
                </c:pt>
                <c:pt idx="1">
                  <c:v>2019</c:v>
                </c:pt>
                <c:pt idx="2">
                  <c:v>2020</c:v>
                </c:pt>
                <c:pt idx="3">
                  <c:v>2021</c:v>
                </c:pt>
                <c:pt idx="4">
                  <c:v>2022</c:v>
                </c:pt>
                <c:pt idx="5">
                  <c:v>2023</c:v>
                </c:pt>
                <c:pt idx="6">
                  <c:v>2024</c:v>
                </c:pt>
                <c:pt idx="7">
                  <c:v>2025</c:v>
                </c:pt>
              </c:numCache>
            </c:numRef>
          </c:cat>
          <c:val>
            <c:numRef>
              <c:f>List1!$G$6:$G$13</c:f>
              <c:numCache>
                <c:formatCode>General</c:formatCode>
                <c:ptCount val="8"/>
                <c:pt idx="0">
                  <c:v>23</c:v>
                </c:pt>
                <c:pt idx="1">
                  <c:v>24</c:v>
                </c:pt>
                <c:pt idx="2">
                  <c:v>31</c:v>
                </c:pt>
                <c:pt idx="3">
                  <c:v>33</c:v>
                </c:pt>
                <c:pt idx="4">
                  <c:v>31</c:v>
                </c:pt>
                <c:pt idx="5">
                  <c:v>30</c:v>
                </c:pt>
                <c:pt idx="6">
                  <c:v>21</c:v>
                </c:pt>
                <c:pt idx="7">
                  <c:v>20</c:v>
                </c:pt>
              </c:numCache>
            </c:numRef>
          </c:val>
          <c:extLst>
            <c:ext xmlns:c16="http://schemas.microsoft.com/office/drawing/2014/chart" uri="{C3380CC4-5D6E-409C-BE32-E72D297353CC}">
              <c16:uniqueId val="{00000002-D187-4C13-8748-C7FCF252DB49}"/>
            </c:ext>
          </c:extLst>
        </c:ser>
        <c:ser>
          <c:idx val="3"/>
          <c:order val="3"/>
          <c:tx>
            <c:strRef>
              <c:f>List1!$H$5</c:f>
              <c:strCache>
                <c:ptCount val="1"/>
                <c:pt idx="0">
                  <c:v>skupaj državni odvetniki in kandidati za državnega odvetnika</c:v>
                </c:pt>
              </c:strCache>
            </c:strRef>
          </c:tx>
          <c:spPr>
            <a:solidFill>
              <a:srgbClr val="ABFFAD"/>
            </a:solidFill>
            <a:ln>
              <a:noFill/>
            </a:ln>
            <a:effectLst/>
            <a:sp3d/>
          </c:spPr>
          <c:invertIfNegative val="0"/>
          <c:cat>
            <c:numRef>
              <c:f>List1!$D$6:$D$13</c:f>
              <c:numCache>
                <c:formatCode>General</c:formatCode>
                <c:ptCount val="8"/>
                <c:pt idx="0">
                  <c:v>2018</c:v>
                </c:pt>
                <c:pt idx="1">
                  <c:v>2019</c:v>
                </c:pt>
                <c:pt idx="2">
                  <c:v>2020</c:v>
                </c:pt>
                <c:pt idx="3">
                  <c:v>2021</c:v>
                </c:pt>
                <c:pt idx="4">
                  <c:v>2022</c:v>
                </c:pt>
                <c:pt idx="5">
                  <c:v>2023</c:v>
                </c:pt>
                <c:pt idx="6">
                  <c:v>2024</c:v>
                </c:pt>
                <c:pt idx="7">
                  <c:v>2025</c:v>
                </c:pt>
              </c:numCache>
            </c:numRef>
          </c:cat>
          <c:val>
            <c:numRef>
              <c:f>List1!$H$6:$H$13</c:f>
              <c:numCache>
                <c:formatCode>General</c:formatCode>
                <c:ptCount val="8"/>
                <c:pt idx="0">
                  <c:v>33</c:v>
                </c:pt>
                <c:pt idx="1">
                  <c:v>36</c:v>
                </c:pt>
                <c:pt idx="2">
                  <c:v>45</c:v>
                </c:pt>
                <c:pt idx="3">
                  <c:v>49</c:v>
                </c:pt>
                <c:pt idx="4">
                  <c:v>46</c:v>
                </c:pt>
                <c:pt idx="5">
                  <c:v>46</c:v>
                </c:pt>
                <c:pt idx="6">
                  <c:v>46</c:v>
                </c:pt>
                <c:pt idx="7">
                  <c:v>47</c:v>
                </c:pt>
              </c:numCache>
            </c:numRef>
          </c:val>
          <c:extLst>
            <c:ext xmlns:c16="http://schemas.microsoft.com/office/drawing/2014/chart" uri="{C3380CC4-5D6E-409C-BE32-E72D297353CC}">
              <c16:uniqueId val="{00000003-D187-4C13-8748-C7FCF252DB49}"/>
            </c:ext>
          </c:extLst>
        </c:ser>
        <c:dLbls>
          <c:showLegendKey val="0"/>
          <c:showVal val="0"/>
          <c:showCatName val="0"/>
          <c:showSerName val="0"/>
          <c:showPercent val="0"/>
          <c:showBubbleSize val="0"/>
        </c:dLbls>
        <c:gapWidth val="219"/>
        <c:shape val="box"/>
        <c:axId val="365393968"/>
        <c:axId val="365396848"/>
        <c:axId val="0"/>
      </c:bar3DChart>
      <c:catAx>
        <c:axId val="36539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5396848"/>
        <c:crosses val="autoZero"/>
        <c:auto val="1"/>
        <c:lblAlgn val="ctr"/>
        <c:lblOffset val="100"/>
        <c:noMultiLvlLbl val="0"/>
      </c:catAx>
      <c:valAx>
        <c:axId val="3653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6539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058817A-275A-43BB-877E-AB0C6C310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409</Pages>
  <Words>183966</Words>
  <Characters>1048607</Characters>
  <Application>Microsoft Office Word</Application>
  <DocSecurity>0</DocSecurity>
  <Lines>8738</Lines>
  <Paragraphs>2460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1230113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Vrhunc Kovačič</dc:creator>
  <cp:keywords/>
  <dc:description/>
  <cp:lastModifiedBy>Aleksandra Vrhunc Kovačič</cp:lastModifiedBy>
  <cp:revision>4</cp:revision>
  <cp:lastPrinted>2026-02-27T13:19:00Z</cp:lastPrinted>
  <dcterms:created xsi:type="dcterms:W3CDTF">2026-03-02T10:58:00Z</dcterms:created>
  <dcterms:modified xsi:type="dcterms:W3CDTF">2026-05-29T06:03:00Z</dcterms:modified>
</cp:coreProperties>
</file>